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4" w:lineRule="exact"/>
        <w:rPr>
          <w:sz w:val="24"/>
          <w:szCs w:val="24"/>
          <w:color w:val="auto"/>
        </w:rPr>
      </w:pPr>
    </w:p>
    <w:p>
      <w:pPr>
        <w:ind w:left="360"/>
        <w:spacing w:after="0" w:line="2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35560</wp:posOffset>
            </wp:positionH>
            <wp:positionV relativeFrom="paragraph">
              <wp:posOffset>-234950</wp:posOffset>
            </wp:positionV>
            <wp:extent cx="132080" cy="132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5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5"/>
        </w:trPr>
        <w:tc>
          <w:tcPr>
            <w:tcW w:w="6320" w:type="dxa"/>
            <w:vAlign w:val="bottom"/>
          </w:tcPr>
          <w:p>
            <w:pPr>
              <w:jc w:val="center"/>
              <w:ind w:right="1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8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320" w:type="dxa"/>
            <w:vAlign w:val="bottom"/>
            <w:vMerge w:val="restart"/>
          </w:tcPr>
          <w:p>
            <w:pPr>
              <w:jc w:val="center"/>
              <w:ind w:right="136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63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6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320" w:type="dxa"/>
            <w:vAlign w:val="bottom"/>
            <w:vMerge w:val="restart"/>
          </w:tcPr>
          <w:p>
            <w:pPr>
              <w:jc w:val="center"/>
              <w:ind w:right="1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8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3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63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6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320" w:type="dxa"/>
            <w:vAlign w:val="bottom"/>
            <w:vMerge w:val="restart"/>
          </w:tcPr>
          <w:p>
            <w:pPr>
              <w:jc w:val="center"/>
              <w:ind w:right="1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3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32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5290820</wp:posOffset>
            </wp:positionH>
            <wp:positionV relativeFrom="paragraph">
              <wp:posOffset>-630555</wp:posOffset>
            </wp:positionV>
            <wp:extent cx="58420" cy="643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4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4004945</wp:posOffset>
            </wp:positionH>
            <wp:positionV relativeFrom="paragraph">
              <wp:posOffset>-630555</wp:posOffset>
            </wp:positionV>
            <wp:extent cx="58420" cy="643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4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-1609725</wp:posOffset>
            </wp:positionH>
            <wp:positionV relativeFrom="paragraph">
              <wp:posOffset>16510</wp:posOffset>
            </wp:positionV>
            <wp:extent cx="7045960" cy="54178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960" cy="541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80" w:space="240"/>
            <w:col w:w="8560"/>
          </w:cols>
          <w:pgMar w:left="460" w:top="222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1"/>
          <w:szCs w:val="21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Walker Carol</w:t>
        </w:r>
      </w:hyperlink>
    </w:p>
    <w:p>
      <w:pPr>
        <w:spacing w:after="0" w:line="30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3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C/O LANTHEUS HOLDINGS, INC.</w:t>
      </w:r>
    </w:p>
    <w:p>
      <w:pPr>
        <w:spacing w:after="0" w:line="64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331 TREBLE COVE ROAD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0"/>
          <w:szCs w:val="20"/>
          <w:color w:val="0000EE"/>
        </w:rPr>
      </w:pPr>
      <w:hyperlink r:id="rId13">
        <w:r>
          <w:rPr>
            <w:rFonts w:ascii="Arial" w:cs="Arial" w:eastAsia="Arial" w:hAnsi="Arial"/>
            <w:sz w:val="20"/>
            <w:szCs w:val="20"/>
            <w:u w:val="single" w:color="auto"/>
            <w:color w:val="0000EE"/>
          </w:rPr>
          <w:t>Lantheus Holdings, Inc.</w:t>
        </w:r>
        <w:r>
          <w:rPr>
            <w:rFonts w:ascii="Arial" w:cs="Arial" w:eastAsia="Arial" w:hAnsi="Arial"/>
            <w:sz w:val="20"/>
            <w:szCs w:val="20"/>
            <w:color w:val="0000EE"/>
          </w:rPr>
          <w:t xml:space="preserve"> </w:t>
        </w:r>
      </w:hyperlink>
      <w:r>
        <w:rPr>
          <w:rFonts w:ascii="Arial" w:cs="Arial" w:eastAsia="Arial" w:hAnsi="Arial"/>
          <w:sz w:val="20"/>
          <w:szCs w:val="20"/>
          <w:color w:val="000000"/>
        </w:rPr>
        <w:t>[</w:t>
      </w:r>
      <w:r>
        <w:rPr>
          <w:rFonts w:ascii="Arial" w:cs="Arial" w:eastAsia="Arial" w:hAnsi="Arial"/>
          <w:sz w:val="20"/>
          <w:szCs w:val="20"/>
          <w:color w:val="0000EE"/>
        </w:rPr>
        <w:t xml:space="preserve"> </w:t>
      </w:r>
      <w:r>
        <w:rPr>
          <w:rFonts w:ascii="Arial" w:cs="Arial" w:eastAsia="Arial" w:hAnsi="Arial"/>
          <w:sz w:val="15"/>
          <w:szCs w:val="15"/>
          <w:color w:val="0000FF"/>
        </w:rPr>
        <w:t>LNTH</w:t>
      </w:r>
      <w:r>
        <w:rPr>
          <w:rFonts w:ascii="Arial" w:cs="Arial" w:eastAsia="Arial" w:hAnsi="Arial"/>
          <w:sz w:val="20"/>
          <w:szCs w:val="20"/>
          <w:color w:val="0000EE"/>
        </w:rPr>
        <w:t xml:space="preserve"> </w:t>
      </w:r>
      <w:r>
        <w:rPr>
          <w:rFonts w:ascii="Arial" w:cs="Arial" w:eastAsia="Arial" w:hAnsi="Arial"/>
          <w:sz w:val="20"/>
          <w:szCs w:val="20"/>
          <w:color w:val="000000"/>
        </w:rPr>
        <w:t>]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03/03/2022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-3" w:right="600" w:firstLine="3"/>
        <w:spacing w:after="0" w:line="239" w:lineRule="auto"/>
        <w:tabs>
          <w:tab w:leader="none" w:pos="142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27" w:lineRule="exact"/>
        <w:rPr>
          <w:sz w:val="24"/>
          <w:szCs w:val="24"/>
          <w:color w:val="auto"/>
        </w:rPr>
      </w:pPr>
    </w:p>
    <w:tbl>
      <w:tblPr>
        <w:tblLayout w:type="fixed"/>
        <w:tblInd w:w="197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6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1" w:lineRule="exact"/>
        <w:rPr>
          <w:sz w:val="24"/>
          <w:szCs w:val="24"/>
          <w:color w:val="auto"/>
        </w:rPr>
      </w:pPr>
    </w:p>
    <w:p>
      <w:pPr>
        <w:ind w:left="557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Senior Vice President, Quality</w:t>
      </w:r>
    </w:p>
    <w:p>
      <w:pPr>
        <w:spacing w:after="0" w:line="54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103" w:space="720"/>
            <w:col w:w="3337"/>
          </w:cols>
          <w:pgMar w:left="460" w:top="222" w:right="359" w:bottom="1440" w:gutter="0" w:footer="0" w:header="0"/>
          <w:type w:val="continuous"/>
        </w:sectPr>
      </w:pPr>
    </w:p>
    <w:p>
      <w:pPr>
        <w:spacing w:after="0" w:line="137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6"/>
        </w:trPr>
        <w:tc>
          <w:tcPr>
            <w:tcW w:w="11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NORTH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MA</w:t>
            </w:r>
          </w:p>
        </w:tc>
        <w:tc>
          <w:tcPr>
            <w:tcW w:w="1620" w:type="dxa"/>
            <w:vAlign w:val="bottom"/>
            <w:vMerge w:val="restart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01862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BILLERICA</w:t>
            </w: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9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2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020"/>
        <w:spacing w:after="0" w:line="220" w:lineRule="auto"/>
        <w:tabs>
          <w:tab w:leader="none" w:pos="43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06" w:lineRule="exact"/>
        <w:rPr>
          <w:sz w:val="24"/>
          <w:szCs w:val="24"/>
          <w:color w:val="auto"/>
        </w:rPr>
      </w:pPr>
    </w:p>
    <w:p>
      <w:pPr>
        <w:ind w:left="4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48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160"/>
            <w:col w:w="7160"/>
          </w:cols>
          <w:pgMar w:left="460" w:top="222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3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00" w:type="dxa"/>
            <w:vAlign w:val="bottom"/>
            <w:gridSpan w:val="2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06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660"/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3"/>
          </w:tcPr>
          <w:p>
            <w:pPr>
              <w:ind w:left="40"/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Transaction</w:t>
            </w:r>
          </w:p>
        </w:tc>
        <w:tc>
          <w:tcPr>
            <w:tcW w:w="2060" w:type="dxa"/>
            <w:vAlign w:val="bottom"/>
            <w:gridSpan w:val="4"/>
          </w:tcPr>
          <w:p>
            <w:pPr>
              <w:ind w:left="120"/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5)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ind w:left="60"/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40"/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gridSpan w:val="2"/>
          </w:tcPr>
          <w:p>
            <w:pPr>
              <w:ind w:left="6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3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(Month/Day/Year)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Reported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20" w:type="dxa"/>
            <w:vAlign w:val="bottom"/>
          </w:tcPr>
          <w:p>
            <w:pPr>
              <w:ind w:left="2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03/03/2022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7,434</w:t>
            </w:r>
            <w:r>
              <w:rPr>
                <w:rFonts w:ascii="Arial" w:cs="Arial" w:eastAsia="Arial" w:hAnsi="Arial"/>
                <w:sz w:val="21"/>
                <w:szCs w:val="21"/>
                <w:color w:val="008000"/>
                <w:vertAlign w:val="superscript"/>
              </w:rPr>
              <w:t>(1)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right="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0.00</w:t>
            </w: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83,028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03/04/2022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color w:val="0000FF"/>
                <w:w w:val="81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81"/>
              </w:rPr>
              <w:t>(2)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1,536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49.983</w:t>
            </w: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81,492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2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560" w:type="dxa"/>
            <w:vAlign w:val="bottom"/>
            <w:gridSpan w:val="11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7. Title and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46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2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2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Amount of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58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2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58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Underlying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7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49.93</w:t>
            </w:r>
          </w:p>
        </w:tc>
        <w:tc>
          <w:tcPr>
            <w:tcW w:w="108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03/03/2022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4,239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ind w:right="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89"/>
              </w:rPr>
              <w:t>03/03/2032</w:t>
            </w: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</w:tcPr>
          <w:p>
            <w:pPr>
              <w:ind w:left="4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4,239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0.00</w:t>
            </w:r>
          </w:p>
        </w:tc>
        <w:tc>
          <w:tcPr>
            <w:tcW w:w="58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2"/>
              </w:rPr>
              <w:t>4,239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0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(right to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100"/>
              <w:spacing w:after="0" w:line="10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Stock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00FF"/>
        </w:rPr>
        <w:t>buy)</w:t>
      </w:r>
    </w:p>
    <w:p>
      <w:pPr>
        <w:spacing w:after="0" w:line="9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3" w:lineRule="exact"/>
        <w:rPr>
          <w:sz w:val="24"/>
          <w:szCs w:val="24"/>
          <w:color w:val="auto"/>
        </w:rPr>
      </w:pPr>
    </w:p>
    <w:p>
      <w:pPr>
        <w:jc w:val="both"/>
        <w:ind w:left="40" w:right="160" w:firstLine="3"/>
        <w:spacing w:after="0"/>
        <w:tabs>
          <w:tab w:leader="none" w:pos="17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Consists of 2,478 restricted stock units that vest in equal installments over a three-year period and 4,956 Total Shareholder Return performance-based restricted stock units ("PSUs") that cliff vest following a three-year performance period. The amount of PSUs included in this Report reflects the target award, however the ultimate award size can range from 0% to 200% of the target based on the actual performance achieved at the end of the performance period.</w:t>
      </w:r>
    </w:p>
    <w:p>
      <w:pPr>
        <w:spacing w:after="0" w:line="31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40" w:right="180" w:firstLine="3"/>
        <w:spacing w:after="0"/>
        <w:tabs>
          <w:tab w:leader="none" w:pos="17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Company requires certain senior executives to cover tax liabilities resulting from the vesting of their equity awards pursuant to sell-to-cover transactions in compliance with Rule 10b5-1. The transaction reported in this Form 4 was effected in compliance with Rule 10b5-1 to satisfy withholding tax liabilities of the Reporting Person associated with the vesting of restricted stock previously granted and reported on a previously filed Form 4.</w:t>
      </w:r>
    </w:p>
    <w:p>
      <w:pPr>
        <w:spacing w:after="0" w:line="31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7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option vests in three equal annual installments beginning on March 3, 2023.</w:t>
      </w:r>
    </w:p>
    <w:p>
      <w:pPr>
        <w:spacing w:after="0" w:line="3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19" w:lineRule="exact"/>
        <w:rPr>
          <w:sz w:val="24"/>
          <w:szCs w:val="24"/>
          <w:color w:val="auto"/>
        </w:rPr>
      </w:pPr>
    </w:p>
    <w:tbl>
      <w:tblPr>
        <w:tblLayout w:type="fixed"/>
        <w:tblInd w:w="66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20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/s/ Daniel M. Niedzwiecki ,</w:t>
            </w:r>
          </w:p>
        </w:tc>
        <w:tc>
          <w:tcPr>
            <w:tcW w:w="92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6"/>
              </w:rPr>
              <w:t>03/07/2022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106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attorney-in-fact</w:t>
            </w:r>
          </w:p>
        </w:tc>
        <w:tc>
          <w:tcPr>
            <w:tcW w:w="80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060" w:type="dxa"/>
            <w:vAlign w:val="bottom"/>
            <w:tcBorders>
              <w:top w:val="single" w:sz="8" w:color="auto"/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20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1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5" w:lineRule="exact"/>
        <w:rPr>
          <w:sz w:val="24"/>
          <w:szCs w:val="24"/>
          <w:color w:val="auto"/>
        </w:rPr>
      </w:pPr>
    </w:p>
    <w:p>
      <w:pPr>
        <w:jc w:val="both"/>
        <w:ind w:left="40" w:right="3540" w:firstLine="3"/>
        <w:spacing w:after="0" w:line="337" w:lineRule="auto"/>
        <w:tabs>
          <w:tab w:leader="none" w:pos="177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2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861400" TargetMode="External"/><Relationship Id="rId13" Type="http://schemas.openxmlformats.org/officeDocument/2006/relationships/hyperlink" Target="http://www.sec.gov/cgi-bin/browse-edgar?action=getcompany&amp;CIK=0001521036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2022-03-07T19:46:31Z</dcterms:created>
  <dcterms:modified xsi:type="dcterms:W3CDTF">2022-03-07T19:46:31Z</dcterms:modified>
</cp:coreProperties>
</file>