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O'Neill Patrick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6,049</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02/26/2018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17,793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5.62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05/06/2023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8"/>
              </w:rPr>
              <w:t>5,233</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19.11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8"/>
              </w:rPr>
              <w:t>5,862</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17.06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02/26/2025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8"/>
              </w:rPr>
              <w:t>8,051</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12.42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is currently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twelve equal monthly installments, beginning March 26, 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Patrick O'Neill</w:t>
      </w:r>
    </w:p>
    <w:p>
      <w:pPr>
        <w:ind w:left="20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Patrick O'Neill</w:t>
      </w:r>
    </w:p>
    <w:p>
      <w:pPr>
        <w:ind w:left="200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2113"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2019-12-08T23:44:07Z</dcterms:created>
  <dcterms:modified xsi:type="dcterms:W3CDTF">2019-12-08T23:44:07Z</dcterms:modified>
</cp:coreProperties>
</file>