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SEC Form 4</w:t>
      </w:r>
    </w:p>
    <w:p>
      <w:pPr>
        <w:spacing w:after="0" w:line="39" w:lineRule="exact"/>
        <w:rPr>
          <w:sz w:val="24"/>
          <w:szCs w:val="24"/>
          <w:color w:val="auto"/>
        </w:rPr>
      </w:pP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62" w:lineRule="exact"/>
        <w:rPr>
          <w:sz w:val="24"/>
          <w:szCs w:val="24"/>
          <w:color w:val="auto"/>
        </w:rPr>
      </w:pPr>
    </w:p>
    <w:p>
      <w:pPr>
        <w:ind w:left="380"/>
        <w:spacing w:after="0" w:line="23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38100</wp:posOffset>
            </wp:positionH>
            <wp:positionV relativeFrom="paragraph">
              <wp:posOffset>-241300</wp:posOffset>
            </wp:positionV>
            <wp:extent cx="135255" cy="135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" cy="135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2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2"/>
        </w:trPr>
        <w:tc>
          <w:tcPr>
            <w:tcW w:w="6400" w:type="dxa"/>
            <w:vAlign w:val="bottom"/>
          </w:tcPr>
          <w:p>
            <w:pPr>
              <w:jc w:val="center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73"/>
              <w:spacing w:after="0" w:line="14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0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9"/>
        </w:trPr>
        <w:tc>
          <w:tcPr>
            <w:tcW w:w="64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9"/>
        </w:trPr>
        <w:tc>
          <w:tcPr>
            <w:tcW w:w="64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7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40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5363845</wp:posOffset>
            </wp:positionH>
            <wp:positionV relativeFrom="paragraph">
              <wp:posOffset>-625475</wp:posOffset>
            </wp:positionV>
            <wp:extent cx="8255" cy="6261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626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4060825</wp:posOffset>
            </wp:positionH>
            <wp:positionV relativeFrom="paragraph">
              <wp:posOffset>-633730</wp:posOffset>
            </wp:positionV>
            <wp:extent cx="8255" cy="63436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634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4086225</wp:posOffset>
            </wp:positionH>
            <wp:positionV relativeFrom="paragraph">
              <wp:posOffset>-608330</wp:posOffset>
            </wp:positionV>
            <wp:extent cx="1260475" cy="58356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475" cy="583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-1557020</wp:posOffset>
            </wp:positionH>
            <wp:positionV relativeFrom="paragraph">
              <wp:posOffset>32385</wp:posOffset>
            </wp:positionV>
            <wp:extent cx="6964045" cy="193802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4045" cy="1938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01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200" w:space="260"/>
            <w:col w:w="8620"/>
          </w:cols>
          <w:pgMar w:left="460" w:top="225" w:right="359" w:bottom="1440" w:gutter="0" w:footer="0" w:header="0"/>
        </w:sect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1. Name and Address of Reporting Person</w:t>
      </w:r>
      <w:r>
        <w:rPr>
          <w:rFonts w:ascii="Arial" w:cs="Arial" w:eastAsia="Arial" w:hAnsi="Arial"/>
          <w:sz w:val="22"/>
          <w:szCs w:val="22"/>
          <w:color w:val="auto"/>
          <w:vertAlign w:val="superscript"/>
        </w:rPr>
        <w:t>*</w:t>
      </w:r>
    </w:p>
    <w:p>
      <w:pPr>
        <w:ind w:left="120"/>
        <w:spacing w:after="0"/>
        <w:rPr>
          <w:rFonts w:ascii="Arial" w:cs="Arial" w:eastAsia="Arial" w:hAnsi="Arial"/>
          <w:sz w:val="21"/>
          <w:szCs w:val="21"/>
          <w:u w:val="single" w:color="auto"/>
          <w:color w:val="0000EE"/>
        </w:rPr>
      </w:pPr>
      <w:hyperlink r:id="rId13">
        <w:r>
          <w:rPr>
            <w:rFonts w:ascii="Arial" w:cs="Arial" w:eastAsia="Arial" w:hAnsi="Arial"/>
            <w:sz w:val="21"/>
            <w:szCs w:val="21"/>
            <w:u w:val="single" w:color="auto"/>
            <w:color w:val="0000EE"/>
          </w:rPr>
          <w:t>Molnar Istvan</w:t>
        </w:r>
      </w:hyperlink>
    </w:p>
    <w:p>
      <w:pPr>
        <w:spacing w:after="0" w:line="321" w:lineRule="exact"/>
        <w:rPr>
          <w:sz w:val="24"/>
          <w:szCs w:val="24"/>
          <w:color w:val="auto"/>
        </w:rPr>
      </w:pPr>
    </w:p>
    <w:p>
      <w:pPr>
        <w:ind w:left="120"/>
        <w:spacing w:after="0"/>
        <w:tabs>
          <w:tab w:leader="none" w:pos="1320" w:val="left"/>
          <w:tab w:leader="none" w:pos="25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(Last)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(First)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(Middle)</w:t>
      </w:r>
    </w:p>
    <w:p>
      <w:pPr>
        <w:spacing w:after="0" w:line="69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C/O LANTHEUS HOLDINGS, INC.</w:t>
      </w:r>
    </w:p>
    <w:p>
      <w:pPr>
        <w:spacing w:after="0" w:line="71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331 TREBLE COVE ROAD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2. Issuer Name </w:t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and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Ticker or Trading Symbol</w:t>
      </w:r>
    </w:p>
    <w:p>
      <w:pPr>
        <w:spacing w:after="0" w:line="10" w:lineRule="exact"/>
        <w:rPr>
          <w:sz w:val="24"/>
          <w:szCs w:val="24"/>
          <w:color w:val="auto"/>
        </w:rPr>
      </w:pPr>
    </w:p>
    <w:p>
      <w:pPr>
        <w:spacing w:after="0"/>
        <w:rPr>
          <w:rFonts w:ascii="Arial" w:cs="Arial" w:eastAsia="Arial" w:hAnsi="Arial"/>
          <w:sz w:val="20"/>
          <w:szCs w:val="20"/>
          <w:color w:val="0000EE"/>
        </w:rPr>
      </w:pPr>
      <w:hyperlink r:id="rId14">
        <w:r>
          <w:rPr>
            <w:rFonts w:ascii="Arial" w:cs="Arial" w:eastAsia="Arial" w:hAnsi="Arial"/>
            <w:sz w:val="20"/>
            <w:szCs w:val="20"/>
            <w:u w:val="single" w:color="auto"/>
            <w:color w:val="0000EE"/>
          </w:rPr>
          <w:t>Lantheus Holdings, Inc.</w:t>
        </w:r>
        <w:r>
          <w:rPr>
            <w:rFonts w:ascii="Arial" w:cs="Arial" w:eastAsia="Arial" w:hAnsi="Arial"/>
            <w:sz w:val="20"/>
            <w:szCs w:val="20"/>
            <w:color w:val="0000EE"/>
          </w:rPr>
          <w:t xml:space="preserve"> </w:t>
        </w:r>
      </w:hyperlink>
      <w:r>
        <w:rPr>
          <w:rFonts w:ascii="Arial" w:cs="Arial" w:eastAsia="Arial" w:hAnsi="Arial"/>
          <w:sz w:val="20"/>
          <w:szCs w:val="20"/>
          <w:color w:val="000000"/>
        </w:rPr>
        <w:t>[</w:t>
      </w:r>
      <w:r>
        <w:rPr>
          <w:rFonts w:ascii="Arial" w:cs="Arial" w:eastAsia="Arial" w:hAnsi="Arial"/>
          <w:sz w:val="20"/>
          <w:szCs w:val="20"/>
          <w:color w:val="0000EE"/>
        </w:rPr>
        <w:t xml:space="preserve"> </w:t>
      </w:r>
      <w:r>
        <w:rPr>
          <w:rFonts w:ascii="Arial" w:cs="Arial" w:eastAsia="Arial" w:hAnsi="Arial"/>
          <w:sz w:val="16"/>
          <w:szCs w:val="16"/>
          <w:color w:val="0000FF"/>
        </w:rPr>
        <w:t>LNTH</w:t>
      </w:r>
      <w:r>
        <w:rPr>
          <w:rFonts w:ascii="Arial" w:cs="Arial" w:eastAsia="Arial" w:hAnsi="Arial"/>
          <w:sz w:val="20"/>
          <w:szCs w:val="20"/>
          <w:color w:val="0000EE"/>
        </w:rPr>
        <w:t xml:space="preserve"> </w:t>
      </w:r>
      <w:r>
        <w:rPr>
          <w:rFonts w:ascii="Arial" w:cs="Arial" w:eastAsia="Arial" w:hAnsi="Arial"/>
          <w:sz w:val="20"/>
          <w:szCs w:val="20"/>
          <w:color w:val="000000"/>
        </w:rPr>
        <w:t>]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5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3. Date of Earliest Transaction (Month/Day/Year)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03/04/2021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9" w:lineRule="exact"/>
        <w:rPr>
          <w:sz w:val="24"/>
          <w:szCs w:val="24"/>
          <w:color w:val="auto"/>
        </w:rPr>
      </w:pPr>
    </w:p>
    <w:p>
      <w:pPr>
        <w:ind w:left="5" w:right="540" w:hanging="5"/>
        <w:spacing w:after="0" w:line="253" w:lineRule="auto"/>
        <w:tabs>
          <w:tab w:leader="none" w:pos="153" w:val="left"/>
        </w:tabs>
        <w:numPr>
          <w:ilvl w:val="0"/>
          <w:numId w:val="1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Relationship of Reporting Person(s) to Issuer (Check all applicable)</w:t>
      </w:r>
    </w:p>
    <w:p>
      <w:pPr>
        <w:spacing w:after="0" w:line="18" w:lineRule="exact"/>
        <w:rPr>
          <w:sz w:val="24"/>
          <w:szCs w:val="24"/>
          <w:color w:val="auto"/>
        </w:rPr>
      </w:pPr>
    </w:p>
    <w:tbl>
      <w:tblPr>
        <w:tblLayout w:type="fixed"/>
        <w:tblInd w:w="205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1"/>
        </w:trPr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Director</w:t>
            </w:r>
          </w:p>
        </w:tc>
        <w:tc>
          <w:tcPr>
            <w:tcW w:w="11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6"/>
        </w:trPr>
        <w:tc>
          <w:tcPr>
            <w:tcW w:w="22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X</w:t>
            </w:r>
          </w:p>
        </w:tc>
        <w:tc>
          <w:tcPr>
            <w:tcW w:w="13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Officer (give title</w:t>
            </w:r>
          </w:p>
        </w:tc>
        <w:tc>
          <w:tcPr>
            <w:tcW w:w="11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6"/>
        </w:trPr>
        <w:tc>
          <w:tcPr>
            <w:tcW w:w="22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6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1140" w:type="dxa"/>
            <w:vAlign w:val="bottom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5"/>
        </w:trPr>
        <w:tc>
          <w:tcPr>
            <w:tcW w:w="2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805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Chief Medical Officer</w:t>
      </w:r>
    </w:p>
    <w:p>
      <w:pPr>
        <w:spacing w:after="0" w:line="568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3">
            <w:col w:w="3200" w:space="720"/>
            <w:col w:w="3095" w:space="720"/>
            <w:col w:w="3345"/>
          </w:cols>
          <w:pgMar w:left="460" w:top="225" w:right="359" w:bottom="1440" w:gutter="0" w:footer="0" w:header="0"/>
          <w:type w:val="continuous"/>
        </w:sectPr>
      </w:pPr>
    </w:p>
    <w:p>
      <w:pPr>
        <w:spacing w:after="0" w:line="136" w:lineRule="exact"/>
        <w:rPr>
          <w:sz w:val="24"/>
          <w:szCs w:val="24"/>
          <w:color w:val="auto"/>
        </w:rPr>
      </w:pPr>
    </w:p>
    <w:tbl>
      <w:tblPr>
        <w:tblLayout w:type="fixed"/>
        <w:tblInd w:w="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1"/>
        </w:trPr>
        <w:tc>
          <w:tcPr>
            <w:tcW w:w="11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(Street)</w:t>
            </w: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1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NORTH</w:t>
            </w:r>
          </w:p>
        </w:tc>
        <w:tc>
          <w:tcPr>
            <w:tcW w:w="980" w:type="dxa"/>
            <w:vAlign w:val="bottom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MA</w:t>
            </w:r>
          </w:p>
        </w:tc>
        <w:tc>
          <w:tcPr>
            <w:tcW w:w="1600" w:type="dxa"/>
            <w:vAlign w:val="bottom"/>
            <w:vMerge w:val="restart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01862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4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6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BILLERICA</w:t>
            </w:r>
          </w:p>
        </w:tc>
        <w:tc>
          <w:tcPr>
            <w:tcW w:w="9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7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6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7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(City)</w:t>
            </w:r>
          </w:p>
        </w:tc>
        <w:tc>
          <w:tcPr>
            <w:tcW w:w="98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(State)</w:t>
            </w:r>
          </w:p>
        </w:tc>
        <w:tc>
          <w:tcPr>
            <w:tcW w:w="160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(Zip)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tabs>
          <w:tab w:leader="none" w:pos="3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4. If Amendment, Date of Original Filed (Month/Day/Year)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6. Individual or Joint/Group Filing (Check Applicable</w:t>
      </w:r>
    </w:p>
    <w:p>
      <w:pPr>
        <w:ind w:left="38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Line)</w:t>
      </w:r>
    </w:p>
    <w:p>
      <w:pPr>
        <w:ind w:left="4020"/>
        <w:spacing w:after="0" w:line="233" w:lineRule="auto"/>
        <w:tabs>
          <w:tab w:leader="none" w:pos="43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X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Form filed by One Reporting Person</w:t>
      </w:r>
    </w:p>
    <w:p>
      <w:pPr>
        <w:spacing w:after="0" w:line="111" w:lineRule="exact"/>
        <w:rPr>
          <w:sz w:val="24"/>
          <w:szCs w:val="24"/>
          <w:color w:val="auto"/>
        </w:rPr>
      </w:pPr>
    </w:p>
    <w:p>
      <w:pPr>
        <w:ind w:left="43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Form filed by More than One Reporting</w:t>
      </w:r>
    </w:p>
    <w:p>
      <w:pPr>
        <w:ind w:left="43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Person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-2484120</wp:posOffset>
            </wp:positionH>
            <wp:positionV relativeFrom="paragraph">
              <wp:posOffset>277495</wp:posOffset>
            </wp:positionV>
            <wp:extent cx="6964045" cy="134556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4045" cy="1345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498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3760" w:space="160"/>
            <w:col w:w="7160"/>
          </w:cols>
          <w:pgMar w:left="460" w:top="225" w:right="359" w:bottom="1440" w:gutter="0" w:footer="0" w:header="0"/>
          <w:type w:val="continuous"/>
        </w:sectPr>
      </w:pPr>
    </w:p>
    <w:p>
      <w:pPr>
        <w:jc w:val="center"/>
        <w:ind w:righ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Table I - Non-Derivative Securities Acquired, Disposed of, or Beneficially Owned</w:t>
      </w:r>
    </w:p>
    <w:p>
      <w:pPr>
        <w:spacing w:after="0" w:line="127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760" w:type="dxa"/>
            <w:vAlign w:val="bottom"/>
          </w:tcPr>
          <w:p>
            <w:pPr>
              <w:ind w:left="7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192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11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</w:tcPr>
          <w:p>
            <w:pPr>
              <w:ind w:left="72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1920" w:type="dxa"/>
            <w:vAlign w:val="bottom"/>
            <w:gridSpan w:val="3"/>
          </w:tcPr>
          <w:p>
            <w:pPr>
              <w:ind w:left="6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</w:t>
            </w:r>
          </w:p>
        </w:tc>
        <w:tc>
          <w:tcPr>
            <w:tcW w:w="1140" w:type="dxa"/>
            <w:vAlign w:val="bottom"/>
          </w:tcPr>
          <w:p>
            <w:pPr>
              <w:ind w:left="6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40" w:type="dxa"/>
            <w:vAlign w:val="bottom"/>
          </w:tcPr>
          <w:p>
            <w:pPr>
              <w:ind w:left="8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</w:tcPr>
          <w:p>
            <w:pPr>
              <w:ind w:left="7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40" w:type="dxa"/>
            <w:vAlign w:val="bottom"/>
            <w:vMerge w:val="restart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  <w:vMerge w:val="restart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76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520" w:type="dxa"/>
            <w:vAlign w:val="bottom"/>
          </w:tcPr>
          <w:p>
            <w:pPr>
              <w:ind w:left="1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640" w:type="dxa"/>
            <w:vAlign w:val="bottom"/>
            <w:vMerge w:val="restart"/>
          </w:tcPr>
          <w:p>
            <w:pPr>
              <w:jc w:val="right"/>
              <w:ind w:right="18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114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4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2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64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4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2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80" w:type="dxa"/>
            <w:vAlign w:val="bottom"/>
            <w:tcBorders>
              <w:bottom w:val="single" w:sz="8" w:color="2C2C2C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Common Stock</w:t>
            </w:r>
          </w:p>
        </w:tc>
        <w:tc>
          <w:tcPr>
            <w:tcW w:w="1760" w:type="dxa"/>
            <w:vAlign w:val="bottom"/>
            <w:tcBorders>
              <w:bottom w:val="single" w:sz="8" w:color="2C2C2C"/>
            </w:tcBorders>
          </w:tcPr>
          <w:p>
            <w:pPr>
              <w:jc w:val="right"/>
              <w:ind w:right="8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03/04/2021</w:t>
            </w: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color w:val="0000FF"/>
                <w:vertAlign w:val="subscript"/>
              </w:rPr>
              <w:t>S</w:t>
            </w: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(1)</w:t>
            </w: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jc w:val="right"/>
              <w:ind w:right="9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4,027</w:t>
            </w: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D</w:t>
            </w: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jc w:val="right"/>
              <w:ind w:right="4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$</w:t>
            </w: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18.4</w:t>
            </w: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ind w:right="17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25,130</w:t>
            </w:r>
            <w:r>
              <w:rPr>
                <w:rFonts w:ascii="Arial" w:cs="Arial" w:eastAsia="Arial" w:hAnsi="Arial"/>
                <w:sz w:val="22"/>
                <w:szCs w:val="22"/>
                <w:color w:val="008000"/>
                <w:vertAlign w:val="superscript"/>
              </w:rPr>
              <w:t>(2)</w:t>
            </w: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D</w:t>
            </w: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4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Common Stock</w:t>
            </w:r>
          </w:p>
        </w:tc>
        <w:tc>
          <w:tcPr>
            <w:tcW w:w="1760" w:type="dxa"/>
            <w:vAlign w:val="bottom"/>
          </w:tcPr>
          <w:p>
            <w:pPr>
              <w:jc w:val="right"/>
              <w:ind w:right="8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03/04/2021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A</w:t>
            </w:r>
          </w:p>
        </w:tc>
        <w:tc>
          <w:tcPr>
            <w:tcW w:w="760" w:type="dxa"/>
            <w:vAlign w:val="bottom"/>
          </w:tcPr>
          <w:p>
            <w:pPr>
              <w:jc w:val="right"/>
              <w:ind w:right="5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33,820</w:t>
            </w:r>
          </w:p>
        </w:tc>
        <w:tc>
          <w:tcPr>
            <w:tcW w:w="52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A</w:t>
            </w:r>
          </w:p>
        </w:tc>
        <w:tc>
          <w:tcPr>
            <w:tcW w:w="640" w:type="dxa"/>
            <w:vAlign w:val="bottom"/>
          </w:tcPr>
          <w:p>
            <w:pPr>
              <w:jc w:val="right"/>
              <w:ind w:right="4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$</w:t>
            </w: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0.00</w:t>
            </w:r>
          </w:p>
        </w:tc>
        <w:tc>
          <w:tcPr>
            <w:tcW w:w="1140" w:type="dxa"/>
            <w:vAlign w:val="bottom"/>
          </w:tcPr>
          <w:p>
            <w:pPr>
              <w:jc w:val="right"/>
              <w:ind w:right="25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58,950</w:t>
            </w:r>
          </w:p>
        </w:tc>
        <w:tc>
          <w:tcPr>
            <w:tcW w:w="940" w:type="dxa"/>
            <w:vAlign w:val="bottom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D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1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480" w:type="dxa"/>
            <w:vAlign w:val="bottom"/>
            <w:tcBorders>
              <w:top w:val="single" w:sz="8" w:color="808080"/>
            </w:tcBorders>
            <w:shd w:val="clear" w:color="auto" w:fill="2C2C2C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top w:val="single" w:sz="8" w:color="808080"/>
            </w:tcBorders>
            <w:shd w:val="clear" w:color="auto" w:fill="2C2C2C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top w:val="single" w:sz="8" w:color="808080"/>
            </w:tcBorders>
            <w:shd w:val="clear" w:color="auto" w:fill="2C2C2C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808080"/>
            </w:tcBorders>
            <w:shd w:val="clear" w:color="auto" w:fill="2C2C2C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top w:val="single" w:sz="8" w:color="808080"/>
            </w:tcBorders>
            <w:shd w:val="clear" w:color="auto" w:fill="2C2C2C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top w:val="single" w:sz="8" w:color="808080"/>
            </w:tcBorders>
            <w:shd w:val="clear" w:color="auto" w:fill="2C2C2C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808080"/>
            </w:tcBorders>
            <w:shd w:val="clear" w:color="auto" w:fill="2C2C2C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top w:val="single" w:sz="8" w:color="808080"/>
            </w:tcBorders>
            <w:shd w:val="clear" w:color="auto" w:fill="2C2C2C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top w:val="single" w:sz="8" w:color="808080"/>
            </w:tcBorders>
            <w:shd w:val="clear" w:color="auto" w:fill="2C2C2C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top w:val="single" w:sz="8" w:color="808080"/>
            </w:tcBorders>
            <w:shd w:val="clear" w:color="auto" w:fill="2C2C2C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  <w:shd w:val="clear" w:color="auto" w:fill="2C2C2C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808080"/>
            </w:tcBorders>
            <w:shd w:val="clear" w:color="auto" w:fill="2C2C2C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4445</wp:posOffset>
            </wp:positionH>
            <wp:positionV relativeFrom="paragraph">
              <wp:posOffset>-16510</wp:posOffset>
            </wp:positionV>
            <wp:extent cx="7031355" cy="179387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1355" cy="179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4" w:lineRule="exact"/>
        <w:rPr>
          <w:sz w:val="24"/>
          <w:szCs w:val="24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Table II - Derivative Securities Acquired, Disposed of, or Beneficially Owned</w:t>
      </w:r>
    </w:p>
    <w:p>
      <w:pPr>
        <w:spacing w:after="0" w:line="26" w:lineRule="exact"/>
        <w:rPr>
          <w:sz w:val="24"/>
          <w:szCs w:val="24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(e.g., puts, calls, warrants, options, convertible securities)</w:t>
      </w:r>
    </w:p>
    <w:p>
      <w:pPr>
        <w:spacing w:after="0" w:line="114" w:lineRule="exact"/>
        <w:rPr>
          <w:sz w:val="24"/>
          <w:szCs w:val="24"/>
          <w:color w:val="auto"/>
        </w:rPr>
      </w:pPr>
    </w:p>
    <w:tbl>
      <w:tblPr>
        <w:tblLayout w:type="fixed"/>
        <w:tblInd w:w="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38"/>
        </w:trPr>
        <w:tc>
          <w:tcPr>
            <w:tcW w:w="6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8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9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Title and</w:t>
            </w:r>
          </w:p>
        </w:tc>
        <w:tc>
          <w:tcPr>
            <w:tcW w:w="7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9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</w:t>
            </w: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10.</w:t>
            </w:r>
          </w:p>
        </w:tc>
        <w:tc>
          <w:tcPr>
            <w:tcW w:w="7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</w:tr>
      <w:tr>
        <w:trPr>
          <w:trHeight w:val="133"/>
        </w:trPr>
        <w:tc>
          <w:tcPr>
            <w:tcW w:w="66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8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54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98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 of</w:t>
            </w:r>
          </w:p>
        </w:tc>
        <w:tc>
          <w:tcPr>
            <w:tcW w:w="72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9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70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</w:tr>
      <w:tr>
        <w:trPr>
          <w:trHeight w:val="133"/>
        </w:trPr>
        <w:tc>
          <w:tcPr>
            <w:tcW w:w="66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8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54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98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72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9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70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</w:tr>
      <w:tr>
        <w:trPr>
          <w:trHeight w:val="133"/>
        </w:trPr>
        <w:tc>
          <w:tcPr>
            <w:tcW w:w="66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8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Underlying</w:t>
            </w:r>
          </w:p>
        </w:tc>
        <w:tc>
          <w:tcPr>
            <w:tcW w:w="72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9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70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6"/>
              </w:rPr>
              <w:t>Ownership</w:t>
            </w:r>
          </w:p>
        </w:tc>
      </w:tr>
      <w:tr>
        <w:trPr>
          <w:trHeight w:val="133"/>
        </w:trPr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70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</w:tr>
      <w:tr>
        <w:trPr>
          <w:trHeight w:val="133"/>
        </w:trPr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 (Instr.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133"/>
        </w:trPr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 and 4)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133"/>
        </w:trPr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133"/>
        </w:trPr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159"/>
        </w:trPr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51"/>
        </w:trPr>
        <w:tc>
          <w:tcPr>
            <w:tcW w:w="6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171"/>
        </w:trPr>
        <w:tc>
          <w:tcPr>
            <w:tcW w:w="6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33"/>
        </w:trPr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ind w:left="4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133"/>
        </w:trPr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ind w:left="4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133"/>
        </w:trPr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980" w:type="dxa"/>
            <w:vAlign w:val="bottom"/>
          </w:tcPr>
          <w:p>
            <w:pPr>
              <w:ind w:left="4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159"/>
        </w:trPr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 (D)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9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  Shares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</w:tbl>
    <w:p>
      <w:pPr>
        <w:spacing w:after="0" w:line="94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Explanation of Responses:</w:t>
      </w:r>
    </w:p>
    <w:p>
      <w:pPr>
        <w:spacing w:after="0" w:line="58" w:lineRule="exact"/>
        <w:rPr>
          <w:sz w:val="24"/>
          <w:szCs w:val="24"/>
          <w:color w:val="auto"/>
        </w:rPr>
      </w:pPr>
    </w:p>
    <w:p>
      <w:pPr>
        <w:ind w:left="40" w:right="360" w:firstLine="7"/>
        <w:spacing w:after="0" w:line="250" w:lineRule="auto"/>
        <w:tabs>
          <w:tab w:leader="none" w:pos="173" w:val="left"/>
        </w:tabs>
        <w:numPr>
          <w:ilvl w:val="0"/>
          <w:numId w:val="2"/>
        </w:numPr>
        <w:rPr>
          <w:rFonts w:ascii="Arial" w:cs="Arial" w:eastAsia="Arial" w:hAnsi="Arial"/>
          <w:sz w:val="13"/>
          <w:szCs w:val="13"/>
          <w:color w:val="008000"/>
        </w:rPr>
      </w:pPr>
      <w:r>
        <w:rPr>
          <w:rFonts w:ascii="Arial" w:cs="Arial" w:eastAsia="Arial" w:hAnsi="Arial"/>
          <w:sz w:val="13"/>
          <w:szCs w:val="13"/>
          <w:color w:val="008000"/>
        </w:rPr>
        <w:t>The Company requires certain senior executives to cover tax liabilities resulting from the vesting of their equity awards pursuant to sell-to-cover transactions in compliance with Rule 10b5-1. The transactions reported in this Form 4 were effected in compliance with Rule 10b5-1 to satisfy withholding tax liabilities of the Reporting Person associated with the vesting of restricted stock previously granted and reported on a previously filed Form 4.</w:t>
      </w:r>
    </w:p>
    <w:p>
      <w:pPr>
        <w:spacing w:after="0" w:line="25" w:lineRule="exact"/>
        <w:rPr>
          <w:rFonts w:ascii="Arial" w:cs="Arial" w:eastAsia="Arial" w:hAnsi="Arial"/>
          <w:sz w:val="13"/>
          <w:szCs w:val="13"/>
          <w:color w:val="008000"/>
        </w:rPr>
      </w:pPr>
    </w:p>
    <w:p>
      <w:pPr>
        <w:ind w:left="180" w:hanging="133"/>
        <w:spacing w:after="0"/>
        <w:tabs>
          <w:tab w:leader="none" w:pos="180" w:val="left"/>
        </w:tabs>
        <w:numPr>
          <w:ilvl w:val="0"/>
          <w:numId w:val="2"/>
        </w:numPr>
        <w:rPr>
          <w:rFonts w:ascii="Arial" w:cs="Arial" w:eastAsia="Arial" w:hAnsi="Arial"/>
          <w:sz w:val="13"/>
          <w:szCs w:val="13"/>
          <w:color w:val="008000"/>
        </w:rPr>
      </w:pPr>
      <w:r>
        <w:rPr>
          <w:rFonts w:ascii="Arial" w:cs="Arial" w:eastAsia="Arial" w:hAnsi="Arial"/>
          <w:sz w:val="13"/>
          <w:szCs w:val="13"/>
          <w:color w:val="008000"/>
        </w:rPr>
        <w:t>Includes 157 shares acquired under the LNTH employee stock purchase plan on September 11, 2020.</w:t>
      </w:r>
    </w:p>
    <w:p>
      <w:pPr>
        <w:spacing w:after="0" w:line="40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Remarks:</w:t>
      </w:r>
    </w:p>
    <w:p>
      <w:pPr>
        <w:spacing w:after="0" w:line="134" w:lineRule="exact"/>
        <w:rPr>
          <w:sz w:val="24"/>
          <w:szCs w:val="24"/>
          <w:color w:val="auto"/>
        </w:rPr>
      </w:pPr>
    </w:p>
    <w:tbl>
      <w:tblPr>
        <w:tblLayout w:type="fixed"/>
        <w:tblInd w:w="65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95"/>
        </w:trPr>
        <w:tc>
          <w:tcPr>
            <w:tcW w:w="208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/s/ Daniel M. Niedzwiecki,</w:t>
            </w:r>
          </w:p>
        </w:tc>
        <w:tc>
          <w:tcPr>
            <w:tcW w:w="920" w:type="dxa"/>
            <w:vAlign w:val="bottom"/>
            <w:gridSpan w:val="2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1"/>
              </w:rPr>
              <w:t>03/08/2021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7"/>
        </w:trPr>
        <w:tc>
          <w:tcPr>
            <w:tcW w:w="1880" w:type="dxa"/>
            <w:vAlign w:val="bottom"/>
            <w:tcBorders>
              <w:top w:val="single" w:sz="8" w:color="auto"/>
            </w:tcBorders>
            <w:gridSpan w:val="2"/>
            <w:vMerge w:val="restart"/>
          </w:tcPr>
          <w:p>
            <w:pPr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attorney-in-fact</w:t>
            </w:r>
          </w:p>
        </w:tc>
        <w:tc>
          <w:tcPr>
            <w:tcW w:w="200" w:type="dxa"/>
            <w:vAlign w:val="bottom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7"/>
        </w:trPr>
        <w:tc>
          <w:tcPr>
            <w:tcW w:w="1880" w:type="dxa"/>
            <w:vAlign w:val="bottom"/>
            <w:tcBorders>
              <w:top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108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0" w:type="dxa"/>
            <w:vAlign w:val="bottom"/>
            <w:gridSpan w:val="2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208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** Signature of Reporting Person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Date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39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Reminder: Report on a separate line for each class of securities beneficially owned directly or indirectly.</w:t>
      </w:r>
    </w:p>
    <w:p>
      <w:pPr>
        <w:spacing w:after="0" w:line="36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4 (b)(v).</w:t>
      </w:r>
    </w:p>
    <w:p>
      <w:pPr>
        <w:spacing w:after="0" w:line="50" w:lineRule="exact"/>
        <w:rPr>
          <w:sz w:val="24"/>
          <w:szCs w:val="24"/>
          <w:color w:val="auto"/>
        </w:rPr>
      </w:pPr>
    </w:p>
    <w:p>
      <w:pPr>
        <w:jc w:val="both"/>
        <w:ind w:left="40" w:right="3340" w:firstLine="7"/>
        <w:spacing w:after="0" w:line="319" w:lineRule="auto"/>
        <w:tabs>
          <w:tab w:leader="none" w:pos="181" w:val="left"/>
        </w:tabs>
        <w:numPr>
          <w:ilvl w:val="0"/>
          <w:numId w:val="3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080"/>
      </w:cols>
      <w:pgMar w:left="460" w:top="225" w:right="35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6334873"/>
    <w:multiLevelType w:val="hybridMultilevel"/>
    <w:lvl w:ilvl="0">
      <w:lvlJc w:val="left"/>
      <w:lvlText w:val="%1."/>
      <w:numFmt w:val="decimal"/>
      <w:start w:val="5"/>
    </w:lvl>
  </w:abstractNum>
  <w:abstractNum w:abstractNumId="1">
    <w:nsid w:val="74B0DC51"/>
    <w:multiLevelType w:val="hybridMultilevel"/>
    <w:lvl w:ilvl="0">
      <w:lvlJc w:val="left"/>
      <w:lvlText w:val="%1."/>
      <w:numFmt w:val="decimal"/>
      <w:start w:val="1"/>
    </w:lvl>
  </w:abstractNum>
  <w:abstractNum w:abstractNumId="2">
    <w:nsid w:val="19495CFF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openxmlformats.org/officeDocument/2006/relationships/image" Target="media/image7.png"/><Relationship Id="rId13" Type="http://schemas.openxmlformats.org/officeDocument/2006/relationships/hyperlink" Target="http://www.sec.gov/cgi-bin/browse-edgar?action=getcompany&amp;CIK=0001799321" TargetMode="External"/><Relationship Id="rId14" Type="http://schemas.openxmlformats.org/officeDocument/2006/relationships/hyperlink" Target="http://www.sec.gov/cgi-bin/browse-edgar?action=getcompany&amp;CIK=0001521036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2021-03-08T19:42:23Z</dcterms:created>
  <dcterms:modified xsi:type="dcterms:W3CDTF">2021-03-08T19:42:23Z</dcterms:modified>
</cp:coreProperties>
</file>