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514985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429260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3" w:lineRule="exact"/>
        <w:rPr>
          <w:sz w:val="24"/>
          <w:szCs w:val="24"/>
          <w:color w:val="auto"/>
        </w:rPr>
      </w:pPr>
    </w:p>
    <w:p>
      <w:pPr>
        <w:ind w:left="4020"/>
        <w:spacing w:after="0"/>
        <w:rPr>
          <w:sz w:val="20"/>
          <w:szCs w:val="20"/>
          <w:color w:val="auto"/>
        </w:rPr>
      </w:pPr>
      <w:r>
        <w:rPr>
          <w:rFonts w:ascii="Arial" w:cs="Arial" w:eastAsia="Arial" w:hAnsi="Arial"/>
          <w:sz w:val="11"/>
          <w:szCs w:val="11"/>
          <w:b w:val="1"/>
          <w:bCs w:val="1"/>
          <w:color w:val="auto"/>
        </w:rPr>
        <w:t>_______________________________________________________________</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31" w:lineRule="exact"/>
        <w:rPr>
          <w:sz w:val="24"/>
          <w:szCs w:val="24"/>
          <w:color w:val="auto"/>
        </w:rPr>
      </w:pPr>
    </w:p>
    <w:p>
      <w:pPr>
        <w:ind w:left="4020"/>
        <w:spacing w:after="0"/>
        <w:rPr>
          <w:sz w:val="20"/>
          <w:szCs w:val="20"/>
          <w:color w:val="auto"/>
        </w:rPr>
      </w:pPr>
      <w:r>
        <w:rPr>
          <w:rFonts w:ascii="Arial" w:cs="Arial" w:eastAsia="Arial" w:hAnsi="Arial"/>
          <w:sz w:val="11"/>
          <w:szCs w:val="11"/>
          <w:b w:val="1"/>
          <w:bCs w:val="1"/>
          <w:color w:val="auto"/>
        </w:rPr>
        <w:t>_______________________________________________________________</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0" w:lineRule="exact"/>
        <w:rPr>
          <w:sz w:val="24"/>
          <w:szCs w:val="24"/>
          <w:color w:val="auto"/>
        </w:rPr>
      </w:pPr>
    </w:p>
    <w:p>
      <w:pPr>
        <w:ind w:left="720" w:hanging="44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2018</w:t>
      </w:r>
    </w:p>
    <w:p>
      <w:pPr>
        <w:spacing w:after="0" w:line="237" w:lineRule="exact"/>
        <w:rPr>
          <w:rFonts w:ascii="MS PGothic" w:cs="MS PGothic" w:eastAsia="MS PGothic" w:hAnsi="MS PGothic"/>
          <w:sz w:val="18"/>
          <w:szCs w:val="18"/>
          <w:color w:val="auto"/>
        </w:rPr>
      </w:pPr>
    </w:p>
    <w:p>
      <w:pPr>
        <w:ind w:left="740" w:hanging="462"/>
        <w:spacing w:after="0"/>
        <w:tabs>
          <w:tab w:leader="none" w:pos="740" w:val="left"/>
        </w:tabs>
        <w:numPr>
          <w:ilvl w:val="1"/>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380" w:type="dxa"/>
            <w:vAlign w:val="bottom"/>
            <w:gridSpan w:val="4"/>
          </w:tcPr>
          <w:p>
            <w:pPr>
              <w:ind w:left="1500"/>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60" w:type="dxa"/>
            <w:vAlign w:val="bottom"/>
            <w:tcBorders>
              <w:bottom w:val="single" w:sz="8" w:color="auto"/>
            </w:tcBorders>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460" w:type="dxa"/>
            <w:vAlign w:val="bottom"/>
          </w:tcPr>
          <w:p>
            <w:pPr>
              <w:spacing w:after="0"/>
              <w:rPr>
                <w:sz w:val="24"/>
                <w:szCs w:val="24"/>
                <w:color w:val="auto"/>
              </w:rPr>
            </w:pPr>
          </w:p>
        </w:tc>
        <w:tc>
          <w:tcPr>
            <w:tcW w:w="4760" w:type="dxa"/>
            <w:vAlign w:val="bottom"/>
            <w:gridSpan w:val="8"/>
          </w:tcPr>
          <w:p>
            <w:pPr>
              <w:jc w:val="center"/>
              <w:ind w:left="1675"/>
              <w:spacing w:after="0"/>
              <w:rPr>
                <w:sz w:val="20"/>
                <w:szCs w:val="20"/>
                <w:color w:val="auto"/>
              </w:rPr>
            </w:pPr>
            <w:r>
              <w:rPr>
                <w:rFonts w:ascii="Arial" w:cs="Arial" w:eastAsia="Arial" w:hAnsi="Arial"/>
                <w:sz w:val="14"/>
                <w:szCs w:val="14"/>
                <w:b w:val="1"/>
                <w:bCs w:val="1"/>
                <w:color w:val="auto"/>
                <w:w w:val="93"/>
              </w:rPr>
              <w:t>Commission File Number 001-36569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480" w:type="dxa"/>
            <w:vAlign w:val="bottom"/>
            <w:gridSpan w:val="10"/>
          </w:tcPr>
          <w:p>
            <w:pPr>
              <w:jc w:val="center"/>
              <w:ind w:left="3891"/>
              <w:spacing w:after="0"/>
              <w:rPr>
                <w:sz w:val="20"/>
                <w:szCs w:val="20"/>
                <w:color w:val="auto"/>
              </w:rPr>
            </w:pPr>
            <w:r>
              <w:rPr>
                <w:rFonts w:ascii="Arial" w:cs="Arial" w:eastAsia="Arial" w:hAnsi="Arial"/>
                <w:sz w:val="11"/>
                <w:szCs w:val="11"/>
                <w:b w:val="1"/>
                <w:bCs w:val="1"/>
                <w:color w:val="auto"/>
                <w:w w:val="88"/>
              </w:rPr>
              <w:t>_______________________________________________________________</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0"/>
        </w:trPr>
        <w:tc>
          <w:tcPr>
            <w:tcW w:w="2460" w:type="dxa"/>
            <w:vAlign w:val="bottom"/>
          </w:tcPr>
          <w:p>
            <w:pPr>
              <w:spacing w:after="0"/>
              <w:rPr>
                <w:sz w:val="24"/>
                <w:szCs w:val="24"/>
                <w:color w:val="auto"/>
              </w:rPr>
            </w:pPr>
          </w:p>
        </w:tc>
        <w:tc>
          <w:tcPr>
            <w:tcW w:w="8600" w:type="dxa"/>
            <w:vAlign w:val="bottom"/>
            <w:gridSpan w:val="12"/>
          </w:tcPr>
          <w:p>
            <w:pPr>
              <w:jc w:val="center"/>
              <w:ind w:right="2100"/>
              <w:spacing w:after="0"/>
              <w:rPr>
                <w:sz w:val="20"/>
                <w:szCs w:val="20"/>
                <w:color w:val="auto"/>
              </w:rPr>
            </w:pPr>
            <w:r>
              <w:rPr>
                <w:rFonts w:ascii="Arial" w:cs="Arial" w:eastAsia="Arial" w:hAnsi="Arial"/>
                <w:sz w:val="32"/>
                <w:szCs w:val="32"/>
                <w:b w:val="1"/>
                <w:bCs w:val="1"/>
                <w:color w:val="auto"/>
              </w:rPr>
              <w:t>LANTHEUS HOLDINGS, INC.</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5320" w:type="dxa"/>
            <w:vAlign w:val="bottom"/>
            <w:tcBorders>
              <w:top w:val="single" w:sz="8" w:color="auto"/>
            </w:tcBorders>
            <w:gridSpan w:val="10"/>
          </w:tcPr>
          <w:p>
            <w:pPr>
              <w:jc w:val="center"/>
              <w:ind w:left="109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200" w:type="dxa"/>
            <w:vAlign w:val="bottom"/>
            <w:tcBorders>
              <w:top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7480" w:type="dxa"/>
            <w:vAlign w:val="bottom"/>
            <w:gridSpan w:val="10"/>
          </w:tcPr>
          <w:p>
            <w:pPr>
              <w:jc w:val="center"/>
              <w:ind w:left="3891"/>
              <w:spacing w:after="0"/>
              <w:rPr>
                <w:sz w:val="20"/>
                <w:szCs w:val="20"/>
                <w:color w:val="auto"/>
              </w:rPr>
            </w:pPr>
            <w:r>
              <w:rPr>
                <w:rFonts w:ascii="Arial" w:cs="Arial" w:eastAsia="Arial" w:hAnsi="Arial"/>
                <w:sz w:val="11"/>
                <w:szCs w:val="11"/>
                <w:b w:val="1"/>
                <w:bCs w:val="1"/>
                <w:color w:val="auto"/>
                <w:w w:val="88"/>
              </w:rPr>
              <w:t>_______________________________________________________________</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560" w:type="dxa"/>
            <w:vAlign w:val="bottom"/>
            <w:gridSpan w:val="6"/>
          </w:tcPr>
          <w:p>
            <w:pPr>
              <w:jc w:val="center"/>
              <w:ind w:right="1020"/>
              <w:spacing w:after="0"/>
              <w:rPr>
                <w:sz w:val="20"/>
                <w:szCs w:val="20"/>
                <w:color w:val="auto"/>
              </w:rPr>
            </w:pPr>
            <w:r>
              <w:rPr>
                <w:rFonts w:ascii="Arial" w:cs="Arial" w:eastAsia="Arial" w:hAnsi="Arial"/>
                <w:sz w:val="16"/>
                <w:szCs w:val="16"/>
                <w:b w:val="1"/>
                <w:bCs w:val="1"/>
                <w:color w:val="auto"/>
                <w:w w:val="93"/>
              </w:rPr>
              <w:t>Delaware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64"/>
              <w:spacing w:after="0"/>
              <w:rPr>
                <w:sz w:val="20"/>
                <w:szCs w:val="20"/>
                <w:color w:val="auto"/>
              </w:rPr>
            </w:pPr>
            <w:r>
              <w:rPr>
                <w:rFonts w:ascii="Arial" w:cs="Arial" w:eastAsia="Arial" w:hAnsi="Arial"/>
                <w:sz w:val="16"/>
                <w:szCs w:val="16"/>
                <w:b w:val="1"/>
                <w:bCs w:val="1"/>
                <w:color w:val="auto"/>
              </w:rPr>
              <w:t>35-2318913</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54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56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411"/>
        </w:trPr>
        <w:tc>
          <w:tcPr>
            <w:tcW w:w="6560" w:type="dxa"/>
            <w:vAlign w:val="bottom"/>
            <w:gridSpan w:val="6"/>
          </w:tcPr>
          <w:p>
            <w:pPr>
              <w:jc w:val="center"/>
              <w:ind w:right="1000"/>
              <w:spacing w:after="0"/>
              <w:rPr>
                <w:sz w:val="20"/>
                <w:szCs w:val="20"/>
                <w:color w:val="auto"/>
              </w:rPr>
            </w:pPr>
            <w:r>
              <w:rPr>
                <w:rFonts w:ascii="Arial" w:cs="Arial" w:eastAsia="Arial" w:hAnsi="Arial"/>
                <w:sz w:val="16"/>
                <w:szCs w:val="16"/>
                <w:b w:val="1"/>
                <w:bCs w:val="1"/>
                <w:color w:val="auto"/>
                <w:w w:val="93"/>
              </w:rPr>
              <w:t>331 Treble Cove Road, North Billerica, MA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44"/>
              <w:spacing w:after="0"/>
              <w:rPr>
                <w:sz w:val="20"/>
                <w:szCs w:val="20"/>
                <w:color w:val="auto"/>
              </w:rPr>
            </w:pPr>
            <w:r>
              <w:rPr>
                <w:rFonts w:ascii="Arial" w:cs="Arial" w:eastAsia="Arial" w:hAnsi="Arial"/>
                <w:sz w:val="16"/>
                <w:szCs w:val="16"/>
                <w:b w:val="1"/>
                <w:bCs w:val="1"/>
                <w:color w:val="auto"/>
              </w:rPr>
              <w:t>01862</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54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560" w:type="dxa"/>
            <w:vAlign w:val="bottom"/>
            <w:gridSpan w:val="6"/>
          </w:tcPr>
          <w:p>
            <w:pPr>
              <w:jc w:val="center"/>
              <w:ind w:right="1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9"/>
        </w:trPr>
        <w:tc>
          <w:tcPr>
            <w:tcW w:w="2460" w:type="dxa"/>
            <w:vAlign w:val="bottom"/>
          </w:tcPr>
          <w:p>
            <w:pPr>
              <w:spacing w:after="0"/>
              <w:rPr>
                <w:sz w:val="24"/>
                <w:szCs w:val="24"/>
                <w:color w:val="auto"/>
              </w:rPr>
            </w:pPr>
          </w:p>
        </w:tc>
        <w:tc>
          <w:tcPr>
            <w:tcW w:w="5320" w:type="dxa"/>
            <w:vAlign w:val="bottom"/>
            <w:gridSpan w:val="10"/>
          </w:tcPr>
          <w:p>
            <w:pPr>
              <w:jc w:val="center"/>
              <w:ind w:left="1095"/>
              <w:spacing w:after="0"/>
              <w:rPr>
                <w:sz w:val="20"/>
                <w:szCs w:val="20"/>
                <w:color w:val="auto"/>
              </w:rPr>
            </w:pPr>
            <w:r>
              <w:rPr>
                <w:rFonts w:ascii="Arial" w:cs="Arial" w:eastAsia="Arial" w:hAnsi="Arial"/>
                <w:sz w:val="14"/>
                <w:szCs w:val="14"/>
                <w:b w:val="1"/>
                <w:bCs w:val="1"/>
                <w:color w:val="auto"/>
                <w:w w:val="92"/>
              </w:rPr>
              <w:t>Registrant’s telephone number, including area code: (978) 671-8001</w:t>
            </w: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460" w:type="dxa"/>
            <w:vAlign w:val="bottom"/>
          </w:tcPr>
          <w:p>
            <w:pPr>
              <w:spacing w:after="0"/>
              <w:rPr>
                <w:sz w:val="24"/>
                <w:szCs w:val="24"/>
                <w:color w:val="auto"/>
              </w:rPr>
            </w:pPr>
          </w:p>
        </w:tc>
        <w:tc>
          <w:tcPr>
            <w:tcW w:w="5320" w:type="dxa"/>
            <w:vAlign w:val="bottom"/>
            <w:gridSpan w:val="10"/>
          </w:tcPr>
          <w:p>
            <w:pPr>
              <w:jc w:val="center"/>
              <w:ind w:left="1115"/>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center"/>
              <w:ind w:right="112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90"/>
        </w:trPr>
        <w:tc>
          <w:tcPr>
            <w:tcW w:w="6560" w:type="dxa"/>
            <w:vAlign w:val="bottom"/>
            <w:gridSpan w:val="6"/>
          </w:tcPr>
          <w:p>
            <w:pPr>
              <w:jc w:val="center"/>
              <w:ind w:right="900"/>
              <w:spacing w:after="0"/>
              <w:rPr>
                <w:sz w:val="20"/>
                <w:szCs w:val="20"/>
                <w:color w:val="auto"/>
              </w:rPr>
            </w:pPr>
            <w:r>
              <w:rPr>
                <w:rFonts w:ascii="Arial" w:cs="Arial" w:eastAsia="Arial" w:hAnsi="Arial"/>
                <w:sz w:val="14"/>
                <w:szCs w:val="14"/>
                <w:color w:val="auto"/>
                <w:w w:val="91"/>
              </w:rPr>
              <w:t>Common Stock, $0.01 par value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vMerge w:val="restart"/>
          </w:tcPr>
          <w:p>
            <w:pPr>
              <w:jc w:val="center"/>
              <w:ind w:right="1740"/>
              <w:spacing w:after="0"/>
              <w:rPr>
                <w:sz w:val="20"/>
                <w:szCs w:val="20"/>
                <w:color w:val="auto"/>
              </w:rPr>
            </w:pPr>
            <w:r>
              <w:rPr>
                <w:rFonts w:ascii="Arial" w:cs="Arial" w:eastAsia="Arial" w:hAnsi="Arial"/>
                <w:sz w:val="14"/>
                <w:szCs w:val="14"/>
                <w:color w:val="auto"/>
                <w:w w:val="98"/>
              </w:rPr>
              <w:t>NASDAQ Global Market</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5320" w:type="dxa"/>
            <w:vAlign w:val="bottom"/>
            <w:gridSpan w:val="10"/>
          </w:tcPr>
          <w:p>
            <w:pPr>
              <w:jc w:val="center"/>
              <w:ind w:left="1115"/>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7480" w:type="dxa"/>
            <w:vAlign w:val="bottom"/>
            <w:gridSpan w:val="10"/>
          </w:tcPr>
          <w:p>
            <w:pPr>
              <w:jc w:val="center"/>
              <w:ind w:left="3891"/>
              <w:spacing w:after="0"/>
              <w:rPr>
                <w:sz w:val="20"/>
                <w:szCs w:val="20"/>
                <w:color w:val="auto"/>
              </w:rPr>
            </w:pPr>
            <w:r>
              <w:rPr>
                <w:rFonts w:ascii="Arial" w:cs="Arial" w:eastAsia="Arial" w:hAnsi="Arial"/>
                <w:sz w:val="11"/>
                <w:szCs w:val="11"/>
                <w:b w:val="1"/>
                <w:bCs w:val="1"/>
                <w:color w:val="auto"/>
                <w:w w:val="88"/>
              </w:rPr>
              <w:t>_______________________________________________________________</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7220" w:type="dxa"/>
            <w:vAlign w:val="bottom"/>
            <w:gridSpan w:val="9"/>
          </w:tcPr>
          <w:p>
            <w:pPr>
              <w:ind w:left="34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0"/>
        </w:trPr>
        <w:tc>
          <w:tcPr>
            <w:tcW w:w="7220" w:type="dxa"/>
            <w:vAlign w:val="bottom"/>
            <w:gridSpan w:val="9"/>
          </w:tcPr>
          <w:p>
            <w:pPr>
              <w:ind w:left="34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28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8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4"/>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0"/>
        </w:trPr>
        <w:tc>
          <w:tcPr>
            <w:tcW w:w="2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6" w:lineRule="exact"/>
        <w:rPr>
          <w:sz w:val="24"/>
          <w:szCs w:val="24"/>
          <w:color w:val="auto"/>
        </w:rPr>
      </w:pPr>
    </w:p>
    <w:p>
      <w:pPr>
        <w:ind w:right="38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by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4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June 30, 2018 was approximately $550.4 million based on the last reported sale price of the registrant’s common stock on the NASDAQ Global Market on June 30, 2018 of $14.55 per share.</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15, 2019 the registrant had 38,547,954 shares of common stock, $0.01 par value, issued and outstanding.</w:t>
      </w:r>
    </w:p>
    <w:p>
      <w:pPr>
        <w:sectPr>
          <w:pgSz w:w="11900" w:h="16838" w:orient="portrait"/>
          <w:cols w:equalWidth="0" w:num="1">
            <w:col w:w="11380"/>
          </w:cols>
          <w:pgMar w:left="240" w:top="283"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Listed hereunder are the documents, portions of which are incorporated by reference, and the parts of this Form 10-K into which such portions are incorporated:</w:t>
      </w:r>
    </w:p>
    <w:p>
      <w:pPr>
        <w:spacing w:after="0" w:line="109" w:lineRule="exact"/>
        <w:rPr>
          <w:sz w:val="20"/>
          <w:szCs w:val="20"/>
          <w:color w:val="auto"/>
        </w:rPr>
      </w:pPr>
    </w:p>
    <w:p>
      <w:pPr>
        <w:ind w:firstLine="324"/>
        <w:spacing w:after="0" w:line="312" w:lineRule="auto"/>
        <w:rPr>
          <w:sz w:val="20"/>
          <w:szCs w:val="20"/>
          <w:color w:val="auto"/>
        </w:rPr>
      </w:pPr>
      <w:r>
        <w:rPr>
          <w:rFonts w:ascii="Arial" w:cs="Arial" w:eastAsia="Arial" w:hAnsi="Arial"/>
          <w:sz w:val="13"/>
          <w:szCs w:val="13"/>
          <w:color w:val="auto"/>
        </w:rPr>
        <w:t>The Registrant’s Definitive Proxy Statement for use in connection with the Annual Meeting of Stockholders to be held on April 25, 2019, portions of which are incorporated by reference into Parts II and III of this Form 10-K. The 2019 Proxy Statement will be filed with the Securities and Exchange Commission no later than 120 days after the close of our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210820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125095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660" w:type="dxa"/>
            <w:vAlign w:val="bottom"/>
          </w:tcPr>
          <w:p>
            <w:pPr>
              <w:jc w:val="center"/>
              <w:ind w:left="190"/>
              <w:spacing w:after="0"/>
              <w:rPr>
                <w:sz w:val="20"/>
                <w:szCs w:val="20"/>
                <w:color w:val="auto"/>
              </w:rPr>
            </w:pPr>
            <w:r>
              <w:rPr>
                <w:rFonts w:ascii="Arial" w:cs="Arial" w:eastAsia="Arial" w:hAnsi="Arial"/>
                <w:sz w:val="18"/>
                <w:szCs w:val="18"/>
                <w:b w:val="1"/>
                <w:bCs w:val="1"/>
                <w:color w:val="auto"/>
              </w:rPr>
              <w:t>LANTHEUS HOLDINGS, INC.</w:t>
            </w:r>
          </w:p>
        </w:tc>
        <w:tc>
          <w:tcPr>
            <w:tcW w:w="1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66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ANNUAL REPORT ON FORM 10-K</w:t>
            </w:r>
          </w:p>
        </w:tc>
        <w:tc>
          <w:tcPr>
            <w:tcW w:w="11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866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0"/>
                <w:szCs w:val="20"/>
                <w:color w:val="auto"/>
              </w:rPr>
            </w:pPr>
          </w:p>
        </w:tc>
      </w:tr>
      <w:tr>
        <w:trPr>
          <w:trHeight w:val="378"/>
        </w:trPr>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Page</w:t>
            </w:r>
          </w:p>
        </w:tc>
      </w:tr>
      <w:tr>
        <w:trPr>
          <w:trHeight w:val="27"/>
        </w:trPr>
        <w:tc>
          <w:tcPr>
            <w:tcW w:w="8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8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0"/>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660" w:type="dxa"/>
            <w:vAlign w:val="bottom"/>
          </w:tcPr>
          <w:p>
            <w:pPr>
              <w:ind w:left="120"/>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16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3</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22</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Item 1B.</w:t>
              </w:r>
            </w:hyperlink>
          </w:p>
        </w:tc>
        <w:tc>
          <w:tcPr>
            <w:tcW w:w="8660" w:type="dxa"/>
            <w:vAlign w:val="bottom"/>
          </w:tcPr>
          <w:p>
            <w:pPr>
              <w:ind w:left="120"/>
              <w:spacing w:after="0"/>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16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8660" w:type="dxa"/>
            <w:vAlign w:val="bottom"/>
          </w:tcPr>
          <w:p>
            <w:pPr>
              <w:ind w:left="120"/>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16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43</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43</w:t>
              </w:r>
            </w:hyperlink>
          </w:p>
        </w:tc>
      </w:tr>
      <w:tr>
        <w:trPr>
          <w:trHeight w:val="243"/>
        </w:trPr>
        <w:tc>
          <w:tcPr>
            <w:tcW w:w="880" w:type="dxa"/>
            <w:vAlign w:val="bottom"/>
          </w:tcPr>
          <w:p>
            <w:pPr>
              <w:ind w:lef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8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Market for Registrant’s Common Equity, Related Stockholder Matters and Issuer Purchases of Equity Securities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8660" w:type="dxa"/>
            <w:vAlign w:val="bottom"/>
          </w:tcPr>
          <w:p>
            <w:pPr>
              <w:ind w:left="120"/>
              <w:spacing w:after="0"/>
              <w:rPr>
                <w:rFonts w:ascii="Arial" w:cs="Arial" w:eastAsia="Arial" w:hAnsi="Arial"/>
                <w:sz w:val="18"/>
                <w:szCs w:val="18"/>
                <w:color w:val="0000EE"/>
              </w:rPr>
            </w:pPr>
            <w:hyperlink w:anchor="page49">
              <w:r>
                <w:rPr>
                  <w:rFonts w:ascii="Arial" w:cs="Arial" w:eastAsia="Arial" w:hAnsi="Arial"/>
                  <w:sz w:val="18"/>
                  <w:szCs w:val="18"/>
                  <w:color w:val="0000EE"/>
                </w:rPr>
                <w:t>Selected Financial Data</w:t>
              </w:r>
            </w:hyperlink>
          </w:p>
        </w:tc>
        <w:tc>
          <w:tcPr>
            <w:tcW w:w="116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46</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Item 7.</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48</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67">
              <w:r>
                <w:rPr>
                  <w:rFonts w:ascii="Arial" w:cs="Arial" w:eastAsia="Arial" w:hAnsi="Arial"/>
                  <w:sz w:val="18"/>
                  <w:szCs w:val="18"/>
                  <w:color w:val="0000EE"/>
                </w:rPr>
                <w:t>Item 7A.</w:t>
              </w:r>
            </w:hyperlink>
          </w:p>
        </w:tc>
        <w:tc>
          <w:tcPr>
            <w:tcW w:w="8660" w:type="dxa"/>
            <w:vAlign w:val="bottom"/>
          </w:tcPr>
          <w:p>
            <w:pPr>
              <w:ind w:left="120"/>
              <w:spacing w:after="0"/>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116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64</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68">
              <w:r>
                <w:rPr>
                  <w:rFonts w:ascii="Arial" w:cs="Arial" w:eastAsia="Arial" w:hAnsi="Arial"/>
                  <w:sz w:val="18"/>
                  <w:szCs w:val="18"/>
                  <w:color w:val="0000EE"/>
                </w:rPr>
                <w:t>Item 8.</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65</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Item 9.</w:t>
              </w:r>
            </w:hyperlink>
          </w:p>
        </w:tc>
        <w:tc>
          <w:tcPr>
            <w:tcW w:w="8660" w:type="dxa"/>
            <w:vAlign w:val="bottom"/>
          </w:tcPr>
          <w:p>
            <w:pPr>
              <w:ind w:left="120"/>
              <w:spacing w:after="0"/>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center"/>
              <w:spacing w:after="0"/>
              <w:rPr>
                <w:rFonts w:ascii="Arial" w:cs="Arial" w:eastAsia="Arial" w:hAnsi="Arial"/>
                <w:sz w:val="18"/>
                <w:szCs w:val="18"/>
                <w:color w:val="auto"/>
                <w:w w:val="89"/>
              </w:rPr>
            </w:pPr>
            <w:hyperlink w:anchor="page100">
              <w:r>
                <w:rPr>
                  <w:rFonts w:ascii="Arial" w:cs="Arial" w:eastAsia="Arial" w:hAnsi="Arial"/>
                  <w:sz w:val="18"/>
                  <w:szCs w:val="18"/>
                  <w:color w:val="auto"/>
                  <w:w w:val="89"/>
                </w:rPr>
                <w:t>97</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Item 9A.</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100">
              <w:r>
                <w:rPr>
                  <w:rFonts w:ascii="Arial" w:cs="Arial" w:eastAsia="Arial" w:hAnsi="Arial"/>
                  <w:sz w:val="18"/>
                  <w:szCs w:val="18"/>
                  <w:color w:val="auto"/>
                  <w:w w:val="89"/>
                </w:rPr>
                <w:t>97</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Item 9B.</w:t>
              </w:r>
            </w:hyperlink>
          </w:p>
        </w:tc>
        <w:tc>
          <w:tcPr>
            <w:tcW w:w="8660" w:type="dxa"/>
            <w:vAlign w:val="bottom"/>
          </w:tcPr>
          <w:p>
            <w:pPr>
              <w:ind w:left="120"/>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1160" w:type="dxa"/>
            <w:vAlign w:val="bottom"/>
          </w:tcPr>
          <w:p>
            <w:pPr>
              <w:jc w:val="center"/>
              <w:spacing w:after="0"/>
              <w:rPr>
                <w:rFonts w:ascii="Arial" w:cs="Arial" w:eastAsia="Arial" w:hAnsi="Arial"/>
                <w:sz w:val="18"/>
                <w:szCs w:val="18"/>
                <w:color w:val="auto"/>
                <w:w w:val="89"/>
              </w:rPr>
            </w:pPr>
            <w:hyperlink w:anchor="page100">
              <w:r>
                <w:rPr>
                  <w:rFonts w:ascii="Arial" w:cs="Arial" w:eastAsia="Arial" w:hAnsi="Arial"/>
                  <w:sz w:val="18"/>
                  <w:szCs w:val="18"/>
                  <w:color w:val="auto"/>
                  <w:w w:val="89"/>
                </w:rPr>
                <w:t>97</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III</w:t>
              </w:r>
            </w:hyperlink>
          </w:p>
        </w:tc>
        <w:tc>
          <w:tcPr>
            <w:tcW w:w="8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8660" w:type="dxa"/>
            <w:vAlign w:val="bottom"/>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1160" w:type="dxa"/>
            <w:vAlign w:val="bottom"/>
          </w:tcPr>
          <w:p>
            <w:pPr>
              <w:jc w:val="center"/>
              <w:spacing w:after="0"/>
              <w:rPr>
                <w:rFonts w:ascii="Arial" w:cs="Arial" w:eastAsia="Arial" w:hAnsi="Arial"/>
                <w:sz w:val="18"/>
                <w:szCs w:val="18"/>
                <w:color w:val="auto"/>
                <w:w w:val="89"/>
              </w:rPr>
            </w:pPr>
            <w:hyperlink w:anchor="page101">
              <w:r>
                <w:rPr>
                  <w:rFonts w:ascii="Arial" w:cs="Arial" w:eastAsia="Arial" w:hAnsi="Arial"/>
                  <w:sz w:val="18"/>
                  <w:szCs w:val="18"/>
                  <w:color w:val="auto"/>
                  <w:w w:val="89"/>
                </w:rPr>
                <w:t>98</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Item 11.</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101">
              <w:r>
                <w:rPr>
                  <w:rFonts w:ascii="Arial" w:cs="Arial" w:eastAsia="Arial" w:hAnsi="Arial"/>
                  <w:sz w:val="18"/>
                  <w:szCs w:val="18"/>
                  <w:color w:val="auto"/>
                  <w:w w:val="89"/>
                </w:rPr>
                <w:t>98</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8660" w:type="dxa"/>
            <w:vAlign w:val="bottom"/>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tcPr>
          <w:p>
            <w:pPr>
              <w:jc w:val="center"/>
              <w:spacing w:after="0"/>
              <w:rPr>
                <w:rFonts w:ascii="Arial" w:cs="Arial" w:eastAsia="Arial" w:hAnsi="Arial"/>
                <w:sz w:val="18"/>
                <w:szCs w:val="18"/>
                <w:color w:val="auto"/>
                <w:w w:val="89"/>
              </w:rPr>
            </w:pPr>
            <w:hyperlink w:anchor="page101">
              <w:r>
                <w:rPr>
                  <w:rFonts w:ascii="Arial" w:cs="Arial" w:eastAsia="Arial" w:hAnsi="Arial"/>
                  <w:sz w:val="18"/>
                  <w:szCs w:val="18"/>
                  <w:color w:val="auto"/>
                  <w:w w:val="89"/>
                </w:rPr>
                <w:t>98</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Item 13.</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101">
              <w:r>
                <w:rPr>
                  <w:rFonts w:ascii="Arial" w:cs="Arial" w:eastAsia="Arial" w:hAnsi="Arial"/>
                  <w:sz w:val="18"/>
                  <w:szCs w:val="18"/>
                  <w:color w:val="auto"/>
                  <w:w w:val="89"/>
                </w:rPr>
                <w:t>98</w:t>
              </w:r>
            </w:hyperlink>
          </w:p>
        </w:tc>
      </w:tr>
      <w:tr>
        <w:trPr>
          <w:trHeight w:val="243"/>
        </w:trPr>
        <w:tc>
          <w:tcPr>
            <w:tcW w:w="88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8660" w:type="dxa"/>
            <w:vAlign w:val="bottom"/>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1160" w:type="dxa"/>
            <w:vAlign w:val="bottom"/>
          </w:tcPr>
          <w:p>
            <w:pPr>
              <w:jc w:val="center"/>
              <w:spacing w:after="0"/>
              <w:rPr>
                <w:rFonts w:ascii="Arial" w:cs="Arial" w:eastAsia="Arial" w:hAnsi="Arial"/>
                <w:sz w:val="18"/>
                <w:szCs w:val="18"/>
                <w:color w:val="auto"/>
                <w:w w:val="89"/>
              </w:rPr>
            </w:pPr>
            <w:hyperlink w:anchor="page101">
              <w:r>
                <w:rPr>
                  <w:rFonts w:ascii="Arial" w:cs="Arial" w:eastAsia="Arial" w:hAnsi="Arial"/>
                  <w:sz w:val="18"/>
                  <w:szCs w:val="18"/>
                  <w:color w:val="auto"/>
                  <w:w w:val="89"/>
                </w:rPr>
                <w:t>98</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IV</w:t>
              </w:r>
            </w:hyperlink>
          </w:p>
        </w:tc>
        <w:tc>
          <w:tcPr>
            <w:tcW w:w="8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Item 15.</w:t>
              </w:r>
            </w:hyperlink>
          </w:p>
        </w:tc>
        <w:tc>
          <w:tcPr>
            <w:tcW w:w="8660" w:type="dxa"/>
            <w:vAlign w:val="bottom"/>
          </w:tcPr>
          <w:p>
            <w:pPr>
              <w:ind w:left="120"/>
              <w:spacing w:after="0"/>
              <w:rPr>
                <w:rFonts w:ascii="Arial" w:cs="Arial" w:eastAsia="Arial" w:hAnsi="Arial"/>
                <w:sz w:val="18"/>
                <w:szCs w:val="18"/>
                <w:color w:val="0000EE"/>
              </w:rPr>
            </w:pPr>
            <w:hyperlink w:anchor="page102">
              <w:r>
                <w:rPr>
                  <w:rFonts w:ascii="Arial" w:cs="Arial" w:eastAsia="Arial" w:hAnsi="Arial"/>
                  <w:sz w:val="18"/>
                  <w:szCs w:val="18"/>
                  <w:color w:val="0000EE"/>
                </w:rPr>
                <w:t>Exhibits and Financial Statement Schedules</w:t>
              </w:r>
            </w:hyperlink>
          </w:p>
        </w:tc>
        <w:tc>
          <w:tcPr>
            <w:tcW w:w="1160" w:type="dxa"/>
            <w:vAlign w:val="bottom"/>
          </w:tcPr>
          <w:p>
            <w:pPr>
              <w:jc w:val="center"/>
              <w:spacing w:after="0"/>
              <w:rPr>
                <w:rFonts w:ascii="Arial" w:cs="Arial" w:eastAsia="Arial" w:hAnsi="Arial"/>
                <w:sz w:val="18"/>
                <w:szCs w:val="18"/>
                <w:color w:val="auto"/>
                <w:w w:val="89"/>
              </w:rPr>
            </w:pPr>
            <w:hyperlink w:anchor="page102">
              <w:r>
                <w:rPr>
                  <w:rFonts w:ascii="Arial" w:cs="Arial" w:eastAsia="Arial" w:hAnsi="Arial"/>
                  <w:sz w:val="18"/>
                  <w:szCs w:val="18"/>
                  <w:color w:val="auto"/>
                  <w:w w:val="89"/>
                </w:rPr>
                <w:t>99</w:t>
              </w:r>
            </w:hyperlink>
          </w:p>
        </w:tc>
      </w:tr>
      <w:tr>
        <w:trPr>
          <w:trHeight w:val="27"/>
        </w:trPr>
        <w:tc>
          <w:tcPr>
            <w:tcW w:w="8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104">
              <w:r>
                <w:rPr>
                  <w:rFonts w:ascii="Arial" w:cs="Arial" w:eastAsia="Arial" w:hAnsi="Arial"/>
                  <w:sz w:val="18"/>
                  <w:szCs w:val="18"/>
                  <w:color w:val="0000EE"/>
                </w:rPr>
                <w:t>Item 16.</w:t>
              </w:r>
            </w:hyperlink>
          </w:p>
        </w:tc>
        <w:tc>
          <w:tcPr>
            <w:tcW w:w="8660" w:type="dxa"/>
            <w:vAlign w:val="bottom"/>
            <w:tcBorders>
              <w:bottom w:val="single" w:sz="8" w:color="CCEEFF"/>
            </w:tcBorders>
            <w:shd w:val="clear" w:color="auto" w:fill="CCEEFF"/>
          </w:tcPr>
          <w:p>
            <w:pPr>
              <w:ind w:left="120"/>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3"/>
              </w:rPr>
            </w:pPr>
            <w:hyperlink w:anchor="page104">
              <w:r>
                <w:rPr>
                  <w:rFonts w:ascii="Arial" w:cs="Arial" w:eastAsia="Arial" w:hAnsi="Arial"/>
                  <w:sz w:val="18"/>
                  <w:szCs w:val="18"/>
                  <w:color w:val="auto"/>
                  <w:w w:val="93"/>
                </w:rPr>
                <w:t>101</w:t>
              </w:r>
            </w:hyperlink>
          </w:p>
        </w:tc>
      </w:tr>
      <w:tr>
        <w:trPr>
          <w:trHeight w:val="243"/>
        </w:trPr>
        <w:tc>
          <w:tcPr>
            <w:tcW w:w="9540" w:type="dxa"/>
            <w:vAlign w:val="bottom"/>
            <w:gridSpan w:val="2"/>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1160" w:type="dxa"/>
            <w:vAlign w:val="bottom"/>
          </w:tcPr>
          <w:p>
            <w:pPr>
              <w:jc w:val="center"/>
              <w:spacing w:after="0"/>
              <w:rPr>
                <w:rFonts w:ascii="Arial" w:cs="Arial" w:eastAsia="Arial" w:hAnsi="Arial"/>
                <w:sz w:val="18"/>
                <w:szCs w:val="18"/>
                <w:color w:val="auto"/>
                <w:w w:val="93"/>
              </w:rPr>
            </w:pPr>
            <w:hyperlink w:anchor="page105">
              <w:r>
                <w:rPr>
                  <w:rFonts w:ascii="Arial" w:cs="Arial" w:eastAsia="Arial" w:hAnsi="Arial"/>
                  <w:sz w:val="18"/>
                  <w:szCs w:val="18"/>
                  <w:color w:val="auto"/>
                  <w:w w:val="93"/>
                </w:rPr>
                <w:t>102</w:t>
              </w:r>
            </w:hyperlink>
          </w:p>
        </w:tc>
      </w:tr>
    </w:tbl>
    <w:p>
      <w:pPr>
        <w:sectPr>
          <w:pgSz w:w="11900" w:h="16838" w:orient="portrait"/>
          <w:cols w:equalWidth="0" w:num="1">
            <w:col w:w="11060"/>
          </w:cols>
          <w:pgMar w:left="240" w:top="175"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i w:val="1"/>
          <w:iCs w:val="1"/>
          <w:color w:val="auto"/>
        </w:rPr>
        <w:t>Unless the context requires otherwise, references to “Lantheus,” “the Company,” “our company,” “we,” “us” and “our” refer to Lantheus Holdings, Inc. and, as the context requires, its direct and indirect subsidiaries, references to “Lantheus Holdings” refer to Lantheus Holdings, Inc. and references to “LMI” refer to Lantheus Medical Imaging, Inc., our wholly-owned subsidiary.</w:t>
      </w:r>
    </w:p>
    <w:p>
      <w:pPr>
        <w:spacing w:after="0" w:line="181"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Some of the statements contained in this Annual Report on Form 10-K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 (i) our outlook and expectations including, without limitation, in connection with continued market expansion and penetration for our commercial products, particularly DEFINITY in the face of segment competition and potential generic competition as a result of future patent and regulatory exclusivity expirations; (ii) our outlook and expectations related to the global Molybdenum-99 (“Moly”) supply; (iii) our outlook and expectations in connection with future performance of Xenon in the face of increased competition; and (iv) our outlook and expectations related to products manufactured at Jubilant HollisterStier (“JHS”).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Annual Report on Form 10-K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0" w:lineRule="exact"/>
        <w:rPr>
          <w:sz w:val="20"/>
          <w:szCs w:val="20"/>
          <w:color w:val="auto"/>
        </w:rPr>
      </w:pPr>
    </w:p>
    <w:p>
      <w:pPr>
        <w:ind w:left="980" w:right="4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continue to grow the appropriate use of DEFINITY in suboptimal echocardiograms in the face of segment competition from other echocardiography contrast agents, including Optison from GE Healthcare Limited (“GE Healthcare”) and Lumason from Bracco Diagnostics Inc. (“Bracco”), and potential generic competition as a result of future patent and regulatory exclusivity expirations;</w:t>
      </w:r>
    </w:p>
    <w:p>
      <w:pPr>
        <w:spacing w:after="0" w:line="57" w:lineRule="exact"/>
        <w:rPr>
          <w:rFonts w:ascii="Arial" w:cs="Arial" w:eastAsia="Arial" w:hAnsi="Arial"/>
          <w:sz w:val="17"/>
          <w:szCs w:val="17"/>
          <w:color w:val="auto"/>
        </w:rPr>
      </w:pPr>
    </w:p>
    <w:p>
      <w:pPr>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instability of the global Moly supply, including outages at the NTP Radioisotopes (“NTP”) processing facility in South Africa from late November 2017 until mid-February 2018 and again from early June 2018 through mid-November 2018, resulting in our inability to fill all of the demand for our TechneLite generators on certain manufacturing days during those periods;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revenues and unit volumes for Xenon in pulmonary studies as a result of increased competition from Curium;</w:t>
      </w:r>
    </w:p>
    <w:p>
      <w:pPr>
        <w:spacing w:after="0" w:line="128"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 raw materials and components, including DEFINITY at JHS;</w:t>
      </w:r>
    </w:p>
    <w:p>
      <w:pPr>
        <w:spacing w:after="0" w:line="62"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key customers for our medical imaging products, and our ability to maintain and profitably renew our contracts with those key customers, including Cardinal Health (“Cardinal”), United Pharmacy Partners (“UPPI”), GE Healthcare and Jubilant Drax Image Radiopharmaceuticals (“JDI”) d/b/a Triad Isotopes, Inc. (“Triad”);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identify and acquire or in-license additional products, businesses or technologies to drive our future growth;</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additional contract manufacturer sites, including a modified formulation of DEFINITY at Samsung BioLogics (“SBL”) in South Korea;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which in 2017 we out-licensed to GE Healthcare, including:</w:t>
      </w:r>
    </w:p>
    <w:p>
      <w:pPr>
        <w:spacing w:after="0" w:line="117" w:lineRule="exact"/>
        <w:rPr>
          <w:rFonts w:ascii="Arial" w:cs="Arial" w:eastAsia="Arial" w:hAnsi="Arial"/>
          <w:sz w:val="18"/>
          <w:szCs w:val="18"/>
          <w:color w:val="auto"/>
        </w:rPr>
      </w:pPr>
    </w:p>
    <w:p>
      <w:pPr>
        <w:ind w:left="1460" w:hanging="155"/>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ability to successfully complete the Phase 3 development program;</w:t>
      </w:r>
    </w:p>
    <w:p>
      <w:pPr>
        <w:spacing w:after="0" w:line="117" w:lineRule="exact"/>
        <w:rPr>
          <w:rFonts w:ascii="Arial" w:cs="Arial" w:eastAsia="Arial" w:hAnsi="Arial"/>
          <w:sz w:val="18"/>
          <w:szCs w:val="18"/>
          <w:color w:val="auto"/>
        </w:rPr>
      </w:pPr>
    </w:p>
    <w:p>
      <w:pPr>
        <w:ind w:left="1460" w:hanging="155"/>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ability to obtain Food and Drug Administration (“FDA”) approval; and</w:t>
      </w:r>
    </w:p>
    <w:p>
      <w:pPr>
        <w:spacing w:after="0" w:line="117" w:lineRule="exact"/>
        <w:rPr>
          <w:rFonts w:ascii="Arial" w:cs="Arial" w:eastAsia="Arial" w:hAnsi="Arial"/>
          <w:sz w:val="18"/>
          <w:szCs w:val="18"/>
          <w:color w:val="auto"/>
        </w:rPr>
      </w:pPr>
    </w:p>
    <w:p>
      <w:pPr>
        <w:ind w:left="1460" w:hanging="155"/>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ability to gain post-approval market acceptance and adequate reimbursement;</w:t>
      </w:r>
    </w:p>
    <w:p>
      <w:pPr>
        <w:spacing w:after="0" w:line="117" w:lineRule="exact"/>
        <w:rPr>
          <w:rFonts w:ascii="Arial" w:cs="Arial" w:eastAsia="Arial" w:hAnsi="Arial"/>
          <w:sz w:val="18"/>
          <w:szCs w:val="18"/>
          <w:color w:val="auto"/>
        </w:rPr>
      </w:pPr>
    </w:p>
    <w:p>
      <w:pPr>
        <w:jc w:val="both"/>
        <w:ind w:left="980" w:right="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internal clinical development of DEFINITY for a left ventricular ejection fraction (“LVEF”) indication and LMI 1195 for patient populations that would benefit from molecular imaging of the norepinephrine pathway, including risk stratification of ischemic heart failure patients at risk of sudden cardiac death;</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75"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8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investment in, and construction of, additional specialized manufacturing capabilities at our North Billerica, Massachusetts facility;</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certain of our customers upon third-party healthcare payors and the uncertainty of third-party coverage and reimbursement rates;</w:t>
      </w:r>
    </w:p>
    <w:p>
      <w:pPr>
        <w:spacing w:after="0" w:line="62"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regarding the impact of on-going U.S. healthcare reform proposals on our business, including related reimbursements for our current and potential future products;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being subject to extensive government regulation, our potential inability to comply with those regulations and the costs of compliance;</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serious or unanticipated side effects with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health and safety liability;</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or potentially developed internally;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medical practice landscape;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adequately operate, maintain and protect our facilities, equipment and technology infrastructure;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utilize, or limitations in our ability to utilize, net operating loss carryforwards to reduce our future tax liability;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Act, including in connection with potentially becoming a large accelerated filer;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ownership of our common stock;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that are described in Part I, Item. 1A. “Risk Factors” of this Annual Report on Form 10-K.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Factors that could cause or contribute to such differences include, but are not limited to, those that are discussed in other documents we file with the Securities and Exchange Commission (“SEC”). Any forward-looking statement made by us in this Annual Report on Form 10-K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40" w:firstLine="405"/>
        <w:spacing w:after="0" w:line="228"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DEFINITY</w:t>
      </w:r>
      <w:r>
        <w:rPr>
          <w:rFonts w:ascii="Arial" w:cs="Arial" w:eastAsia="Arial" w:hAnsi="Arial"/>
          <w:sz w:val="25"/>
          <w:szCs w:val="25"/>
          <w:color w:val="auto"/>
          <w:vertAlign w:val="superscript"/>
        </w:rPr>
        <w:t>®</w:t>
      </w:r>
      <w:r>
        <w:rPr>
          <w:rFonts w:ascii="Arial" w:cs="Arial" w:eastAsia="Arial" w:hAnsi="Arial"/>
          <w:sz w:val="18"/>
          <w:szCs w:val="18"/>
          <w:color w:val="auto"/>
        </w:rPr>
        <w:t>, TechneLite</w:t>
      </w:r>
      <w:r>
        <w:rPr>
          <w:rFonts w:ascii="Arial" w:cs="Arial" w:eastAsia="Arial" w:hAnsi="Arial"/>
          <w:sz w:val="25"/>
          <w:szCs w:val="25"/>
          <w:color w:val="auto"/>
          <w:vertAlign w:val="superscript"/>
        </w:rPr>
        <w:t>®</w:t>
      </w:r>
      <w:r>
        <w:rPr>
          <w:rFonts w:ascii="Arial" w:cs="Arial" w:eastAsia="Arial" w:hAnsi="Arial"/>
          <w:sz w:val="18"/>
          <w:szCs w:val="18"/>
          <w:color w:val="auto"/>
        </w:rPr>
        <w:t>, Cardiolite</w:t>
      </w:r>
      <w:r>
        <w:rPr>
          <w:rFonts w:ascii="Arial" w:cs="Arial" w:eastAsia="Arial" w:hAnsi="Arial"/>
          <w:sz w:val="25"/>
          <w:szCs w:val="25"/>
          <w:color w:val="auto"/>
          <w:vertAlign w:val="superscript"/>
        </w:rPr>
        <w:t>®</w:t>
      </w:r>
      <w:r>
        <w:rPr>
          <w:rFonts w:ascii="Arial" w:cs="Arial" w:eastAsia="Arial" w:hAnsi="Arial"/>
          <w:sz w:val="18"/>
          <w:szCs w:val="18"/>
          <w:color w:val="auto"/>
        </w:rPr>
        <w:t>, Neurolite</w:t>
      </w:r>
      <w:r>
        <w:rPr>
          <w:rFonts w:ascii="Arial" w:cs="Arial" w:eastAsia="Arial" w:hAnsi="Arial"/>
          <w:sz w:val="25"/>
          <w:szCs w:val="25"/>
          <w:color w:val="auto"/>
          <w:vertAlign w:val="superscript"/>
        </w:rPr>
        <w:t>®</w:t>
      </w:r>
      <w:r>
        <w:rPr>
          <w:rFonts w:ascii="Arial" w:cs="Arial" w:eastAsia="Arial" w:hAnsi="Arial"/>
          <w:sz w:val="18"/>
          <w:szCs w:val="18"/>
          <w:color w:val="auto"/>
        </w:rPr>
        <w:t>, Vialmix</w:t>
      </w:r>
      <w:r>
        <w:rPr>
          <w:rFonts w:ascii="Arial" w:cs="Arial" w:eastAsia="Arial" w:hAnsi="Arial"/>
          <w:sz w:val="25"/>
          <w:szCs w:val="25"/>
          <w:color w:val="auto"/>
          <w:vertAlign w:val="superscript"/>
        </w:rPr>
        <w:t>®</w:t>
      </w:r>
      <w:r>
        <w:rPr>
          <w:rFonts w:ascii="Arial" w:cs="Arial" w:eastAsia="Arial" w:hAnsi="Arial"/>
          <w:sz w:val="18"/>
          <w:szCs w:val="18"/>
          <w:color w:val="auto"/>
        </w:rPr>
        <w:t>, Quadramet</w:t>
      </w:r>
      <w:r>
        <w:rPr>
          <w:rFonts w:ascii="Arial" w:cs="Arial" w:eastAsia="Arial" w:hAnsi="Arial"/>
          <w:sz w:val="25"/>
          <w:szCs w:val="25"/>
          <w:color w:val="auto"/>
          <w:vertAlign w:val="superscript"/>
        </w:rPr>
        <w:t>®</w:t>
      </w:r>
      <w:r>
        <w:rPr>
          <w:rFonts w:ascii="Arial" w:cs="Arial" w:eastAsia="Arial" w:hAnsi="Arial"/>
          <w:sz w:val="18"/>
          <w:szCs w:val="18"/>
          <w:color w:val="auto"/>
        </w:rPr>
        <w:t>, Luminity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Lantheus Medical Imaging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referred to in this Annual Report on Form 10-K. Solely for convenience, we refer to trademarks and service marks in this Annual Report on Form 10-K without the TM, SM and ® symbols. Those references are not intended to indicate, in any way, that we will not assert, to the fullest extent permitted under applicable law, our rights to our trademarks and service marks. Each trademark, trade name or service mark of any other company appearing in this Annual Report on Form 10-K, such as Lumason</w:t>
      </w:r>
      <w:r>
        <w:rPr>
          <w:rFonts w:ascii="Arial" w:cs="Arial" w:eastAsia="Arial" w:hAnsi="Arial"/>
          <w:sz w:val="25"/>
          <w:szCs w:val="25"/>
          <w:color w:val="auto"/>
          <w:vertAlign w:val="superscript"/>
        </w:rPr>
        <w:t>®</w:t>
      </w:r>
      <w:r>
        <w:rPr>
          <w:rFonts w:ascii="Arial" w:cs="Arial" w:eastAsia="Arial" w:hAnsi="Arial"/>
          <w:sz w:val="18"/>
          <w:szCs w:val="18"/>
          <w:color w:val="auto"/>
        </w:rPr>
        <w:t>, Optison</w:t>
      </w:r>
      <w:r>
        <w:rPr>
          <w:rFonts w:ascii="Arial" w:cs="Arial" w:eastAsia="Arial" w:hAnsi="Arial"/>
          <w:sz w:val="25"/>
          <w:szCs w:val="25"/>
          <w:color w:val="auto"/>
          <w:vertAlign w:val="superscript"/>
        </w:rPr>
        <w:t>TM</w:t>
      </w:r>
      <w:r>
        <w:rPr>
          <w:rFonts w:ascii="Arial" w:cs="Arial" w:eastAsia="Arial" w:hAnsi="Arial"/>
          <w:sz w:val="18"/>
          <w:szCs w:val="18"/>
          <w:color w:val="auto"/>
        </w:rPr>
        <w:t>, SonoVue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Gludef</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to our knowledge, owned by that other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75"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8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Our commercial products are used by cardiologists, nuclear physicians, radiologists, internal medicine physicians, technologists and sonographers working in a variety of clinical settings.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sell our products globally and operate our business in two reportable segments, which are further described below:</w:t>
      </w:r>
    </w:p>
    <w:p>
      <w:pPr>
        <w:spacing w:after="0" w:line="117" w:lineRule="exact"/>
        <w:rPr>
          <w:sz w:val="20"/>
          <w:szCs w:val="20"/>
          <w:color w:val="auto"/>
        </w:rPr>
      </w:pPr>
    </w:p>
    <w:p>
      <w:pPr>
        <w:ind w:left="980" w:right="1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U.S. Segment </w:t>
      </w:r>
      <w:r>
        <w:rPr>
          <w:rFonts w:ascii="Arial" w:cs="Arial" w:eastAsia="Arial" w:hAnsi="Arial"/>
          <w:sz w:val="18"/>
          <w:szCs w:val="18"/>
          <w:color w:val="auto"/>
        </w:rPr>
        <w:t>produces and markets our medical imaging agents and products throughout the U.S. In the U.S., we primarily sell our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radiopharmacies, integrated delivery networks, hospitals, clinics and group practices.</w:t>
      </w:r>
    </w:p>
    <w:p>
      <w:pPr>
        <w:spacing w:after="0" w:line="62"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Segment </w:t>
      </w:r>
      <w:r>
        <w:rPr>
          <w:rFonts w:ascii="Arial" w:cs="Arial" w:eastAsia="Arial" w:hAnsi="Arial"/>
          <w:sz w:val="18"/>
          <w:szCs w:val="18"/>
          <w:color w:val="auto"/>
        </w:rPr>
        <w:t>operations consist of production and distribution activities in Puerto Rico and some direct distribution activities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Additionally, within our International Segment, we have established and maintain third-party distribution relationships under which our products are marketed and sold in Europe, Canada, Australia, Asia-Pacific and Latin America.</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year ended December 31, 2016, we sold certain business units that were part of our International Segment. In January 2016, we entered into an asset purchase agreement pursuant to which we sold substantially all of our Canadian radiopharmacy business and Gludef manufacturing and distribution business. In August 2016, we entered into a share purchase agreement pursuant to which we sold all of the stock of our Australian radiopharmacy servicing subsidiary. See Note 6, “Sales of Certain International Segment Assets” included in the consolidated financial statements located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Portfolio</w:t>
      </w:r>
    </w:p>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portfolio of ten commercial products is diversified across a range of imaging modalities. Our products include an ultrasound contrast agent and medical radiopharmaceuticals (including Technetium generators).</w:t>
      </w:r>
    </w:p>
    <w:p>
      <w:pPr>
        <w:spacing w:after="0" w:line="62" w:lineRule="exact"/>
        <w:rPr>
          <w:sz w:val="20"/>
          <w:szCs w:val="20"/>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Ultrasound contrast agents are compounds that are used in diagnostic procedures, such as cardiac ultrasounds or echocardiograms, to improve the clarity of the diagnostic image.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radiopharmaceuticals are radioactive pharmaceuticals used by clinicians to perform nuclear imaging procedures.</w:t>
      </w:r>
    </w:p>
    <w:p>
      <w:pPr>
        <w:spacing w:after="0" w:line="117" w:lineRule="exact"/>
        <w:rPr>
          <w:rFonts w:ascii="Arial" w:cs="Arial" w:eastAsia="Arial" w:hAnsi="Arial"/>
          <w:sz w:val="18"/>
          <w:szCs w:val="18"/>
          <w:color w:val="auto"/>
        </w:rPr>
      </w:pPr>
    </w:p>
    <w:p>
      <w:pPr>
        <w:ind w:left="1620" w:right="180" w:hanging="315"/>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certain circumstances, a radioactive element, or radioisotope, is attached to a chemical compound to form the radiopharmaceutical. This act of attaching the radioisotope to the chemical compound is called radiolabeling, or labeling.</w:t>
      </w:r>
    </w:p>
    <w:p>
      <w:pPr>
        <w:spacing w:after="0" w:line="62" w:lineRule="exact"/>
        <w:rPr>
          <w:rFonts w:ascii="Arial" w:cs="Arial" w:eastAsia="Arial" w:hAnsi="Arial"/>
          <w:sz w:val="18"/>
          <w:szCs w:val="18"/>
          <w:color w:val="auto"/>
        </w:rPr>
      </w:pPr>
    </w:p>
    <w:p>
      <w:pPr>
        <w:ind w:left="1620" w:hanging="315"/>
        <w:spacing w:after="0"/>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other circumstances, a radioisotope can be used as a radiopharmaceutical without attaching any additional chemical compound.</w:t>
      </w:r>
    </w:p>
    <w:p>
      <w:pPr>
        <w:spacing w:after="0" w:line="140" w:lineRule="exact"/>
        <w:rPr>
          <w:rFonts w:ascii="Arial" w:cs="Arial" w:eastAsia="Arial" w:hAnsi="Arial"/>
          <w:sz w:val="16"/>
          <w:szCs w:val="16"/>
          <w:color w:val="auto"/>
        </w:rPr>
      </w:pPr>
    </w:p>
    <w:p>
      <w:pPr>
        <w:ind w:left="1620" w:right="20" w:hanging="315"/>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Radioisotopes are most commonly manufactured in a nuclear research reactor, where a target is bombarded with subatomic particles, or in a cyclotron, which is a type of particle accelerator that also creates radioisotopes.</w:t>
      </w:r>
    </w:p>
    <w:p>
      <w:pPr>
        <w:spacing w:after="0" w:line="62" w:lineRule="exact"/>
        <w:rPr>
          <w:rFonts w:ascii="Arial" w:cs="Arial" w:eastAsia="Arial" w:hAnsi="Arial"/>
          <w:sz w:val="18"/>
          <w:szCs w:val="18"/>
          <w:color w:val="auto"/>
        </w:rPr>
      </w:pPr>
    </w:p>
    <w:p>
      <w:pPr>
        <w:ind w:left="1620" w:right="160" w:hanging="315"/>
        <w:spacing w:after="0" w:line="264"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Two common forms of nuclear imaging procedures are single-photon emission computed tomography (“SPECT”) which measures gamma rays emitted by a SPECT radiopharmaceutical, and positron emission tomography (“PET”) which measures positrons emitted by a PET radiopharmaceutical.</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an example of the procedures in which our products may be used, in the diagnosis of cardiovascular disease, a typical diagnostic progression could include an electrocardiogram, followed by an echocardiogram (possibly using our agent DEFINITY) which delineates cardiac structure and function, and then a nuclear myocardial perfusion imaging (“MPI”) study using either SPECT or PET imaging (possibly using our Technetium generator and our Cardiolite SPECT-based MPI agent). An MPI study assesses blood flow distribution to the heart. MPI is also used for diagnosing the presence of coronary artery disease.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DEFINITY and the Expansion of Our Ultrasound Microbubble Franchise</w:t>
      </w:r>
    </w:p>
    <w:p>
      <w:pPr>
        <w:spacing w:after="0" w:line="117"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DEFINITY is the leading ultrasound contrast imaging agent based on revenue and usage in the U.S., and is indicated for use in patients with suboptimal echocardiograms. Numerous patient conditions can decrease the quality of images of the left ventricle, the primary pumping chamber of the heart.</w:t>
      </w:r>
    </w:p>
    <w:p>
      <w:pPr>
        <w:spacing w:after="0" w:line="124"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DEFINITY is a clear, colorless, sterile liquid, which, upon activation in a Vialmix apparatus, a medical device specifically designed for DEFINITY, becomes a homogenous, opaque, milky white injectable suspension of perflutren-containing lipid microspheres. After activation and intravenous injection, DEFINITY opacifies the left ventricular chamber and improves the delineation of the left ventricular endocardial border, or innermost layer of tissue that lines the chamber of the left ventricle. Better visualization of the left ventricle allows clinicians to make more informed decisions about disease status.</w:t>
      </w:r>
    </w:p>
    <w:p>
      <w:pPr>
        <w:spacing w:after="0" w:line="15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DEFINITY offers flexible dosing and administration through an IV bolus or diluted bolus injection or continuous IV infusion. We believe DEFINITY’s synthetic lipid-cased coating gives the agent a distinct competitive advantage, because it provides a strong ultrasound signal and is the only perflutren-based echo contrast agent made without albumin.</w:t>
      </w:r>
    </w:p>
    <w:p>
      <w:pPr>
        <w:spacing w:after="0" w:line="1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were approximately 33.7 million echocardiograms performed in the U.S. in 2018 according to a third party source. Assuming 20% of echocardiograms produce suboptimal images, as stated in the clinical literature, we estimate that approximately 6.7 million echocardiograms in 2018 produced suboptimal images. The use of DEFINITY during echocardiography allows physicians to significantly improve their assessment of the function of the left ventricle.</w:t>
      </w:r>
    </w:p>
    <w:p>
      <w:pPr>
        <w:spacing w:after="0" w:line="187"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Since its launch in 2001, DEFINITY has been used in imaging procedures in more than 11.5 million patients throughout the world. We estimate that DEFINITY had over 80% share of the U.S. segment for contrast agents in echocardiography procedures as of December 2018. DEFINITY currently competes with Optison, a GE Healthcare product, Lumason, a Bracco product (known as SonoVue outside the U.S.) as well as echocardiography without contrast and non-echocardiography imaging modalities. DEFINITY, Optison and Lumason all carry an FDA-required boxed warning, which has been modified over time, to notify physicians and patients about potentially serious safety concerns or risks posed by the products. See Part I, Item 1A. “Risk Factors-Ultrasound contrast agents may cause side effects which could limit our ability to sell DEFINITY.”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we continue to pursue expanding our microbubble franchise, our activities include:</w:t>
      </w:r>
    </w:p>
    <w:p>
      <w:pPr>
        <w:spacing w:after="0" w:line="117" w:lineRule="exact"/>
        <w:rPr>
          <w:sz w:val="20"/>
          <w:szCs w:val="20"/>
          <w:color w:val="auto"/>
        </w:rPr>
      </w:pPr>
    </w:p>
    <w:p>
      <w:pPr>
        <w:ind w:left="660" w:right="80" w:hanging="16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Patents </w:t>
      </w:r>
      <w:r>
        <w:rPr>
          <w:rFonts w:ascii="Arial" w:cs="Arial" w:eastAsia="Arial" w:hAnsi="Arial"/>
          <w:sz w:val="18"/>
          <w:szCs w:val="18"/>
          <w:color w:val="auto"/>
        </w:rPr>
        <w:t>- We continue to actively pursue additional patents in connection with DEFINITY, both in the U.S. and internationally. In the U.S.,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an Orange Book-listed method of use patent expiring in March 2037. This patent augments an Orange Book-listed composition of matter patent expiring in June 2019, and additional manufacturing patents that are not Orange Book-listed expiring in 2021, 2023 and 2037. Outside of the U.S., our DEFINITY patent protection or regulatory exclusivity currently expires in 2019.</w:t>
      </w:r>
    </w:p>
    <w:p>
      <w:pPr>
        <w:spacing w:after="0" w:line="78" w:lineRule="exact"/>
        <w:rPr>
          <w:rFonts w:ascii="Arial" w:cs="Arial" w:eastAsia="Arial" w:hAnsi="Arial"/>
          <w:sz w:val="18"/>
          <w:szCs w:val="18"/>
          <w:color w:val="auto"/>
        </w:rPr>
      </w:pPr>
    </w:p>
    <w:p>
      <w:pPr>
        <w:ind w:left="660"/>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 xml:space="preserve">Hatch-Waxman Act </w:t>
      </w:r>
      <w:r>
        <w:rPr>
          <w:rFonts w:ascii="Arial" w:cs="Arial" w:eastAsia="Arial" w:hAnsi="Arial"/>
          <w:sz w:val="17"/>
          <w:szCs w:val="17"/>
          <w:color w:val="auto"/>
        </w:rPr>
        <w:t>- Even though our longest duration Orange Book-listed patent expires in March 2037, because our Orange Book-listed</w:t>
      </w:r>
      <w:r>
        <w:rPr>
          <w:rFonts w:ascii="Arial" w:cs="Arial" w:eastAsia="Arial" w:hAnsi="Arial"/>
          <w:sz w:val="17"/>
          <w:szCs w:val="17"/>
          <w:i w:val="1"/>
          <w:iCs w:val="1"/>
          <w:color w:val="auto"/>
        </w:rPr>
        <w:t xml:space="preserve"> </w:t>
      </w:r>
      <w:r>
        <w:rPr>
          <w:rFonts w:ascii="Arial" w:cs="Arial" w:eastAsia="Arial" w:hAnsi="Arial"/>
          <w:sz w:val="17"/>
          <w:szCs w:val="17"/>
          <w:color w:val="auto"/>
        </w:rPr>
        <w:t>composition of matter patent expires in June 2019, we may face generic DEFINITY challengers in the near to intermediate term. Under the Drug Price Competition and Patent Term Restoration Act of 1984, known as the Hatch-Waxman Act, the FDA can approve Abbreviated New Drug Applications (“ANDAs”) for generic versions of drugs if the ANDA applicant demonstrates, among other things, that (i) its generic candidate is the same as the innovator product by establishing bioequivalence and providing relevant chemistry, manufacturing and product data, and (ii) the marketing of that generic candidate does not infringe an Orange Book-listed patent. With respect to any Orange Book-listed patent covering the innovator product, the ANDA applicant must give notice to the innovator (a “Notice”) that the ANDA applicant certifies that its generic candidate will not infringe the innovator’s Orange Book-listed patent or that the Orange Book-listed patent is invalid. The innovator can then challenge the ANDA applicant in court within 45 days of receiving such Notice, and FDA approval to commercialize the generic candidate will be stayed (that is, delayed) for up to 30 months while the patent dispute between the innovator and the ANDA applicant is resolved in court. The 30 month stay could potentially expire sooner if the courts determine that no infringement occurs or that the challenged Orange Book-listed patent is invalid or the parties otherwise settle their dispute.</w:t>
      </w:r>
    </w:p>
    <w:p>
      <w:pPr>
        <w:spacing w:after="0" w:line="71" w:lineRule="exact"/>
        <w:rPr>
          <w:rFonts w:ascii="Arial" w:cs="Arial" w:eastAsia="Arial" w:hAnsi="Arial"/>
          <w:sz w:val="18"/>
          <w:szCs w:val="18"/>
          <w:color w:val="auto"/>
        </w:rPr>
      </w:pPr>
    </w:p>
    <w:p>
      <w:pPr>
        <w:ind w:left="660"/>
        <w:spacing w:after="0" w:line="291" w:lineRule="auto"/>
        <w:rPr>
          <w:rFonts w:ascii="Arial" w:cs="Arial" w:eastAsia="Arial" w:hAnsi="Arial"/>
          <w:sz w:val="18"/>
          <w:szCs w:val="18"/>
          <w:color w:val="auto"/>
        </w:rPr>
      </w:pPr>
      <w:r>
        <w:rPr>
          <w:rFonts w:ascii="Arial" w:cs="Arial" w:eastAsia="Arial" w:hAnsi="Arial"/>
          <w:sz w:val="16"/>
          <w:szCs w:val="16"/>
          <w:color w:val="auto"/>
        </w:rPr>
        <w:t>As of the date of filing of this Annual Report on Form 10-K, we have not received any Notice from an ANDA applicant. If we were to (i) receive any such Notice in the future, (ii) bring a patent infringement suit against the ANDA applicant within 45 days of receiving such Notice, and (iii) successfully obtain the full 30 month stay, then the ANDA applicant would be precluded from commercializing a generic candidate prior to the expiration of such 30 month stay period and potentially thereafter depending on how a patent dispute is resolved. Solely by way of example and not based on any knowledge we currently have, if we received a Notice from an ANDA applicant in March 2019 and the full 30 month stay was obtained, then the ANDA applicant would be precluded from commercialization until at least September 2021. If we received a Notice some number of months in the future and the full 30 month stay was obtained, the commercialization date would roll forward in the future by the same calculation.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75"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right="260" w:hanging="166"/>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LVEF Indication </w:t>
      </w:r>
      <w:r>
        <w:rPr>
          <w:rFonts w:ascii="Arial" w:cs="Arial" w:eastAsia="Arial" w:hAnsi="Arial"/>
          <w:sz w:val="17"/>
          <w:szCs w:val="17"/>
          <w:color w:val="auto"/>
        </w:rPr>
        <w:t>- We are currently conducting two well-controlled Phase 3 studies designed to demonstrate improved accuracy of LVEF</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with DEFINITY-enhanced echocardiography versus unenhanced echocardiography. The truth standard in these studies is cardiac magnetic resonance imaging. The studies will be conducted at 20 U.S. sites and will eventually enroll a total of approximately 300 subjects. We believe DEFINITY could improve the accuracy of LVEF calculations, giving clinicians greater confidence in patient management decisions. An LVEF indication could substantially increase the addressable market for contrast-enhanced echocardiography. We believe that DEFINITY, as the market leader, would benefit from the expanded addressable market.</w:t>
      </w:r>
    </w:p>
    <w:p>
      <w:pPr>
        <w:spacing w:after="0" w:line="70" w:lineRule="exact"/>
        <w:rPr>
          <w:rFonts w:ascii="Arial" w:cs="Arial" w:eastAsia="Arial" w:hAnsi="Arial"/>
          <w:sz w:val="17"/>
          <w:szCs w:val="17"/>
          <w:color w:val="auto"/>
        </w:rPr>
      </w:pPr>
    </w:p>
    <w:p>
      <w:pPr>
        <w:ind w:left="660" w:right="20" w:hanging="166"/>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Modified Formulation </w:t>
      </w:r>
      <w:r>
        <w:rPr>
          <w:rFonts w:ascii="Arial" w:cs="Arial" w:eastAsia="Arial" w:hAnsi="Arial"/>
          <w:sz w:val="16"/>
          <w:szCs w:val="16"/>
          <w:color w:val="auto"/>
        </w:rPr>
        <w:t>- We are developing at SBL a modified formulation of DEFINITY. We believe this modified formulation will provide an</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product profile by enabling storage as well as shipment at room temperature (DEFINITY’s current formulation requires refrigerated storage), will give clinicians additional choice, and will allow for greater utility of this formulation in broader clinical settings. We were recently granted a composition of matter patent on the modified formulation which runs through December 2035. If the modified formulation is approved by the FDA, then this patent would be eligible to be listed in the Orange Book. We currently believe that, if approved by the FDA, the modified formulation could become commercially available in 2020, although that timing cannot be assured. Given its physical characteristics, the modified formulation may also be better suited for inclusion in kits requiring microbubbles for other indications and applications.</w:t>
      </w:r>
    </w:p>
    <w:p>
      <w:pPr>
        <w:spacing w:after="0" w:line="59" w:lineRule="exact"/>
        <w:rPr>
          <w:rFonts w:ascii="Arial" w:cs="Arial" w:eastAsia="Arial" w:hAnsi="Arial"/>
          <w:sz w:val="16"/>
          <w:szCs w:val="16"/>
          <w:color w:val="auto"/>
        </w:rPr>
      </w:pPr>
    </w:p>
    <w:p>
      <w:pPr>
        <w:ind w:left="660" w:right="38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New Applications </w:t>
      </w:r>
      <w:r>
        <w:rPr>
          <w:rFonts w:ascii="Arial" w:cs="Arial" w:eastAsia="Arial" w:hAnsi="Arial"/>
          <w:sz w:val="18"/>
          <w:szCs w:val="18"/>
          <w:color w:val="auto"/>
        </w:rPr>
        <w:t>- As we continue to look for other opportunities to expand our microbubble franchise, we are evaluating new indications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beyond echocardiography and contrast imaging generally.</w:t>
      </w:r>
    </w:p>
    <w:p>
      <w:pPr>
        <w:spacing w:after="0" w:line="62" w:lineRule="exact"/>
        <w:rPr>
          <w:rFonts w:ascii="Arial" w:cs="Arial" w:eastAsia="Arial" w:hAnsi="Arial"/>
          <w:sz w:val="18"/>
          <w:szCs w:val="18"/>
          <w:color w:val="auto"/>
        </w:rPr>
      </w:pPr>
    </w:p>
    <w:p>
      <w:pPr>
        <w:ind w:left="660" w:right="160" w:hanging="166"/>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In-House Manufacturing </w:t>
      </w:r>
      <w:r>
        <w:rPr>
          <w:rFonts w:ascii="Arial" w:cs="Arial" w:eastAsia="Arial" w:hAnsi="Arial"/>
          <w:sz w:val="16"/>
          <w:szCs w:val="16"/>
          <w:color w:val="auto"/>
        </w:rPr>
        <w:t>- We are currently building specialized in-house manufacturing capabilities at our North Billerica, Massachusetts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for DEFINITY and, potentially, other sterile vial products. We believe the investment in these efforts will allow us to better control DEFINITY manufacturing and inventory, reduce our costs in a potentially more price competitive environment, and provide us with supply chain redundancy. We currently expect to be in a position to use this in-house manufacturing capability by early 2021, although that timing cannot be assured.</w:t>
      </w:r>
    </w:p>
    <w:p>
      <w:pPr>
        <w:spacing w:after="0" w:line="15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“—If we are unable to protect our intellectual property, our competitors could develop and market products with features similar to our products, and demand for our products may decline,” and “—Our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TechneLite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TechneLite is a self-contained system or generator of Technetium (“Tc99m”), a radioactive isotope with a six hour half-life, used by radiopharmacies to prepare various nuclear imaging agents. Technetium results from the radioactive decay of Moly, itself a radioisotope with a 66-hour half-life produced in nuclear research reactors around the world from enriched uranium. The TechneLite generator is a little larger than a coffee can in size, and the self-contained system houses a vertical glass column at its core that contains Moly. During our manufacturing process, Moly is added to the column within the generator where it is adsorbed onto alumina powder. The column is sterilized, enclosed in a lead shield and further sealed in a cylindrical plastic container, which is then immediately shipped to our radiopharmacy customers. Because of the short half-lives of Moly and Technetium, radiopharmacies typically purchase TechneLite generators on a weekly basis pursuant to standing orders.</w:t>
      </w:r>
    </w:p>
    <w:p>
      <w:pPr>
        <w:spacing w:after="0" w:line="17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Technetium produced by our TechneLite generator is the medical radioisotope that can be attached to a number of imaging agents, including our own Cardiolite products and Neurolite, during the radiolabeling process. To radiolabel a Technetium-based radiopharmaceutical, a vial of sterile saline and a vacuum vial are each affixed to the top of a TechneLite generator. The sterile saline is pulled through the generator where it attracts Technetium resulting from the radioactive decay of Moly within the generator column. The Technetium-containing radioactive saline is then pulled into the vacuum vial and subsequently combined by a radiopharmacist with the applicable imaging agent, and individual patient-specific radiolabeled imaging agent doses are then prepared. When administered, the imaging agent binds to specific tissues or organs for a period of time, enabling the Technetium to illustrate the functional health of the imaged tissues or organs in a diagnostic image. Our ability to produce and market TechneLite is highly dependent on our supply of Moly. See “Raw Materials and Supply Relationships—Molybdenum-99” below.</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175"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TechneLite is produced in 13 sizes and is currently marketed primarily in North America and Latin America, largely to radiopharmacies that prepare unit doses of radiopharmaceutical imaging agents and ship these preparations directly to hospitals for administration to patients. In the U.S., we have supply contracts with the significant radiopharmacy groups, including Cardinal, UPPI, GE Healthcare and Triad. We also supply generators on a purchase order basis to other customers. We estimate that TechneLite had approximately one third of the U.S. generator market as of December 31, 2018, competing primarily with Technetium-based generators produced by Curium. In Puerto Rico, we also supply TechneLite to our wholly-owned radiopharmacy to prepare radiopharmaceutical imaging agent unit doses.</w:t>
      </w:r>
    </w:p>
    <w:p>
      <w:pPr>
        <w:spacing w:after="0" w:line="19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Canada, where we sold our radiopharmacies in January 2016, we have a supply agreement with Isologic Innovative Radiopharmaceuticals Ltd. (“Isologic”), the buyer of those radiopharmacies (the “Isologic Supply Agreement”). Under the Isologic Supply Agreement, we supply Isologic with certain of our products on commercial terms, including certain product purchase commitments by Isologic. The agreement expires in January 2021 and may be terminated upon the occurrence of specified events, including a material breach by the other party, bankruptcy by either party or certain force majeure events. In Australia, where we sold our radiopharmacy servicing business in August 2016, we have a supply agreement with Global Medical Solutions (“GMS”), the buyer of that business (the “GMS Supply Agreement”). Under the GMS Supply Agreement, we supply GMS with certain of our products on commercial terms, including certain minimum product purchase commitments by GMS. The agreement expires in August 2020 and may be terminated in whole or in part on a product-by-product basis upon the occurrence of specified events, including a material breach by the other party, bankruptcy by either party or certain force majeure events.</w:t>
      </w:r>
    </w:p>
    <w:p>
      <w:pPr>
        <w:spacing w:after="0" w:line="182"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The Moly used in our TechneLite generators can be produced using targets made of either highly-enriched uranium (“HEU”) or low-enriched uranium (“LEU”). LEU consists of uranium that contains less than 20% of the uranium-235 isotope. HEU is often considered weapons grade material, with 20% or more of uranium-235. The American Medical Isotopes Production Act of 2012 encourages the domestic production of LEU Moly and provides for the eventual prohibition of the export of HEU from the U.S. Although Medicare generally does not provide separate payment to hospitals for the use of diagnostic radiopharmaceuticals administered in an outpatient setting, since 2013, the Centers for Medicare and Medicaid Services (“CMS”), the federal agency responsible for administering the Medicare program, has provided an add-on payment (of $10) under the hospital outpatient prospective payment system for every Technetium diagnostic dose produced from non-HEU sourced Moly, to cover the marginal cost for radioisotopes produced from non-HEU sources. Our LEU TechneLite generator satisfies the reimbursement requirements under the applicable CMS rules.</w:t>
      </w:r>
    </w:p>
    <w:p>
      <w:pPr>
        <w:spacing w:after="0" w:line="16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TechneLite has patent protection in the U.S. and various foreign countries on certain component technology currently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segments, which provide a stable base of recurring revenue. Most of these products have a favorable industry position as a result of our substantial infrastructure investment, specialized workforce, technical know-how and supplier and customer relationships.</w:t>
      </w:r>
    </w:p>
    <w:p>
      <w:pPr>
        <w:spacing w:after="0" w:line="73" w:lineRule="exact"/>
        <w:rPr>
          <w:sz w:val="20"/>
          <w:szCs w:val="20"/>
          <w:color w:val="auto"/>
        </w:rPr>
      </w:pPr>
    </w:p>
    <w:p>
      <w:pPr>
        <w:ind w:left="660" w:right="2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(“Xenon”) is a radiopharmaceutical gas that is inhaled and used to assess pulmonary function and also to image cerebral blood</w:t>
      </w:r>
      <w:r>
        <w:rPr>
          <w:rFonts w:ascii="Arial" w:cs="Arial" w:eastAsia="Arial" w:hAnsi="Arial"/>
          <w:sz w:val="18"/>
          <w:szCs w:val="18"/>
          <w:i w:val="1"/>
          <w:iCs w:val="1"/>
          <w:color w:val="auto"/>
        </w:rPr>
        <w:t xml:space="preserve"> </w:t>
      </w:r>
      <w:r>
        <w:rPr>
          <w:rFonts w:ascii="Arial" w:cs="Arial" w:eastAsia="Arial" w:hAnsi="Arial"/>
          <w:sz w:val="18"/>
          <w:szCs w:val="18"/>
          <w:color w:val="auto"/>
        </w:rPr>
        <w:t>flow. Our Xenon is manufactured by a third party as a bi-product of Moly production and is processed and finished by us. We are currently the leading provider of Xenon in the U.S.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 We launched Neurolite in 1995.</w:t>
      </w:r>
    </w:p>
    <w:p>
      <w:pPr>
        <w:spacing w:after="0" w:line="62" w:lineRule="exact"/>
        <w:rPr>
          <w:rFonts w:ascii="Arial" w:cs="Arial" w:eastAsia="Arial" w:hAnsi="Arial"/>
          <w:sz w:val="18"/>
          <w:szCs w:val="18"/>
          <w:i w:val="1"/>
          <w:iCs w:val="1"/>
          <w:color w:val="auto"/>
        </w:rPr>
      </w:pPr>
    </w:p>
    <w:p>
      <w:pPr>
        <w:ind w:left="660" w:right="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Cardiolite</w:t>
      </w:r>
      <w:r>
        <w:rPr>
          <w:rFonts w:ascii="Arial" w:cs="Arial" w:eastAsia="Arial" w:hAnsi="Arial"/>
          <w:sz w:val="18"/>
          <w:szCs w:val="18"/>
          <w:color w:val="auto"/>
        </w:rPr>
        <w:t>, also known by its generic name sestamibi, is an injectable, Technetium-labeled imaging agent used in MPI procedures to assess blood</w:t>
      </w:r>
      <w:r>
        <w:rPr>
          <w:rFonts w:ascii="Arial" w:cs="Arial" w:eastAsia="Arial" w:hAnsi="Arial"/>
          <w:sz w:val="18"/>
          <w:szCs w:val="18"/>
          <w:i w:val="1"/>
          <w:iCs w:val="1"/>
          <w:color w:val="auto"/>
        </w:rPr>
        <w:t xml:space="preserve"> </w:t>
      </w:r>
      <w:r>
        <w:rPr>
          <w:rFonts w:ascii="Arial" w:cs="Arial" w:eastAsia="Arial" w:hAnsi="Arial"/>
          <w:sz w:val="18"/>
          <w:szCs w:val="18"/>
          <w:color w:val="auto"/>
        </w:rPr>
        <w:t>flow to the muscle of the heart using SPECT. Cardiolite was approved by the FDA in 1990 and its market exclusivity expired in July 2008. Included in Cardiolite revenues are branded Cardiolite and generic sestamibi revenues.</w:t>
      </w:r>
    </w:p>
    <w:p>
      <w:pPr>
        <w:spacing w:after="0" w:line="73"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Thallium TI 201 </w:t>
      </w:r>
      <w:r>
        <w:rPr>
          <w:rFonts w:ascii="Arial" w:cs="Arial" w:eastAsia="Arial" w:hAnsi="Arial"/>
          <w:sz w:val="18"/>
          <w:szCs w:val="18"/>
          <w:color w:val="auto"/>
        </w:rPr>
        <w:t>is an injectable radiopharmaceutical imaging agent used in MPI studies to detect cardiovascular disease. We have marketed</w:t>
      </w:r>
      <w:r>
        <w:rPr>
          <w:rFonts w:ascii="Arial" w:cs="Arial" w:eastAsia="Arial" w:hAnsi="Arial"/>
          <w:sz w:val="18"/>
          <w:szCs w:val="18"/>
          <w:i w:val="1"/>
          <w:iCs w:val="1"/>
          <w:color w:val="auto"/>
        </w:rPr>
        <w:t xml:space="preserve"> </w:t>
      </w:r>
      <w:r>
        <w:rPr>
          <w:rFonts w:ascii="Arial" w:cs="Arial" w:eastAsia="Arial" w:hAnsi="Arial"/>
          <w:sz w:val="18"/>
          <w:szCs w:val="18"/>
          <w:color w:val="auto"/>
        </w:rPr>
        <w:t>Thallium since 1977 and manufacture the agent using cyclotron technology.</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FDG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We manufacture and distribute FDG from our Puerto Rico radiopharmacy.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5"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Gallium (Ga 67) </w:t>
      </w:r>
      <w:r>
        <w:rPr>
          <w:rFonts w:ascii="Arial" w:cs="Arial" w:eastAsia="Arial" w:hAnsi="Arial"/>
          <w:sz w:val="18"/>
          <w:szCs w:val="18"/>
          <w:color w:val="auto"/>
        </w:rPr>
        <w:t>is an injectable radiopharmaceutical imaging agent used to detect certain infections and cancerous tumors, especially lymphoma.</w:t>
      </w:r>
      <w:r>
        <w:rPr>
          <w:rFonts w:ascii="Arial" w:cs="Arial" w:eastAsia="Arial" w:hAnsi="Arial"/>
          <w:sz w:val="18"/>
          <w:szCs w:val="18"/>
          <w:i w:val="1"/>
          <w:iCs w:val="1"/>
          <w:color w:val="auto"/>
        </w:rPr>
        <w:t xml:space="preserve"> </w:t>
      </w:r>
      <w:r>
        <w:rPr>
          <w:rFonts w:ascii="Arial" w:cs="Arial" w:eastAsia="Arial" w:hAnsi="Arial"/>
          <w:sz w:val="18"/>
          <w:szCs w:val="18"/>
          <w:color w:val="auto"/>
        </w:rPr>
        <w:t>We manufacture Gallium using cyclotron technology.</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osteoblastic metastatic</w:t>
      </w:r>
      <w:r>
        <w:rPr>
          <w:rFonts w:ascii="Arial" w:cs="Arial" w:eastAsia="Arial" w:hAnsi="Arial"/>
          <w:sz w:val="18"/>
          <w:szCs w:val="18"/>
          <w:i w:val="1"/>
          <w:iCs w:val="1"/>
          <w:color w:val="auto"/>
        </w:rPr>
        <w:t xml:space="preserve"> </w:t>
      </w:r>
      <w:r>
        <w:rPr>
          <w:rFonts w:ascii="Arial" w:cs="Arial" w:eastAsia="Arial" w:hAnsi="Arial"/>
          <w:sz w:val="18"/>
          <w:szCs w:val="18"/>
          <w:color w:val="auto"/>
        </w:rPr>
        <w:t>bone lesions. We serve as the direct manufacturer and supplier of Quadramet in the U.S.</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Cobalt (Co 57) </w:t>
      </w:r>
      <w:r>
        <w:rPr>
          <w:rFonts w:ascii="Arial" w:cs="Arial" w:eastAsia="Arial" w:hAnsi="Arial"/>
          <w:sz w:val="18"/>
          <w:szCs w:val="18"/>
          <w:color w:val="auto"/>
        </w:rPr>
        <w:t>is a non-pharmaceutical radiochemical used in the manufacture of sources for the calibration and maintenance of SPECT imaging</w:t>
      </w:r>
      <w:r>
        <w:rPr>
          <w:rFonts w:ascii="Arial" w:cs="Arial" w:eastAsia="Arial" w:hAnsi="Arial"/>
          <w:sz w:val="18"/>
          <w:szCs w:val="18"/>
          <w:i w:val="1"/>
          <w:iCs w:val="1"/>
          <w:color w:val="auto"/>
        </w:rPr>
        <w:t xml:space="preserve"> </w:t>
      </w:r>
      <w:r>
        <w:rPr>
          <w:rFonts w:ascii="Arial" w:cs="Arial" w:eastAsia="Arial" w:hAnsi="Arial"/>
          <w:sz w:val="18"/>
          <w:szCs w:val="18"/>
          <w:color w:val="auto"/>
        </w:rPr>
        <w:t>cameras.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Marketing and Sales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key market information for each of our commercial pharmaceutical products:</w:t>
      </w:r>
    </w:p>
    <w:p>
      <w:pPr>
        <w:spacing w:after="0" w:line="163"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2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Product</w:t>
            </w:r>
          </w:p>
        </w:tc>
        <w:tc>
          <w:tcPr>
            <w:tcW w:w="61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6"/>
              </w:rPr>
              <w:t>Approved Markets</w:t>
            </w:r>
          </w:p>
        </w:tc>
        <w:tc>
          <w:tcPr>
            <w:tcW w:w="0" w:type="dxa"/>
            <w:vAlign w:val="bottom"/>
          </w:tcPr>
          <w:p>
            <w:pPr>
              <w:spacing w:after="0"/>
              <w:rPr>
                <w:sz w:val="1"/>
                <w:szCs w:val="1"/>
                <w:color w:val="auto"/>
              </w:rPr>
            </w:pPr>
          </w:p>
        </w:tc>
      </w:tr>
      <w:tr>
        <w:trPr>
          <w:trHeight w:val="156"/>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DEFINITY</w:t>
            </w:r>
          </w:p>
        </w:tc>
        <w:tc>
          <w:tcPr>
            <w:tcW w:w="6180" w:type="dxa"/>
            <w:vAlign w:val="bottom"/>
            <w:shd w:val="clear" w:color="auto" w:fill="CCEEFF"/>
          </w:tcPr>
          <w:p>
            <w:pPr>
              <w:jc w:val="center"/>
              <w:ind w:left="488"/>
              <w:spacing w:after="0" w:line="157" w:lineRule="exact"/>
              <w:rPr>
                <w:sz w:val="20"/>
                <w:szCs w:val="20"/>
                <w:color w:val="auto"/>
              </w:rPr>
            </w:pPr>
            <w:r>
              <w:rPr>
                <w:rFonts w:ascii="Arial" w:cs="Arial" w:eastAsia="Arial" w:hAnsi="Arial"/>
                <w:sz w:val="14"/>
                <w:szCs w:val="14"/>
                <w:color w:val="auto"/>
                <w:w w:val="93"/>
              </w:rPr>
              <w:t>Australia, Canada, European Union, European Economic Area, Israel, India, Mexico, New</w:t>
            </w:r>
          </w:p>
        </w:tc>
        <w:tc>
          <w:tcPr>
            <w:tcW w:w="0" w:type="dxa"/>
            <w:vAlign w:val="bottom"/>
          </w:tcPr>
          <w:p>
            <w:pPr>
              <w:spacing w:after="0"/>
              <w:rPr>
                <w:sz w:val="1"/>
                <w:szCs w:val="1"/>
                <w:color w:val="auto"/>
              </w:rPr>
            </w:pPr>
          </w:p>
        </w:tc>
      </w:tr>
      <w:tr>
        <w:trPr>
          <w:trHeight w:val="101"/>
        </w:trPr>
        <w:tc>
          <w:tcPr>
            <w:tcW w:w="2340" w:type="dxa"/>
            <w:vAlign w:val="bottom"/>
            <w:vMerge w:val="continue"/>
            <w:shd w:val="clear" w:color="auto" w:fill="CCEEFF"/>
          </w:tcPr>
          <w:p>
            <w:pPr>
              <w:spacing w:after="0"/>
              <w:rPr>
                <w:sz w:val="8"/>
                <w:szCs w:val="8"/>
                <w:color w:val="auto"/>
              </w:rPr>
            </w:pPr>
          </w:p>
        </w:tc>
        <w:tc>
          <w:tcPr>
            <w:tcW w:w="6180" w:type="dxa"/>
            <w:vAlign w:val="bottom"/>
            <w:vMerge w:val="restart"/>
            <w:shd w:val="clear" w:color="auto" w:fill="CCEEFF"/>
          </w:tcPr>
          <w:p>
            <w:pPr>
              <w:jc w:val="center"/>
              <w:ind w:left="488"/>
              <w:spacing w:after="0"/>
              <w:rPr>
                <w:sz w:val="20"/>
                <w:szCs w:val="20"/>
                <w:color w:val="auto"/>
              </w:rPr>
            </w:pPr>
            <w:r>
              <w:rPr>
                <w:rFonts w:ascii="Arial" w:cs="Arial" w:eastAsia="Arial" w:hAnsi="Arial"/>
                <w:sz w:val="14"/>
                <w:szCs w:val="14"/>
                <w:color w:val="auto"/>
                <w:w w:val="92"/>
              </w:rPr>
              <w:t>Zealand, Singapore, South Korea, Taiwan, United States</w:t>
            </w:r>
          </w:p>
        </w:tc>
        <w:tc>
          <w:tcPr>
            <w:tcW w:w="0" w:type="dxa"/>
            <w:vAlign w:val="bottom"/>
          </w:tcPr>
          <w:p>
            <w:pPr>
              <w:spacing w:after="0"/>
              <w:rPr>
                <w:sz w:val="1"/>
                <w:szCs w:val="1"/>
                <w:color w:val="auto"/>
              </w:rPr>
            </w:pPr>
          </w:p>
        </w:tc>
      </w:tr>
      <w:tr>
        <w:trPr>
          <w:trHeight w:val="93"/>
        </w:trPr>
        <w:tc>
          <w:tcPr>
            <w:tcW w:w="2340" w:type="dxa"/>
            <w:vAlign w:val="bottom"/>
            <w:shd w:val="clear" w:color="auto" w:fill="CCEEFF"/>
          </w:tcPr>
          <w:p>
            <w:pPr>
              <w:spacing w:after="0"/>
              <w:rPr>
                <w:sz w:val="8"/>
                <w:szCs w:val="8"/>
                <w:color w:val="auto"/>
              </w:rPr>
            </w:pPr>
          </w:p>
        </w:tc>
        <w:tc>
          <w:tcPr>
            <w:tcW w:w="6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TechneLite</w:t>
            </w:r>
          </w:p>
        </w:tc>
        <w:tc>
          <w:tcPr>
            <w:tcW w:w="6180" w:type="dxa"/>
            <w:vAlign w:val="bottom"/>
          </w:tcPr>
          <w:p>
            <w:pPr>
              <w:jc w:val="center"/>
              <w:ind w:left="488"/>
              <w:spacing w:after="0" w:line="157" w:lineRule="exact"/>
              <w:rPr>
                <w:sz w:val="20"/>
                <w:szCs w:val="20"/>
                <w:color w:val="auto"/>
              </w:rPr>
            </w:pPr>
            <w:r>
              <w:rPr>
                <w:rFonts w:ascii="Arial" w:cs="Arial" w:eastAsia="Arial" w:hAnsi="Arial"/>
                <w:sz w:val="14"/>
                <w:szCs w:val="14"/>
                <w:color w:val="auto"/>
                <w:w w:val="93"/>
              </w:rPr>
              <w:t>Australia, Brazil, Canada, China, Colombia, Costa Rica, New Zealand, Panama, South Korea,</w:t>
            </w:r>
          </w:p>
        </w:tc>
        <w:tc>
          <w:tcPr>
            <w:tcW w:w="0" w:type="dxa"/>
            <w:vAlign w:val="bottom"/>
          </w:tcPr>
          <w:p>
            <w:pPr>
              <w:spacing w:after="0"/>
              <w:rPr>
                <w:sz w:val="1"/>
                <w:szCs w:val="1"/>
                <w:color w:val="auto"/>
              </w:rPr>
            </w:pPr>
          </w:p>
        </w:tc>
      </w:tr>
      <w:tr>
        <w:trPr>
          <w:trHeight w:val="101"/>
        </w:trPr>
        <w:tc>
          <w:tcPr>
            <w:tcW w:w="2340" w:type="dxa"/>
            <w:vAlign w:val="bottom"/>
            <w:vMerge w:val="continue"/>
          </w:tcPr>
          <w:p>
            <w:pPr>
              <w:spacing w:after="0"/>
              <w:rPr>
                <w:sz w:val="8"/>
                <w:szCs w:val="8"/>
                <w:color w:val="auto"/>
              </w:rPr>
            </w:pPr>
          </w:p>
        </w:tc>
        <w:tc>
          <w:tcPr>
            <w:tcW w:w="6180" w:type="dxa"/>
            <w:vAlign w:val="bottom"/>
            <w:vMerge w:val="restart"/>
          </w:tcPr>
          <w:p>
            <w:pPr>
              <w:jc w:val="center"/>
              <w:ind w:left="488"/>
              <w:spacing w:after="0"/>
              <w:rPr>
                <w:sz w:val="20"/>
                <w:szCs w:val="20"/>
                <w:color w:val="auto"/>
              </w:rPr>
            </w:pPr>
            <w:r>
              <w:rPr>
                <w:rFonts w:ascii="Arial" w:cs="Arial" w:eastAsia="Arial" w:hAnsi="Arial"/>
                <w:sz w:val="14"/>
                <w:szCs w:val="14"/>
                <w:color w:val="auto"/>
                <w:w w:val="91"/>
              </w:rPr>
              <w:t>Taiwan, United States</w:t>
            </w: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Xenon</w:t>
            </w:r>
          </w:p>
        </w:tc>
        <w:tc>
          <w:tcPr>
            <w:tcW w:w="618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0"/>
              </w:rPr>
              <w:t>Canada, United States</w:t>
            </w:r>
          </w:p>
        </w:tc>
        <w:tc>
          <w:tcPr>
            <w:tcW w:w="0" w:type="dxa"/>
            <w:vAlign w:val="bottom"/>
          </w:tcPr>
          <w:p>
            <w:pPr>
              <w:spacing w:after="0"/>
              <w:rPr>
                <w:sz w:val="1"/>
                <w:szCs w:val="1"/>
                <w:color w:val="auto"/>
              </w:rPr>
            </w:pPr>
          </w:p>
        </w:tc>
      </w:tr>
      <w:tr>
        <w:trPr>
          <w:trHeight w:val="157"/>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Cardiolite</w:t>
            </w:r>
          </w:p>
        </w:tc>
        <w:tc>
          <w:tcPr>
            <w:tcW w:w="6180" w:type="dxa"/>
            <w:vAlign w:val="bottom"/>
          </w:tcPr>
          <w:p>
            <w:pPr>
              <w:jc w:val="center"/>
              <w:ind w:left="468"/>
              <w:spacing w:after="0" w:line="157" w:lineRule="exact"/>
              <w:rPr>
                <w:sz w:val="20"/>
                <w:szCs w:val="20"/>
                <w:color w:val="auto"/>
              </w:rPr>
            </w:pPr>
            <w:r>
              <w:rPr>
                <w:rFonts w:ascii="Arial" w:cs="Arial" w:eastAsia="Arial" w:hAnsi="Arial"/>
                <w:sz w:val="14"/>
                <w:szCs w:val="14"/>
                <w:color w:val="auto"/>
                <w:w w:val="92"/>
              </w:rPr>
              <w:t>Australia, Canada, Costa Rica, Hong Kong, Israel, Japan, New Zealand, Panama, Philippines,</w:t>
            </w:r>
          </w:p>
        </w:tc>
        <w:tc>
          <w:tcPr>
            <w:tcW w:w="0" w:type="dxa"/>
            <w:vAlign w:val="bottom"/>
          </w:tcPr>
          <w:p>
            <w:pPr>
              <w:spacing w:after="0"/>
              <w:rPr>
                <w:sz w:val="1"/>
                <w:szCs w:val="1"/>
                <w:color w:val="auto"/>
              </w:rPr>
            </w:pPr>
          </w:p>
        </w:tc>
      </w:tr>
      <w:tr>
        <w:trPr>
          <w:trHeight w:val="101"/>
        </w:trPr>
        <w:tc>
          <w:tcPr>
            <w:tcW w:w="2340" w:type="dxa"/>
            <w:vAlign w:val="bottom"/>
            <w:vMerge w:val="continue"/>
          </w:tcPr>
          <w:p>
            <w:pPr>
              <w:spacing w:after="0"/>
              <w:rPr>
                <w:sz w:val="8"/>
                <w:szCs w:val="8"/>
                <w:color w:val="auto"/>
              </w:rPr>
            </w:pPr>
          </w:p>
        </w:tc>
        <w:tc>
          <w:tcPr>
            <w:tcW w:w="6180" w:type="dxa"/>
            <w:vAlign w:val="bottom"/>
            <w:vMerge w:val="restart"/>
          </w:tcPr>
          <w:p>
            <w:pPr>
              <w:jc w:val="center"/>
              <w:ind w:left="468"/>
              <w:spacing w:after="0"/>
              <w:rPr>
                <w:sz w:val="20"/>
                <w:szCs w:val="20"/>
                <w:color w:val="auto"/>
              </w:rPr>
            </w:pPr>
            <w:r>
              <w:rPr>
                <w:rFonts w:ascii="Arial" w:cs="Arial" w:eastAsia="Arial" w:hAnsi="Arial"/>
                <w:sz w:val="14"/>
                <w:szCs w:val="14"/>
                <w:color w:val="auto"/>
                <w:w w:val="92"/>
              </w:rPr>
              <w:t>South Korea, Taiwan, Thailand, United States</w:t>
            </w: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spacing w:after="0"/>
              <w:rPr>
                <w:sz w:val="14"/>
                <w:szCs w:val="14"/>
                <w:color w:val="auto"/>
              </w:rPr>
            </w:pPr>
          </w:p>
        </w:tc>
        <w:tc>
          <w:tcPr>
            <w:tcW w:w="618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3"/>
              </w:rPr>
              <w:t>Australia, Austria, Belgium, Canada, Costa Rica, Denmark, Finland, France, Germany, Hong</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Neurolite</w:t>
            </w:r>
          </w:p>
        </w:tc>
        <w:tc>
          <w:tcPr>
            <w:tcW w:w="618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w w:val="93"/>
              </w:rPr>
              <w:t>Kong, Italy, Japan, Luxembourg, New Zealand, Philippines, Slovenia, South Korea, Spain,</w:t>
            </w:r>
          </w:p>
        </w:tc>
        <w:tc>
          <w:tcPr>
            <w:tcW w:w="0" w:type="dxa"/>
            <w:vAlign w:val="bottom"/>
          </w:tcPr>
          <w:p>
            <w:pPr>
              <w:spacing w:after="0"/>
              <w:rPr>
                <w:sz w:val="1"/>
                <w:szCs w:val="1"/>
                <w:color w:val="auto"/>
              </w:rPr>
            </w:pPr>
          </w:p>
        </w:tc>
      </w:tr>
      <w:tr>
        <w:trPr>
          <w:trHeight w:val="194"/>
        </w:trPr>
        <w:tc>
          <w:tcPr>
            <w:tcW w:w="2340" w:type="dxa"/>
            <w:vAlign w:val="bottom"/>
            <w:shd w:val="clear" w:color="auto" w:fill="CCEEFF"/>
          </w:tcPr>
          <w:p>
            <w:pPr>
              <w:spacing w:after="0"/>
              <w:rPr>
                <w:sz w:val="16"/>
                <w:szCs w:val="16"/>
                <w:color w:val="auto"/>
              </w:rPr>
            </w:pPr>
          </w:p>
        </w:tc>
        <w:tc>
          <w:tcPr>
            <w:tcW w:w="618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2"/>
              </w:rPr>
              <w:t>Taiwan, Thailand, United States</w:t>
            </w:r>
          </w:p>
        </w:tc>
        <w:tc>
          <w:tcPr>
            <w:tcW w:w="0" w:type="dxa"/>
            <w:vAlign w:val="bottom"/>
          </w:tcPr>
          <w:p>
            <w:pPr>
              <w:spacing w:after="0"/>
              <w:rPr>
                <w:sz w:val="1"/>
                <w:szCs w:val="1"/>
                <w:color w:val="auto"/>
              </w:rPr>
            </w:pPr>
          </w:p>
        </w:tc>
      </w:tr>
      <w:tr>
        <w:trPr>
          <w:trHeight w:val="157"/>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Thallium Tl 201</w:t>
            </w:r>
          </w:p>
        </w:tc>
        <w:tc>
          <w:tcPr>
            <w:tcW w:w="6180" w:type="dxa"/>
            <w:vAlign w:val="bottom"/>
          </w:tcPr>
          <w:p>
            <w:pPr>
              <w:jc w:val="center"/>
              <w:ind w:left="468"/>
              <w:spacing w:after="0" w:line="157" w:lineRule="exact"/>
              <w:rPr>
                <w:sz w:val="20"/>
                <w:szCs w:val="20"/>
                <w:color w:val="auto"/>
              </w:rPr>
            </w:pPr>
            <w:r>
              <w:rPr>
                <w:rFonts w:ascii="Arial" w:cs="Arial" w:eastAsia="Arial" w:hAnsi="Arial"/>
                <w:sz w:val="14"/>
                <w:szCs w:val="14"/>
                <w:color w:val="auto"/>
                <w:w w:val="92"/>
              </w:rPr>
              <w:t>Australia, Canada, Colombia, New Zealand, Pakistan, Panama, South Korea, Taiwan, United</w:t>
            </w:r>
          </w:p>
        </w:tc>
        <w:tc>
          <w:tcPr>
            <w:tcW w:w="0" w:type="dxa"/>
            <w:vAlign w:val="bottom"/>
          </w:tcPr>
          <w:p>
            <w:pPr>
              <w:spacing w:after="0"/>
              <w:rPr>
                <w:sz w:val="1"/>
                <w:szCs w:val="1"/>
                <w:color w:val="auto"/>
              </w:rPr>
            </w:pPr>
          </w:p>
        </w:tc>
      </w:tr>
      <w:tr>
        <w:trPr>
          <w:trHeight w:val="101"/>
        </w:trPr>
        <w:tc>
          <w:tcPr>
            <w:tcW w:w="2340" w:type="dxa"/>
            <w:vAlign w:val="bottom"/>
            <w:vMerge w:val="continue"/>
          </w:tcPr>
          <w:p>
            <w:pPr>
              <w:spacing w:after="0"/>
              <w:rPr>
                <w:sz w:val="8"/>
                <w:szCs w:val="8"/>
                <w:color w:val="auto"/>
              </w:rPr>
            </w:pPr>
          </w:p>
        </w:tc>
        <w:tc>
          <w:tcPr>
            <w:tcW w:w="6180" w:type="dxa"/>
            <w:vAlign w:val="bottom"/>
            <w:vMerge w:val="restart"/>
          </w:tcPr>
          <w:p>
            <w:pPr>
              <w:jc w:val="center"/>
              <w:ind w:left="488"/>
              <w:spacing w:after="0"/>
              <w:rPr>
                <w:sz w:val="20"/>
                <w:szCs w:val="20"/>
                <w:color w:val="auto"/>
              </w:rPr>
            </w:pPr>
            <w:r>
              <w:rPr>
                <w:rFonts w:ascii="Arial" w:cs="Arial" w:eastAsia="Arial" w:hAnsi="Arial"/>
                <w:sz w:val="14"/>
                <w:szCs w:val="14"/>
                <w:color w:val="auto"/>
                <w:w w:val="85"/>
              </w:rPr>
              <w:t>States</w:t>
            </w: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Gallium Ga 67</w:t>
            </w:r>
          </w:p>
        </w:tc>
        <w:tc>
          <w:tcPr>
            <w:tcW w:w="618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2"/>
              </w:rPr>
              <w:t>Australia, Canada, Colombia, Costa Rica, New Zealand, Pakistan, Panama, South Korea,</w:t>
            </w:r>
          </w:p>
        </w:tc>
        <w:tc>
          <w:tcPr>
            <w:tcW w:w="0" w:type="dxa"/>
            <w:vAlign w:val="bottom"/>
          </w:tcPr>
          <w:p>
            <w:pPr>
              <w:spacing w:after="0"/>
              <w:rPr>
                <w:sz w:val="1"/>
                <w:szCs w:val="1"/>
                <w:color w:val="auto"/>
              </w:rPr>
            </w:pPr>
          </w:p>
        </w:tc>
      </w:tr>
      <w:tr>
        <w:trPr>
          <w:trHeight w:val="101"/>
        </w:trPr>
        <w:tc>
          <w:tcPr>
            <w:tcW w:w="2340" w:type="dxa"/>
            <w:vAlign w:val="bottom"/>
            <w:vMerge w:val="continue"/>
            <w:shd w:val="clear" w:color="auto" w:fill="CCEEFF"/>
          </w:tcPr>
          <w:p>
            <w:pPr>
              <w:spacing w:after="0"/>
              <w:rPr>
                <w:sz w:val="8"/>
                <w:szCs w:val="8"/>
                <w:color w:val="auto"/>
              </w:rPr>
            </w:pPr>
          </w:p>
        </w:tc>
        <w:tc>
          <w:tcPr>
            <w:tcW w:w="6180" w:type="dxa"/>
            <w:vAlign w:val="bottom"/>
            <w:vMerge w:val="restart"/>
            <w:shd w:val="clear" w:color="auto" w:fill="CCEEFF"/>
          </w:tcPr>
          <w:p>
            <w:pPr>
              <w:jc w:val="center"/>
              <w:ind w:left="488"/>
              <w:spacing w:after="0"/>
              <w:rPr>
                <w:sz w:val="20"/>
                <w:szCs w:val="20"/>
                <w:color w:val="auto"/>
              </w:rPr>
            </w:pPr>
            <w:r>
              <w:rPr>
                <w:rFonts w:ascii="Arial" w:cs="Arial" w:eastAsia="Arial" w:hAnsi="Arial"/>
                <w:sz w:val="14"/>
                <w:szCs w:val="14"/>
                <w:color w:val="auto"/>
                <w:w w:val="91"/>
              </w:rPr>
              <w:t>Taiwan, United States</w:t>
            </w:r>
          </w:p>
        </w:tc>
        <w:tc>
          <w:tcPr>
            <w:tcW w:w="0" w:type="dxa"/>
            <w:vAlign w:val="bottom"/>
          </w:tcPr>
          <w:p>
            <w:pPr>
              <w:spacing w:after="0"/>
              <w:rPr>
                <w:sz w:val="1"/>
                <w:szCs w:val="1"/>
                <w:color w:val="auto"/>
              </w:rPr>
            </w:pPr>
          </w:p>
        </w:tc>
      </w:tr>
      <w:tr>
        <w:trPr>
          <w:trHeight w:val="93"/>
        </w:trPr>
        <w:tc>
          <w:tcPr>
            <w:tcW w:w="2340" w:type="dxa"/>
            <w:vAlign w:val="bottom"/>
            <w:shd w:val="clear" w:color="auto" w:fill="CCEEFF"/>
          </w:tcPr>
          <w:p>
            <w:pPr>
              <w:spacing w:after="0"/>
              <w:rPr>
                <w:sz w:val="8"/>
                <w:szCs w:val="8"/>
                <w:color w:val="auto"/>
              </w:rPr>
            </w:pPr>
          </w:p>
        </w:tc>
        <w:tc>
          <w:tcPr>
            <w:tcW w:w="6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Arial" w:cs="Arial" w:eastAsia="Arial" w:hAnsi="Arial"/>
                <w:sz w:val="14"/>
                <w:szCs w:val="14"/>
                <w:color w:val="auto"/>
              </w:rPr>
              <w:t>FDG</w:t>
            </w:r>
          </w:p>
        </w:tc>
        <w:tc>
          <w:tcPr>
            <w:tcW w:w="6180" w:type="dxa"/>
            <w:vAlign w:val="bottom"/>
          </w:tcPr>
          <w:p>
            <w:pPr>
              <w:jc w:val="center"/>
              <w:ind w:left="488"/>
              <w:spacing w:after="0"/>
              <w:rPr>
                <w:sz w:val="20"/>
                <w:szCs w:val="20"/>
                <w:color w:val="auto"/>
              </w:rPr>
            </w:pPr>
            <w:r>
              <w:rPr>
                <w:rFonts w:ascii="Arial" w:cs="Arial" w:eastAsia="Arial" w:hAnsi="Arial"/>
                <w:sz w:val="14"/>
                <w:szCs w:val="14"/>
                <w:color w:val="auto"/>
                <w:w w:val="92"/>
              </w:rPr>
              <w:t>United States</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Quadramet</w:t>
            </w:r>
          </w:p>
        </w:tc>
        <w:tc>
          <w:tcPr>
            <w:tcW w:w="618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2"/>
              </w:rPr>
              <w:t>United States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the U.S. and Canada, we have a sales team of approximately 80 employees that call on healthcare providers in the echocardiography space, as well as radiopharmacy chains, integrated delivery networks and group purchasing organizations.</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radiopharmaceutical products are sold in the U.S. through a subset of our sales team, primarily to radiopharmacies. We sell a majority of our radiopharmaceutical products in the U.S. to four radiopharmacy groups—namely Cardinal, UPPI, GE Healthcare and Triad. Our contractual distribution and other arrangements with these radiopharmacy groups are as follows:</w:t>
      </w:r>
    </w:p>
    <w:p>
      <w:pPr>
        <w:spacing w:after="0" w:line="73" w:lineRule="exact"/>
        <w:rPr>
          <w:sz w:val="20"/>
          <w:szCs w:val="20"/>
          <w:color w:val="auto"/>
        </w:rPr>
      </w:pPr>
    </w:p>
    <w:p>
      <w:pPr>
        <w:ind w:left="980" w:right="40" w:hanging="324"/>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Cardinal maintains approximately 131 radiopharmacies that are typically located in large, densely populated urban areas in the U.S. We estimate that Cardinal’s radiopharmacies distributed approximately 45% of the aggregate U.S. SPECT doses sold in the first half of 2018 (the latest information currently available to us). Our written supply agreement with Cardinal relating to TechneLite, Xenon, Neurolite and other products expires on December 31, 2019. The agreement specifies pricing levels and requirements to purchase minimum percentages of certain products during certain periods. The agreement may be terminated upon the occurrence of specified events, including a material breach by the other party and certain force majeure events.</w:t>
      </w:r>
    </w:p>
    <w:p>
      <w:pPr>
        <w:spacing w:after="0" w:line="85"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UPPI is a cooperative purchasing group (roughly analogous to a group purchasing organization) of approximately 68 independently owned or smaller chain radiopharmacies located in the U.S. UPPI’s radiopharmacies are typically broadly dispersed geographically, with some urban presence and a substantial number of radiopharmacies located in suburban and rural areas of the country. We estimate that these independent radiopharmacies, together with approximately 33 unaffiliated, independent radiopharmacies, distributed approximately 24% of the aggregate U.S. SPECT doses sold in the first half of 2018. We currently have an agreement with UPPI for the distribution of TechneLite, Xenon and certain other products to radiopharmacies or families of radiopharmacies within the UPPI cooperative purchasing group. The agreement contains specified pricing levels based upon specified purchase amounts for UPPI. We are entitled to terminate the UPPI agreement upon 60 days written notice. The UPPI agreement expires on December 31, 2019.</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100" w:hanging="324"/>
        <w:spacing w:after="0" w:line="27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 Healthcare maintains approximately 31 radiopharmacies in the U.S. that purchase our TechneLite generators. We estimate that GE Healthcare distributed approximately 13% of the aggregate U.S. SPECT doses sold in the first half of 2018. We currently have an agreement with GE Healthcare for the distribution of TechneLite, Xenon and other products. The agreement provides that GE Healthcare will purchase a minimum percentage of TechneLite generators as well as certain other products from us. Our agreement, which expires on December 31, 2020, may be terminated by either party upon the occurrence of specified events including a material breach by either party, bankruptcy by either party, certain irresolvable regulatory changes or economic circumstances, or force majeure events.</w:t>
      </w:r>
    </w:p>
    <w:p>
      <w:pPr>
        <w:spacing w:after="0" w:line="70" w:lineRule="exact"/>
        <w:rPr>
          <w:rFonts w:ascii="Arial" w:cs="Arial" w:eastAsia="Arial" w:hAnsi="Arial"/>
          <w:sz w:val="17"/>
          <w:szCs w:val="17"/>
          <w:color w:val="auto"/>
        </w:rPr>
      </w:pPr>
    </w:p>
    <w:p>
      <w:pPr>
        <w:ind w:left="980" w:right="12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Triad maintains approximately 56 radiopharmacies in the U.S. that purchase a range of our products. We estimate that Triad distributed approximately 12% of the aggregate U.S. SPECT doses sold in the first half of 2018. We currently have an agreement with Triad for the distribution of TechneLite, Xenon, Neurolite and other products. The agreement specifies pricing levels and percentage purchase requirements. The agreement will expire on December 31, 2020 and may be terminated upon the occurrence of specified events, including a material breach by the other party.</w:t>
      </w:r>
    </w:p>
    <w:p>
      <w:pPr>
        <w:spacing w:after="0" w:line="188"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addition to the distribution arrangements for our radiopharmaceutical products described above, we also sell certain of our radiopharmaceutical products to independent radiopharmacies and directly to hospitals and clinics that maintain in-house radiopharmaceutical capabilities and operations. In the latter case, this represents a small percentage of overall sales because the majority of hospitals and clinics do not maintain these in-house capabilities.</w:t>
      </w:r>
    </w:p>
    <w:p>
      <w:pPr>
        <w:spacing w:after="0" w:line="14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Puerto Rico, we own and operate one of the two radiopharmacies on the island, where we sell our own products as well as products of third parties to end-users. In Canada, we operate some direct distribution activities.</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Europe, Canada, Australia, Asia-Pacific and Latin America, we utilize third party distributor relationships to market, sell and distribute our products, either on a country-by-country basis or on a multi-country regional basis.</w:t>
      </w:r>
    </w:p>
    <w:p>
      <w:pPr>
        <w:spacing w:after="0" w:line="1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 March 2012, we entered into a development and distribution arrangement for DEFINITY in China, Hong Kong and Macau with Double-Crane Pharmaceutical Company (“Double-Crane”). With Double-Crane’s support, we are currently pursuing the Chinese regulatory approval required to commercialize DEFINITY. In July 2013, we submitted a clinical trial application to the Chinese Food and Drug Administration (“CFDA”) seeking an Import Drug License. After a very extensive waiting period caused by a large number of drugs seeking CFDA regulatory approval, in February 2016, the CFDA approved our clinical trial application. Double-Crane is conducting on our behalf three confirmatory clinical trials in pursuit of cardiac, liver and kidney imaging indications, as well as one small pharmacokinetic study, and enrollment has been completed for all the studies. The study results are currently being analyzed, and then the application to the CFDA for an Import Drug License will be prepared and submitted, which we currently estimate will occur in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business has modest seasonality as patients may seek to schedule non-urgent diagnostic imaging procedures less frequently during the summer vacation months and over the year-end holidays.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customer accounted for greater than 10% of revenues for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backlog consists of orders for which a delivery schedule within the next twelve months has been specified. Orders included in backlog may be canceled or rescheduled by customers at any time with the exception of TechneLite orders. For TechneLite, customers must provide us with four weeks advanced notice to cancel an order. We do not believe that our backlog at any particular time is meaningful because it has historically been immaterial relative to our consolidated revenues and is not necessarily indicative of future revenues for any given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7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that are more diversified than we are and that have substantial financial, manufacturing, sales and marketing, distribution and other resources. These competitors currently include Curium, GE Healthcare, Bracco and Jubilant Life Sciences, an affiliate of JHS, as well as other competitors, including NorthStar Medical Radioisotopes. We cannot anticipate their competitive actions in the same or competing diagnostic modalities, such as significant price reductions on products that are comparable to our own, development of new products that are more cost-effective or have superior performance than our current products or the introduction of generic versions after our proprietary products lose their current patent protection. In addition, distributors of our products could attempt to shift end-users to competing diagnostic modalities and products, or bundle the sale of a portfolio of products to the detriment of our specific products. Our current or future products could be rendered obsolete or uneconomical as a result of these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Supply Relationships</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For the year ended December 31, 2018, our largest suppliers of raw materials and supplies were Institute for Radioelements (“IRE”), ANSTO and NTP, which, in the aggregate, accounted for approximately 27% of our total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Molybdenum-99</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TechneLite, Cardiolite and Neurolite products all rely on Moly, the radioisotope which is produced by bombarding uranium with neutrons in research reactors. With a 66-hour half-life, Moly decays into, among other things, Technetium-99m (Tc-99m), another radioisotope with a half-life of six hours. Tc-99m is the isotope that is attached to radiopharmaceuticals, including our own Cardiolite and Neurolite, during the labeling process and is the most common radioisotope used for medical diagnostic imaging purposes.</w:t>
      </w:r>
    </w:p>
    <w:p>
      <w:pPr>
        <w:spacing w:after="0" w:line="18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currently purchase finished Moly from three of the four main processing sites in the world, namely, IRE in Belgium, ANSTO in Australia, and NTP in South Africa. These processing sites provide us Moly from five of the six main Moly-producing reactors in the world, namely, OPAL in Australia, BR2 in Belgium, LVR-15 in the Czech Republic, HFR in The Netherlands, and SAFARI in South Africa.</w:t>
      </w:r>
    </w:p>
    <w:p>
      <w:pPr>
        <w:spacing w:after="0" w:line="181"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Our agreement with NTP (the “NTP Agreement”), with NTP acting for itself and on behalf of its subcontractor ANSTO, specifies LMI’s percentage purchase requirements and unit pricing, and provides for the supply of Moly derived from LEU targets from NTP and ANSTO. ANSTO has under construction a new Moly processing facility that ANSTO believes will increase its production capacity from approximately 2,000 curies per week to 3,500 curies per week. ANSTO has indicated that it is currently planning to start commercial production in the first half of 2019. The NTP Agreement allows for termination upon the occurrence of certain events, including failure by NTP to provide our required amount of Moly, material breach of any provision by either party, bankruptcy by either party or force majeure events. The NTP Agreement expires on December 31, 2020.</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Similar to the NTP Agreement, our agreement with IRE (the “IRE Agreement”) contains minimum percentage volume requirements and unit pricing. The IRE Agreement also requires IRE to provide certain favorable allocations of Moly during periods of supply shortage or failure. The IRE Agreement also provides for an increased supply of Moly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Moly, material breach of any provision by either party, bankruptcy by either party or force majeure events. The IRE Agreement expires on December 31, 2019, and is renewable by LMI on a year-to-year basis thereafter.</w:t>
      </w:r>
    </w:p>
    <w:p>
      <w:pPr>
        <w:spacing w:after="0" w:line="17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We believe we are generally well-positioned with ANSTO, IRE and NTP to have a diverse, global Moly supply, including LEU-based Moly. However, we still face challenges in our Moly supply chain. The NTP processing facility was off-line from late November 2017 until mid-February 2018 and again from early June 2018 through mid-November 2018. During the periods when NTP was not producing, we relied on Moly supply from both IRE and ANSTO to limit the impact of the NTP outage. However, we were unable to fill all of the demand for our TechneLite generators on certain manufacturing days. To further augment and diversify our current supply, we are pursuing additional sources of Moly from potential new producers around the world that seek to produce Moly with existing or new reactors or technologies. For example, in November 2014, we entered into a strategic agreement with SHINE Medical Technologies, Inc. (“SHINE”), a Wisconsin-based company, for the future supply of Moly. Under the terms of the supply agreement, SHINE will provide Moly produced using its proprietary LEU-solution technology for use in our TechneLite generators once SHINE’s facility becomes operational and receives all necessary regulatory approvals, which SHINE now estimates will occur in 2021. See Part 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Xenon</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Xenon is a by-product of the Moly production process. Under a strategic agreement we entered into in 2015, we receive from IRE bulk unprocessed Xenon, which we process and finish for our customers at our North Billerica, Massachusetts manufacturing facility. Until we can qualify an additional source of bulk unprocessed Xenon, we will rely on IRE as a sole source provider.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Materials</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have additional supply arrangements for active pharmaceutical ingredients, excipients, packaging materials and other materials and components, none of which are exclusive, but a number of which are sole source, and all of which we currently believe are either in good standing or replaceable without any material disruption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maintain manufacturing operations at our North Billerica, Massachusetts facility. We manufacture TechneLite on a highly automated production line, Thallium and Gallium and certain radiochemicals using our cyclotron technology, and we process and finish Xenon and Quadramet using our hot cell infrastructure. We also maintain manufacturing operations at our San Juan, Puerto Rico radiopharmacy and PET manufacturing facility where we manufacture FDG using cyclotron technology. 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our cyclotrons and our extensive experience in complying with the stringent regulatory requirements for the handling of nuclear materials and operations in a highly regulated environment create significant and sustainable competitive advantages for us.</w:t>
      </w:r>
    </w:p>
    <w:p>
      <w:pPr>
        <w:spacing w:after="0" w:line="192"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the key raw materials used in those products are first sent to our North Billerica, Massachusetts facility, where we test them prior to the third party manufacturing of the final product.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North Billerica, Massachusetts facility.</w:t>
      </w:r>
    </w:p>
    <w:p>
      <w:pPr>
        <w:spacing w:after="0" w:line="16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have also commenced an extensive, multi-year effort to add specialized manufacturing capabilities at our North Billerica, Massachusetts facility. This project is part of a larger corporate growth strategy to create a competitive advantage in specialized manufacturing. This project should not only deliver efficiencies and supply chain redundancy for our current portfolio but should also afford us increased flexibility as we consider external opportunities. We currently expect to be in a position to use this in-house manufacturing capability by early 2021. However, we can give no assurance that we will be successful in these efforts or that we will be able to successfully manufacture any additional commercial products at our North Billerica, Massachusetts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 Arrangements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have the following technology transfer and manufacturing and supply agreements in place for some of our major products:</w:t>
      </w:r>
    </w:p>
    <w:p>
      <w:pPr>
        <w:spacing w:after="0" w:line="117" w:lineRule="exact"/>
        <w:rPr>
          <w:sz w:val="20"/>
          <w:szCs w:val="20"/>
          <w:color w:val="auto"/>
        </w:rPr>
      </w:pPr>
    </w:p>
    <w:p>
      <w:pPr>
        <w:ind w:left="980" w:hanging="324"/>
        <w:spacing w:after="0" w:line="273"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DEFINITY</w:t>
      </w:r>
      <w:r>
        <w:rPr>
          <w:rFonts w:ascii="Arial" w:cs="Arial" w:eastAsia="Arial" w:hAnsi="Arial"/>
          <w:sz w:val="17"/>
          <w:szCs w:val="17"/>
          <w:color w:val="auto"/>
        </w:rPr>
        <w:t>—In February 2012, we entered into a Manufacturing and Supply Agreement with JHS, for the manufacture of DEFINITY.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JHS manufactured DEFINITY for us for an initial term of five years. In September 2016, we extended the agreement through January 2022. The agreement contains automatic renewals for additional one-year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 Based on our current projections, we believe that we will have sufficient supply of DEFINITY from JHS to meet expected demand.</w:t>
      </w:r>
    </w:p>
    <w:p>
      <w:pPr>
        <w:spacing w:after="0" w:line="70" w:lineRule="exact"/>
        <w:rPr>
          <w:rFonts w:ascii="Arial" w:cs="Arial" w:eastAsia="Arial" w:hAnsi="Arial"/>
          <w:sz w:val="17"/>
          <w:szCs w:val="17"/>
          <w:color w:val="auto"/>
        </w:rPr>
      </w:pPr>
    </w:p>
    <w:p>
      <w:pPr>
        <w:ind w:left="980" w:right="60"/>
        <w:spacing w:after="0" w:line="255" w:lineRule="auto"/>
        <w:rPr>
          <w:rFonts w:ascii="Arial" w:cs="Arial" w:eastAsia="Arial" w:hAnsi="Arial"/>
          <w:sz w:val="17"/>
          <w:szCs w:val="17"/>
          <w:color w:val="auto"/>
        </w:rPr>
      </w:pPr>
      <w:r>
        <w:rPr>
          <w:rFonts w:ascii="Arial" w:cs="Arial" w:eastAsia="Arial" w:hAnsi="Arial"/>
          <w:sz w:val="18"/>
          <w:szCs w:val="18"/>
          <w:color w:val="auto"/>
        </w:rPr>
        <w:t>On May 3, 2016, we entered into a Manufacturing and Supply Agreement with SBL to perform technology transfer and process development services to manufacture and supply a modified formulation of DEFINITY. There are no minimum purchase requirements under this agreement, which has an initial term of five years from the date of first commercial sale and is renewable at our option for an additional five years. This agreement allows for termination upon the occurrence of certain events, including material breach or bankruptcy of either party. We cannot give any assurances as to when those technology transfer activities will be completed and when we will begin to receive supply of a modified formulation of DEFINITY from SBL.</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20" w:hanging="324"/>
        <w:spacing w:after="0" w:line="27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Cardiolite</w:t>
      </w:r>
      <w:r>
        <w:rPr>
          <w:rFonts w:ascii="Arial" w:cs="Arial" w:eastAsia="Arial" w:hAnsi="Arial"/>
          <w:sz w:val="17"/>
          <w:szCs w:val="17"/>
          <w:color w:val="auto"/>
        </w:rPr>
        <w:t>—In May 2012, we entered into a Manufacturing and Supply Agreement with JHS for the manufacture of Cardiolite products.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2016, we completed the technology transfer process and received FDA approval to manufacture Cardiolite at JHS. Under the agreement, JHS has agreed to manufacture products for an initial term of five years from the effective date. On November 9, 2017, we extended the term until December 31, 2020, and the agreement can be further extended for three additional one-year periods thereafter so long as the parties, using good faith, reasonable efforts, agree to new pricing for the upcoming additional term. The agreement allows for termination upon the occurrence of specified events, including material breach or bankruptcy by either party. The agreement requires us to place orders for 100% of our requirements for Cardiolite products with JHS during such term. Based on our current projections, we believe that we will have sufficient supply of Cardiolite products from JHS to meet expected demand.</w:t>
      </w:r>
    </w:p>
    <w:p>
      <w:pPr>
        <w:spacing w:after="0" w:line="70" w:lineRule="exact"/>
        <w:rPr>
          <w:rFonts w:ascii="Arial" w:cs="Arial" w:eastAsia="Arial" w:hAnsi="Arial"/>
          <w:sz w:val="17"/>
          <w:szCs w:val="17"/>
          <w:color w:val="auto"/>
        </w:rPr>
      </w:pPr>
    </w:p>
    <w:p>
      <w:pPr>
        <w:ind w:left="98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—In May 2012, we entered into a Manufacturing and Supply Agreement with JHS for the manufacture of Neurolite, and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2015, the FDA granted approval to manufacture Neurolite at JHS. Under the agreement, JHS agreed to manufacture Neurolite for an initial term of five years from the effective date. On November 9, 2017, we extended the term of the agreement until December 31, 2020, and the agreement can be further extended for three additional one-year periods thereafter so long as the parties, using good faith, reasonable efforts, agree to new pricing for the upcoming additional term. The agreement allows for termination upon the occurrence of specified events, including material breach or bankruptcy by either party. The agreement also requires us to place orders for 100% of our requirements for Neurolite during such term. Based on our current projections, we believe that we will have sufficient supply of Neurolite from JHS to meet expected demand.</w:t>
      </w:r>
    </w:p>
    <w:p>
      <w:pPr>
        <w:spacing w:after="0" w:line="16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Although we are pursuing additional third party manufacturing relationships to establish and secure additional long-term or alternative suppliers as described above, we are uncertain of the timing as to when these arrangements could provide meaningful quantities of our products.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“—Challenges with product quality or product performance, including defects, caused by us or our suppliers could result in a decrease in customers and revenues, unexpected expenses and loss of market share,” and “—Our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Campus Strategy</w:t>
      </w:r>
    </w:p>
    <w:p>
      <w:pPr>
        <w:spacing w:after="0" w:line="11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We continually evaluate our extensive physical assets on our North Billerica, Massachusetts campus to optimize the carrying costs and use of these assets. In February 2018, we sold an approximately six-acre parcel of undeveloped land adjacent to our manufacturing facilities and certain of our administrative offices. Later in 2018, we razed an uneconomical and underutilized building on our North Billerica, Massachusetts campus to achieve operating efficiencies. To house our proposed new, specialized manufacturing capabilities, we are retrofitting a currently underutilized manufacturing and storage building.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the years ended December 31, 2018, 2017 and 2016, we invested $17.1 million, $18.1 million and $12.2 million in research and development (“R&amp;D”), respectively. Our R&amp;D team includes our Medical Affairs and Medical Information functions, which educate physicians on the scientific aspects of our commercial products and the approved indications, labeling and the receipt of reports relating to product quality or adverse events. In addition to the DEFINITY clinical trials in China described above, we now have three active clinical development programs which we are either leading or in which we are collaborating. See Part I, Item 1A. “Risk Factors—The process of developing new drugs and obtaining regulatory approval is complex, time-consuming and costly, and the outcome is not certain.”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DEFINITY - New Clinical Trials for Additional Indication - LVEF</w:t>
      </w:r>
    </w:p>
    <w:p>
      <w:pPr>
        <w:spacing w:after="0" w:line="11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As part of our microbubble franchise strategy, we are currently conducting two well-controlled Phase 3 studies designed to demonstrate improved accuracy of LVEF measurements with DEFINITY-enhanced echocardiography versus unenhanced echocardiography. The truth standard in these Phase 3 studies is cardiac magnetic resonance imaging. The studies will be conducted at 20 U.S. sites and will eventually enroll a total of approximately 300 subjects.</w:t>
      </w:r>
    </w:p>
    <w:p>
      <w:pPr>
        <w:spacing w:after="0" w:line="14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LVEF measures the percentage of blood leaving the left ventricle with each contraction and is an important measurement of heart function. LVEF may decrease if there is weakness in the heart muscle as a result of a heart attack, a genetic predisposition, heart valve or other disease, or long-standing, uncontrolled hypertension. We believe that accurate LVEF measurements are critical to clinical decision-making and patient management. Although unenhanced echocardiography is the most frequently used modality to determine LVEF in clinical practice, it has been hampered by its poor accuracy and reproducibility. We believe that DEFINITY-enhanced echocardiography could produce LVEF measurements that are superior to unenhanced echocardiography, potentially providing a clinician greater confidence in diagnosing and treating patients.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75"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An LVEF indication could also substantially increase the addressable market for contrast-enhanced echocardiography. We believe that DEFINITY, as the market leader, would benefit from the expanded addressable market. However, we can give no assurances that these clinical trials will be successful or that there will be an increase in unit sales of DEFINITY as a result of an LVEF indication.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Flurpiridaz F 18—PET Myocardial Perfusion</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have developed flurpiridaz F 18, an internally discovered small molecule radiolabeled with fluorine-18, as an imaging agent used in PET MPI to assess blood flow to the heart.</w:t>
      </w:r>
    </w:p>
    <w:p>
      <w:pPr>
        <w:spacing w:after="0" w:line="1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Today, most MPI procedures use SPECT technology. Although SPECT imaging used in conjunction with a radiopharmaceutical imaging agent, such as Cardiolite, is most commonly used for MPI studies, PET imaging has gained considerable support in the field of cardiovascular imaging as it offers many advantages to SPECT imaging, including: higher image quality, increased diagnostic certainty, more accurate risk stratification and reduced patient radiation exposure. PET imaging has demonstrated broad utility for diagnosis, prognosis, disease staging and therapeutic response. When used in combination with an appropriate radiopharmaceutical imaging agent, PET imaging can provide important insights into physiologic and metabolic processes in the body and be useful in evaluating a variety of conditions including heart disease, neurological disease and cancer. In addition, PET MPI imaging could be particularly useful in difficult-to-image patients, including women and obese patients. The use of PET technology in MPI tests represents a broad emerging application for a technology more commonly associated with oncology and neurology. We anticipate that the adoption of PET technology in MPI tests will increase significantly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Flurpiridaz F 18 Clinical Overview and Phase 3 Program</w:t>
      </w:r>
    </w:p>
    <w:p>
      <w:pPr>
        <w:spacing w:after="0" w:line="117"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We submitted an Investigational New Drug Application (“IND”) for flurpiridaz F 18 to the FDA in August 2006. Our clinical program to date has consisted of three Phase 1 studies, a Phase 2 clinical trial, conducted from 2007 to 2010, involving 176 subjects who received PET MPI performed with flurpiridaz F 18 and completed the trial, and a Phase 3 clinical trial (“301 Trial”) conducted from 2011 to 2013.</w:t>
      </w:r>
    </w:p>
    <w:p>
      <w:pPr>
        <w:spacing w:after="0" w:line="18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301 Trial was an open-label, multicenter, international study with 755 subjects with known or suspected coronary artery disease (“CAD”) and scheduled for coronary angiography and SPECT imaging who completed the trial and were included in the efficacy analysis. Subjects underwent flurpiridaz F 18 PET MPI and SPECT MPI studies with coronary angiography used as the truth standard for each. The study then compared MPI imaging using flurpiridaz F 18 versus SPECT imaging with primary endpoints of superiority for sensitivity (identifying disease) and non-inferiority for specificity (ruling out disease).</w:t>
      </w:r>
    </w:p>
    <w:p>
      <w:pPr>
        <w:spacing w:after="0" w:line="15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the fourth quarter of 2013, we announced preliminary results from the 301 Trial, and in May 2015, after a re-read of the 301 Trial results, we announced the complete results from the 301 Trial. Flurpiridaz F 18 appeared to be well-tolerated from a safety perspective, and PET MPI with flurpiridaz F 18 consistently showed a balanced performance in sensitivity and specificity, when compared to coronary angiography, while SPECT imaging results were skewed with low sensitivity and high specificity when compared to coronary angiography. When results were compared to one another, flurpiridaz F 18 imaging substantially outperformed SPECT imaging in sensitivity but did not meet the non-inferiority endpoint in specificity, implying a substantial and unexpected under-diagnosis of CAD with SPECT imaging in the trial.</w:t>
      </w:r>
    </w:p>
    <w:p>
      <w:pPr>
        <w:spacing w:after="0" w:line="178"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In subgroup analyses, the risk-benefit profile of flurpiridaz F 18 appeared to be favorable in women, obese patients, patients with multi-vessel disease and diabetics. A significantly higher percentage of images were rated as either excellent or good with flurpiridaz F 18 imaging as compared to SPECT imaging, leading to a greater diagnostic certainty of interpretation. Importantly, radiation exposure associated with flurpiridaz F 18 imaging was reduced to approximately 50% of SPECT imaging. In addition, no drug-related serious adverse events were observed.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 Healthcare Collaboration</w:t>
      </w:r>
    </w:p>
    <w:p>
      <w:pPr>
        <w:spacing w:after="0" w:line="11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In April 2017, we announced that we entered into a definitive, exclusive Collaboration and License Agreement (the “License Agreement”) with GE Healthcare for the continued Phase 3 development and worldwide commercialization of flurpiridaz F 18. Under the License Agreement, GE Healthcare will complete the worldwide development of flurpiridaz F 18, pursue worldwide regulatory approvals and, if successful, lead a worldwide launch and commercialization of the agent, with us collaborating on both development and commercialization through a joint steering committee.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7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second Phase 3 clinical trial is underway, as a prospective, open-label, international, multi-center trial of flurpiridaz F 18 for PET MPI in patients referred for invasive coronary angiography because of suspected CAD. The trial will enroll up to 650 participants, with a target completion date in the second half of 2020, although that timing cannot be assured. The primary outcome measure for the trial is the diagnostic efficacy of flurpiridaz F 18 PET MPI in the detection of significant CAD, with secondary outcome measures of diagnostic efficacy of flurpiridaz F 18 PET MPI compared with SPECT MPI in the detection of CAD in all patients. Secondary analysis will be performed in patients of special clinical interest, such as female, obese and diabetic patients, where current SPECT MPI technologies have shown certain limitations in the diagnostic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LMI 1195 (flubrobenguan F18)-Cardiac Neuronal Imaging Agent</w:t>
      </w:r>
    </w:p>
    <w:p>
      <w:pPr>
        <w:spacing w:after="0" w:line="131" w:lineRule="exact"/>
        <w:rPr>
          <w:sz w:val="20"/>
          <w:szCs w:val="20"/>
          <w:color w:val="auto"/>
        </w:rPr>
      </w:pPr>
    </w:p>
    <w:p>
      <w:pPr>
        <w:ind w:right="180" w:firstLine="405"/>
        <w:spacing w:after="0" w:line="309" w:lineRule="auto"/>
        <w:rPr>
          <w:sz w:val="20"/>
          <w:szCs w:val="20"/>
          <w:color w:val="auto"/>
        </w:rPr>
      </w:pPr>
      <w:r>
        <w:rPr>
          <w:rFonts w:ascii="Arial" w:cs="Arial" w:eastAsia="Arial" w:hAnsi="Arial"/>
          <w:sz w:val="16"/>
          <w:szCs w:val="16"/>
          <w:color w:val="auto"/>
        </w:rPr>
        <w:t>We have developed LMI 1195, an internally discovered small molecule that we believe may be a first-in-class fluorine-18-based PET radiopharmaceutical imaging agent that could be a useful tool in the diagnostic assessment of ischemic heart failure patients at risk of sudden cardiac death. Heart failure is associated with changes in the cardiac sympathetic nerve function leading to an increased risk of sudden cardiac death. To prevent fatal arrhythmic events, implantable cardioverter defibrillators (ICDs) are implanted in heart failure patients meeting specific criteria. However, currently available tools to identify the most appropriate population for ICD implantation have limited predictive value, and only a small percentage of patients currently benefits from the procedure. We believe that a test that would identify a subset of patients at very low risk of sudden cardiac death would lead to improved targeted utilization of the devices and reduce the physical and financial consequences of inappropriate implantation.</w:t>
      </w:r>
    </w:p>
    <w:p>
      <w:pPr>
        <w:spacing w:after="0" w:line="15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cardiac neuronal norepinephrine transporter, or NET, has been shown to be a useful target for the non-invasive monitoring of the cardiac sympathetic status and the assessment of the likelihood of a heart failure patient to develop fatal arrhythmias. Nuclear cardiac imaging provides a unique tool to measure the molecular changes in the heart, including cardiac function of NET, in a non-invasive and repeatable manner. We developed LMI 1195 to target the NET and are encouraged by initial results.</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Collaborations with academic centers in the U.S., Canada and Europe have yielded clinical data that have been deemed adequate by the FDA to support advancing into a single Phase 3 clinical trial for an NDA submission. We have also made substantial progress in our discussions with authorities on the study design as well as the future reimbursement environment. This program would target patients with ischemic heart failure that are scheduled to undergo ICD implantation because of their risk of sudden cardiac death and would be designed to demonstrate that LMI 1195 improves the risk stratification of these patients.</w:t>
      </w:r>
    </w:p>
    <w:p>
      <w:pPr>
        <w:spacing w:after="0" w:line="188"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Ongoing academic collaborations focusing on establishing the potential use of LMI 1195 for the diagnosis and treatment follow-up of neuroendocrine tumors, such as pheochromocytomas and paragangliomas, have also produced initial proof of concept data that is being pursued further for possible clinical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Activities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To further expand and diversify our business, we are pursuing external opportunities that fit our growth and profitability objectives. Our current focus is on the broader imaging agent space and therapeutic adjacencies.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Patents, trademarks and other intellectual property rights, both in the U.S. and foreign countries, are very important to our business. We also rely on trade secrets, manufacturing know-how, technological innovations, licensing agreements and confidentiality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and protect our intellectual property rights may be limited in certain countries outside the U.S., which could make it easier for competitors to 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 See Part I, Item 1A. “Risk Factors—If we are unable to protect our intellectual property, our competitors could develop and market products with features similar to our products, and demand for our products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Service Marks and Trade Names</w:t>
      </w:r>
    </w:p>
    <w:p>
      <w:pPr>
        <w:spacing w:after="0" w:line="117" w:lineRule="exact"/>
        <w:rPr>
          <w:sz w:val="20"/>
          <w:szCs w:val="20"/>
          <w:color w:val="auto"/>
        </w:rPr>
      </w:pPr>
    </w:p>
    <w:p>
      <w:pPr>
        <w:ind w:right="760" w:firstLine="405"/>
        <w:spacing w:after="0" w:line="264" w:lineRule="auto"/>
        <w:rPr>
          <w:sz w:val="20"/>
          <w:szCs w:val="20"/>
          <w:color w:val="auto"/>
        </w:rPr>
      </w:pPr>
      <w:r>
        <w:rPr>
          <w:rFonts w:ascii="Arial" w:cs="Arial" w:eastAsia="Arial" w:hAnsi="Arial"/>
          <w:sz w:val="18"/>
          <w:szCs w:val="18"/>
          <w:color w:val="auto"/>
        </w:rPr>
        <w:t>We own various trademarks, service marks and trade names, including, among others, DEFINITY, TechneLite, Cardiolite, Neurolite, Vialmix, Quadramet, Luminity and Lantheus Medical Imaging. We have registered these trademarks, as well as others, in the U.S. and/or numerous foreign jurisdictions.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75"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U.S., we file patent applications in numerous foreign countries in order to further protect the inventions that we consider important to the development of our international business. We also rely upon trade secrets and contracts to protect our proprietary information. As of December 31, 2018, our patent portfolio included a total of 42 issued U.S. patents, 261 issued foreign patents, 23 pending patent applications in the U.S. and 175 pending foreign applications. These patents and patent applications include claims covering the composition of matter and methods of use for all of our preclinical and clinical stage agents.</w:t>
      </w:r>
    </w:p>
    <w:p>
      <w:pPr>
        <w:spacing w:after="0" w:line="16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have patent protection on certain of our commercial products and on all of our clinical development candidates. We typically seek patent protection in major markets around the world, including, among others, the U.S., Canada, Western Europe, Asia, and Latin America.</w:t>
      </w:r>
    </w:p>
    <w:p>
      <w:pPr>
        <w:spacing w:after="0" w:line="62"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i w:val="1"/>
          <w:iCs w:val="1"/>
          <w:color w:val="auto"/>
        </w:rPr>
        <w:t xml:space="preserve">DEFINITY </w:t>
      </w:r>
      <w:r>
        <w:rPr>
          <w:rFonts w:ascii="Arial" w:cs="Arial" w:eastAsia="Arial" w:hAnsi="Arial"/>
          <w:sz w:val="18"/>
          <w:szCs w:val="18"/>
          <w:color w:val="auto"/>
        </w:rPr>
        <w:t>- We continue to actively pursue additional patents in connection with DEFINITY, both in the U.S. and internationally. In the U.S.,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an Orange Book-listed method of use patent expiring in March 2037. This patent augments an Orange Book-listed composition of matter patent expiring in June 2019, and additional manufacturing patents that are not Orange Book-listed expiring in 2021, 2023 and 2037. Outside of the U.S., our DEFINITY patent protection or regulatory exclusivity currently expires in 2019. We were also recently granted a composition of matter patent on the modified formulation of DEFINITY which runs through December 2035. If the modified formulation is approved by the FDA, then this patent would be eligible to be listed in the Orange Book.</w:t>
      </w:r>
    </w:p>
    <w:p>
      <w:pPr>
        <w:spacing w:after="0" w:line="85" w:lineRule="exact"/>
        <w:rPr>
          <w:sz w:val="20"/>
          <w:szCs w:val="20"/>
          <w:color w:val="auto"/>
        </w:rPr>
      </w:pPr>
    </w:p>
    <w:p>
      <w:pPr>
        <w:ind w:left="420" w:right="100"/>
        <w:spacing w:after="0" w:line="288" w:lineRule="auto"/>
        <w:rPr>
          <w:sz w:val="20"/>
          <w:szCs w:val="20"/>
          <w:color w:val="auto"/>
        </w:rPr>
      </w:pPr>
      <w:r>
        <w:rPr>
          <w:rFonts w:ascii="Arial" w:cs="Arial" w:eastAsia="Arial" w:hAnsi="Arial"/>
          <w:sz w:val="16"/>
          <w:szCs w:val="16"/>
          <w:color w:val="auto"/>
        </w:rPr>
        <w:t>Even though our longest duration Orange Book-listed patent expires in March 2037, because our Orange Book-listed composition of matter patent expires in June 2019, we may face generic DEFINITY challengers in the near to intermediate term. Under the Hatch-Waxman Act, the FDA can approve ANDAs for generic versions of drugs if the ANDA applicant demonstrates, among other things, that (i) its generic candidate is the same as the innovator product by establishing bioequivalence and providing relevant chemistry, manufacturing and product data, and (ii) the marketing of that generic candidate does not infringe an Orange Book-listed patent. With respect to any Orange Book-listed patent covering the innovator product, the ANDA applicant must give Notice to the innovator that the ANDA applicant certifies that its generic candidate will not infringe the innovator’s Orange Book-listed patent or that the Orange Book-listed patent is invalid. The innovator can then challenge the ANDA applicant in court within 45 days of receiving such Notice, and FDA approval to commercialize the generic candidate will be stayed (that is, delayed) for up to 30 months while the patent dispute between the innovator and the ANDA applicant is resolved in court. The 30 month stay could potentially expire sooner if the courts determine that no infringement occurs or that the challenged Orange Book-listed patent is invalid or the parties otherwise settle their dispute.</w:t>
      </w:r>
    </w:p>
    <w:p>
      <w:pPr>
        <w:spacing w:after="0" w:line="61" w:lineRule="exact"/>
        <w:rPr>
          <w:sz w:val="20"/>
          <w:szCs w:val="20"/>
          <w:color w:val="auto"/>
        </w:rPr>
      </w:pPr>
    </w:p>
    <w:p>
      <w:pPr>
        <w:ind w:left="420"/>
        <w:spacing w:after="0" w:line="291" w:lineRule="auto"/>
        <w:rPr>
          <w:sz w:val="20"/>
          <w:szCs w:val="20"/>
          <w:color w:val="auto"/>
        </w:rPr>
      </w:pPr>
      <w:r>
        <w:rPr>
          <w:rFonts w:ascii="Arial" w:cs="Arial" w:eastAsia="Arial" w:hAnsi="Arial"/>
          <w:sz w:val="16"/>
          <w:szCs w:val="16"/>
          <w:color w:val="auto"/>
        </w:rPr>
        <w:t>As of the date of filing of this Annual Report on Form 10-K, we have not received any Notice from an ANDA applicant. If we were to (i) receive any such Notice in the future, (ii) bring a patent infringement suit against the ANDA applicant within 45 days of receiving such Notice, and (iii) successfully obtain the full 30 month stay, then the ANDA applicant would be precluded from commercializing a generic candidate prior to the expiration of such 30 month stay period and potentially thereafter depending on how a patent dispute is resolved. Solely by way of example and not based on any knowledge we currently have, if we received a Notice from an ANDA applicant in March 2019 and the full 30 month stay was obtained, then the ANDA applicant would be precluded from commercialization until at least September 2021. If we received a Notice some number of months in the future and the full 30 month stay was obtained, the commercialization date would roll forward in the future by the same calculation.</w:t>
      </w:r>
    </w:p>
    <w:p>
      <w:pPr>
        <w:spacing w:after="0" w:line="59" w:lineRule="exact"/>
        <w:rPr>
          <w:sz w:val="20"/>
          <w:szCs w:val="20"/>
          <w:color w:val="auto"/>
        </w:rPr>
      </w:pPr>
    </w:p>
    <w:p>
      <w:pPr>
        <w:ind w:left="420" w:right="140"/>
        <w:spacing w:after="0" w:line="286" w:lineRule="auto"/>
        <w:rPr>
          <w:sz w:val="20"/>
          <w:szCs w:val="20"/>
          <w:color w:val="auto"/>
        </w:rPr>
      </w:pPr>
      <w:r>
        <w:rPr>
          <w:rFonts w:ascii="Arial" w:cs="Arial" w:eastAsia="Arial" w:hAnsi="Arial"/>
          <w:sz w:val="17"/>
          <w:szCs w:val="17"/>
          <w:i w:val="1"/>
          <w:iCs w:val="1"/>
          <w:color w:val="auto"/>
        </w:rPr>
        <w:t xml:space="preserve">TechneLite - </w:t>
      </w:r>
      <w:r>
        <w:rPr>
          <w:rFonts w:ascii="Arial" w:cs="Arial" w:eastAsia="Arial" w:hAnsi="Arial"/>
          <w:sz w:val="17"/>
          <w:szCs w:val="17"/>
          <w:color w:val="auto"/>
        </w:rPr>
        <w:t>We currently have patent protection in the U.S. and various foreign countries on certain component technology expiring in 2029.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given the significant know-how and trade secrets associated with the methods of manufacturing and assembling the TechneLite generator, we believe we have a substantial amount of valuable and defensible proprietary intellectual property associated with the product.</w:t>
      </w:r>
    </w:p>
    <w:p>
      <w:pPr>
        <w:spacing w:after="0" w:line="57" w:lineRule="exact"/>
        <w:rPr>
          <w:sz w:val="20"/>
          <w:szCs w:val="20"/>
          <w:color w:val="auto"/>
        </w:rPr>
      </w:pPr>
    </w:p>
    <w:p>
      <w:pPr>
        <w:ind w:left="420" w:right="160"/>
        <w:spacing w:after="0" w:line="308" w:lineRule="auto"/>
        <w:rPr>
          <w:sz w:val="20"/>
          <w:szCs w:val="20"/>
          <w:color w:val="auto"/>
        </w:rPr>
      </w:pPr>
      <w:r>
        <w:rPr>
          <w:rFonts w:ascii="Arial" w:cs="Arial" w:eastAsia="Arial" w:hAnsi="Arial"/>
          <w:sz w:val="17"/>
          <w:szCs w:val="17"/>
          <w:i w:val="1"/>
          <w:iCs w:val="1"/>
          <w:color w:val="auto"/>
        </w:rPr>
        <w:t xml:space="preserve">Other Nuclear Products </w:t>
      </w:r>
      <w:r>
        <w:rPr>
          <w:rFonts w:ascii="Arial" w:cs="Arial" w:eastAsia="Arial" w:hAnsi="Arial"/>
          <w:sz w:val="17"/>
          <w:szCs w:val="17"/>
          <w:color w:val="auto"/>
        </w:rPr>
        <w:t>- Neither Cardiolite nor Neurolite is covered any longer by patent protection in either the U.S. or the rest of the world. Xenon,</w:t>
      </w:r>
      <w:r>
        <w:rPr>
          <w:rFonts w:ascii="Arial" w:cs="Arial" w:eastAsia="Arial" w:hAnsi="Arial"/>
          <w:sz w:val="17"/>
          <w:szCs w:val="17"/>
          <w:i w:val="1"/>
          <w:iCs w:val="1"/>
          <w:color w:val="auto"/>
        </w:rPr>
        <w:t xml:space="preserve"> </w:t>
      </w:r>
      <w:r>
        <w:rPr>
          <w:rFonts w:ascii="Arial" w:cs="Arial" w:eastAsia="Arial" w:hAnsi="Arial"/>
          <w:sz w:val="17"/>
          <w:szCs w:val="17"/>
          <w:color w:val="auto"/>
        </w:rPr>
        <w:t>Thallium and Gallium have no patent protection; however, we are pursuing patent protection for an improved container for Xenon.</w:t>
      </w:r>
    </w:p>
    <w:p>
      <w:pPr>
        <w:spacing w:after="0" w:line="38" w:lineRule="exact"/>
        <w:rPr>
          <w:sz w:val="20"/>
          <w:szCs w:val="20"/>
          <w:color w:val="auto"/>
        </w:rPr>
      </w:pPr>
    </w:p>
    <w:p>
      <w:pPr>
        <w:ind w:left="420" w:right="60"/>
        <w:spacing w:after="0" w:line="272" w:lineRule="auto"/>
        <w:rPr>
          <w:sz w:val="20"/>
          <w:szCs w:val="20"/>
          <w:color w:val="auto"/>
        </w:rPr>
      </w:pPr>
      <w:r>
        <w:rPr>
          <w:rFonts w:ascii="Arial" w:cs="Arial" w:eastAsia="Arial" w:hAnsi="Arial"/>
          <w:sz w:val="17"/>
          <w:szCs w:val="17"/>
          <w:i w:val="1"/>
          <w:iCs w:val="1"/>
          <w:color w:val="auto"/>
        </w:rPr>
        <w:t xml:space="preserve">Clinical Development Candidates </w:t>
      </w:r>
      <w:r>
        <w:rPr>
          <w:rFonts w:ascii="Arial" w:cs="Arial" w:eastAsia="Arial" w:hAnsi="Arial"/>
          <w:sz w:val="17"/>
          <w:szCs w:val="17"/>
          <w:color w:val="auto"/>
        </w:rPr>
        <w:t>- We have patents and patent applications in numerous jurisdictions covering composition, use, formulation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flurpiridaz F 18, including in the U.S. a composition patent expiring in 2026, a method of use patent expiring in 2028 and a method of manufacturing patent expiring in 2031, in the absence of any regulatory extension, and various patent applications, one of which, if granted, will expire in 2033 in the absence of any patent term adjustment or regulatory extensions. We also have patents and patent applications in numerous jurisdictions covering composition, use, and manufacture of LMI 1195, including in the U.S. a composition patent expiring in 2030, a method of use patent expiring in 2027, and manufacturing-related patents expiring in 2031 and 2032, in the absence of any regulatory extension, and patent applications which, if granted, will expire in 2027 and in 2031 in the absence of any patent term adjustment or regulatory extensions.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7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 These confidentiality agreements may not prevent unauthorized disclosure of trade secrets and other proprietary information, and we cannot provide assurances that an employee or an outside party will not make an unauthorized disclosure of our trade secrets, other technical know-how or proprietary information. We may not have adequate monitoring abilities to discover, or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7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addition, we license a limited number of third 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These cross-licenses give us freedom to operate in connection with contrast enhanced ultrasound imaging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Laws</w:t>
      </w:r>
    </w:p>
    <w:p>
      <w:pPr>
        <w:spacing w:after="0" w:line="11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The development, manufacture and commercialization of our agents and products are subject to comprehensive governmental regulation both within and outside the U.S.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activities related to the development, manufacture, packaging or repackaging of our pharmaceutical and medical device products subject us to a wide variety of laws and regulations. We are required to register for permits and/or licenses with, seek approvals from and comply with operating and security standards of the FDA, the U.S. Nuclear Regulatory Commission (“NRC”), the U.S. Department of Health and Human Services (“HHS”), Health Canada, the European Medicines Agency (“EMA”), the U.K. Medicines and Healthcare Products Regulatory Agency (“MHRA”), the CFDA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8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U.S. Prior to marketing a pharmaceutical product, we must first receive FDA approval. In the U.S., the FDA regulates drugs under the Federal Food, Drug, and Cosmetic Act (“FDCA”) and implementing regulations. The process of obtaining regulatory approvals and compliance with appropriate federal, state, local, and foreign statutes and regulations requires the expenditure of substantial time and financial resources. Currently, the process required by the FDA before a drug product may be marketed in the U.S. generally involves the following:</w:t>
      </w:r>
    </w:p>
    <w:p>
      <w:pPr>
        <w:spacing w:after="0" w:line="8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according to Good Laboratory Practices regulations;</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 including review and approval by any individual review board (“IRB”), serving any of the institutions participating in the clinical studies;</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Good Clinical Practices and other requirements, to establish the safety and efficacy of the proposed drug product for its intended use;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for a new drug;</w:t>
      </w:r>
    </w:p>
    <w:p>
      <w:pPr>
        <w:spacing w:after="0" w:line="117"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product is produced to assess compliance with current Good Manufacturing Practices (“cGMPs”) regulations;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75"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Once the IND becomes effective, including review and approval by any IRB, serving any of the institutions participating in the clinical trial, the clinical trial program may begin. Each new clinical trial protocol must be submitted to the FDA before the study may begin. Human clinical studies are typically conducted in three sequential phases that may overlap or be combined:</w:t>
      </w:r>
    </w:p>
    <w:p>
      <w:pPr>
        <w:spacing w:after="0" w:line="73" w:lineRule="exact"/>
        <w:rPr>
          <w:sz w:val="20"/>
          <w:szCs w:val="20"/>
          <w:color w:val="auto"/>
        </w:rPr>
      </w:pPr>
    </w:p>
    <w:p>
      <w:pPr>
        <w:ind w:left="980" w:right="14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agent is initially introduced into healthy human subjects and tested for safety, dosage tolerance, absorption, metabolism,</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and 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57" w:lineRule="exact"/>
        <w:rPr>
          <w:rFonts w:ascii="Arial" w:cs="Arial" w:eastAsia="Arial" w:hAnsi="Arial"/>
          <w:sz w:val="17"/>
          <w:szCs w:val="17"/>
          <w:color w:val="auto"/>
        </w:rPr>
      </w:pPr>
    </w:p>
    <w:p>
      <w:pPr>
        <w:ind w:left="980" w:right="56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Involves studies in a limited patient population to identify possible adverse effects and safety risks, to evaluate preliminarily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agent for specific targeted diseases and to determine dosage tolerance and optimal dosage and schedule.</w:t>
      </w:r>
    </w:p>
    <w:p>
      <w:pPr>
        <w:spacing w:after="0" w:line="15" w:lineRule="exact"/>
        <w:rPr>
          <w:rFonts w:ascii="Arial" w:cs="Arial" w:eastAsia="Arial" w:hAnsi="Arial"/>
          <w:sz w:val="16"/>
          <w:szCs w:val="16"/>
          <w:color w:val="auto"/>
        </w:rPr>
      </w:pPr>
    </w:p>
    <w:p>
      <w:pPr>
        <w:ind w:left="980" w:right="3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studies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studies are intended to collect sufficient safety and efficacy data to support the NDA for FDA approval.</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Clinical trial sponsors may request an SPA from the FDA. The FDA’s SPA process creates a written agreement between the sponsoring company and the FDA regarding the clinical trial design and other clinical trial issues that can be used to support approval of an agent. The SPA is intended to provide assurance that, if the agreed-upon clinical trial protocols are followed and the trial endpoints are achieved, then the data may serve as the primary basis for an efficacy claim in support of an NDA. However, the SPA agreement is not a guarantee of an approval of an agent or any permissible claims about the agent. In particular, the SPA is not binding on the FDA if public health concerns become evident that are unrecognized at the time that the SPA agreement is entered into, other new scientific concerns regarding product safety or efficacy arise, or if the clinical trial sponsor fails to comply with the agreed upon clinical trial protocols.</w:t>
      </w:r>
    </w:p>
    <w:p>
      <w:pPr>
        <w:spacing w:after="0" w:line="1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IRB serving any of the institutions participating in the clinical trial can suspend or terminate approval of a clinical study at a relevant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18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pacing w:after="0" w:line="15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A waiver of that fee may be obtained under certain limited circumstances. The approval process is lengthy and difficult and the FDA may refuse to approve an NDA if the applicable regulatory criteria are not satisfied. The FDA has substantial discretion in the product approval process, and it is impossible to predict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are submitted, the FDA may ultimately decide that the NDA does not satisfy the criteria for approval. Data obtained from clinical studies are not always conclusive, and the FDA may interpret data differently than we interpret the same data.</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a Risk Evaluation and Mitigation Strategy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16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drug products that are placed on the market. Drugs may be promoted only for the approved indications and consistent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2"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including radiopharmacies, hospitals and academic medical centers, are required to submit either an NDA or ANDA in order to produce PET drugs for clinical use, or produce the drugs under an IND.</w:t>
      </w:r>
    </w:p>
    <w:p>
      <w:pPr>
        <w:spacing w:after="0" w:line="18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two medical devices, both of which are manufactured by third parties that hold the product clearances, comprise only a small portion of our revenues.</w:t>
      </w:r>
    </w:p>
    <w:p>
      <w:pPr>
        <w:spacing w:after="0" w:line="19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FDA may withdraw marketing authorization for a pharmaceutical or medical device product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civil monetary penalties, warning letters, holds on clinical studies, product recalls or seizures, product detention or refusal to permit the import or export of pharmaceuticals or medical device products, refusal to approve pending applications or supplements, restrictions on marketing or manufacturing, injunctions, or civil or criminal penalties.</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Because our operations include the manufacture and distribution of medical radioisotopes and other medical products, we are subject to regulation by the NRC and the departments of health of each state in which we operate and the applicable state boards of pharmacy. In addition, the FDA is also involved in the regulation of cyclotron facilities where PET products are produced in compliance with cGMP requirements and U.S. Pharmacopeia requirements for PET drug compounding.</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 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7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11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Hatch-Waxman Act added two pathways for FDA drug approval. First, the Hatch-Waxman Act permits the FDA to approve ANDAs for generic versions of drugs if the ANDA applicant demonstrates, among other things, that its product is bioequivalent to the innovator product and provides relevant chemistry, manufacturing and product data. See “Item 1. Business - Patents.” Second, the Hatch-Waxman Act created what is known as a Section 505(b)(2) NDA, which requires the same information as a full NDA (known as a Section 505(b)(1) NDA), including full reports of clinical and preclinical studies but allows some of the information from the reports required for marketing approval to come from studies which the applicant does not own or have a legal right of reference.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8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17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the same active moiety, then the Hatch-Waxman Act prohibits the submission or approval of an ANDA or a Section 505(b)(2) NDA for a period of five years from the date of approval of the NDA, except that the FDA may accept an application for review after four years under certain circumstances. The Hatch-Waxman Act will not prevent the filing or approval of a full NDA, as opposed to an ANDA or Section 505(b)(2) NDA, for any drug, but the competitor would be required to conduct its own clinical trials, and any use of the drug for which marketing approval is sought could not violate another NDA holder’s patent claims. The Hatch-Waxman Act provides for a three-year period of exclusivity for an NDA for a new drug containing an active moiety that was previously approved by the FDA, but also includes new clinical data (other than bioavailability and bioequivalence studies) to support an innovation over the previously approved drug and those studies were conducted or sponsored by the applicant and were essential to approval of the application. This three-year exclusivity period does not prohibit the FDA from accepting an application from a third party for a drug with that same innovation, but it does prohibit the FDA from approving that application for the three-year period. The three-year exclusivity does not prohibit the FDA, with limited exceptions, from approving generic drugs containing the same active ingredient but without the new innovation.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and Other Laws Affecting Payment</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operate in a highly-regulated industry. The U.S. and state governments continue to propose and pass legislation that may affect the availability and cost of healthcare. For example, the Patient Protection and Affordable Care Act, as amended by the Health Care and Education Reconciliation Act, or collectively, the Healthcare Reform Act, substantially changes the way in which healthcare is financed by both governmental and private insurers and has a significant impact on the pharmaceutical industry. The Healthcare Reform Act contains a number of provisions that affect coverage, reimbursement and/or delivery of drug products and the medical imaging procedures in which our drug products are used. Key provisions that currently affect our business include the following:</w:t>
      </w:r>
    </w:p>
    <w:p>
      <w:pPr>
        <w:spacing w:after="0" w:line="85" w:lineRule="exact"/>
        <w:rPr>
          <w:sz w:val="20"/>
          <w:szCs w:val="20"/>
          <w:color w:val="auto"/>
        </w:rPr>
      </w:pPr>
    </w:p>
    <w:p>
      <w:pPr>
        <w:jc w:val="both"/>
        <w:ind w:left="980" w:right="36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presumed utilization rate for imaging equipment costing $1 million or more in the physician office and free-standing imaging facility setting which reduces the Medicare per procedure medical imaging reimbursement; which rate was further increased by subsequent legislation effective January 1, 2014;</w:t>
      </w:r>
    </w:p>
    <w:p>
      <w:pPr>
        <w:spacing w:after="0" w:line="73"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drug rebates paid to state Medicaid programs under the Medicaid Drug Rebate Program for brand name prescription drugs and extending those rebates to Medicaid managed care organizations;</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imposing a non-deductible annual fee on pharmaceutical manufacturers or importers who sell brand name prescription drugs to specified federal government programs;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3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imposing an excise tax on the sale of taxable medical devices, to be paid by the entity that manufactures or imports the device: (which tax applied to applicable sales made from January 1, 2013 through December 31, 2015, but is currently suspended for 2016 through 2019); and</w:t>
      </w:r>
    </w:p>
    <w:p>
      <w:pPr>
        <w:spacing w:after="0" w:line="15" w:lineRule="exact"/>
        <w:rPr>
          <w:rFonts w:ascii="Arial" w:cs="Arial" w:eastAsia="Arial" w:hAnsi="Arial"/>
          <w:sz w:val="16"/>
          <w:szCs w:val="16"/>
          <w:color w:val="auto"/>
        </w:rPr>
      </w:pPr>
    </w:p>
    <w:p>
      <w:pPr>
        <w:ind w:left="980" w:right="6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amending the federal self-referral laws to require referring physicians ordering certain diagnostic imaging services to inform patients under certain circumstances that the patients may obtain the services from other local and unaffiliated suppliers (which may affect the setting in which a patient obtains services).</w:t>
      </w:r>
    </w:p>
    <w:p>
      <w:pPr>
        <w:spacing w:after="0" w:line="18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Healthcare Reform Act also amended the federal self-referral laws, requiring referring physicians to inform patients under certain circumstances that the patients may obtain services, including MRI, computed tomography (“CT”), PET and certain other diagnostic imaging services, from a provider other than that physician,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new requirements could have the effect of shifting where certain diagnostic medical imaging procedures are performed.</w:t>
      </w:r>
    </w:p>
    <w:p>
      <w:pPr>
        <w:spacing w:after="0" w:line="15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Healthcare Reform Act has been subject to political and judicial challenges. For example, tax reform legislation was enacted at the end of 2017 that effectively eliminates the “individual mandate” to maintain health insurance coverage by eliminating the tax penalty for individuals who do not maintain sufficient health insurance coverage beginning in 2019. In a May 2018 report, the Congressional Budget Office estimated that, compared to 2018, the number of uninsured will increase by 3 million in 2019 and 6 million in 2028, in part due to the elimination of the “individual mandate”. In December 2018, a federal district court judge, in a challenge brought by a number of state attorneys general, found the Healthcare Reform Act unconstitutional in its entirety because once Congress repealed the “individual mandate” provision, there was no longer a basis to rely on Congressional taxing authority to support enactment of the law. Pending appeals, which could take some time, the Healthcare Reform Act is still operational in all respects.</w:t>
      </w:r>
    </w:p>
    <w:p>
      <w:pPr>
        <w:spacing w:after="0" w:line="16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Recently, there has been considerable public and government scrutiny of pharmaceutical pricing and proposals to address the perceived high cost of pharmaceuticals. For example, in May 2018, President Trump and the Secretary of the Department of Health and Human Services released a “blueprint” to lower prescription drug prices and out-of-pocket costs. Certain proposals in the blueprint, and related drug pricing measures proposed since the blueprint, could cause significant operational and reimbursement changes for the pharmaceutical industry. As another example, in October 2018, CMS solicited public comments on potential changes to payment for certain Medicare Part B drugs, including reducing the Medicare payment amount for selected Medicare Part B drugs to more closely align with international drug prices. Efforts by government officials or legislators to implement measures to regulate prices or payment for pharmaceutical products could limit our flexibility in establishing prices for our products or otherwise adversely affect our business if implemented. Changes could occur at the federal level or state level and may be adopted by statute, rule, or sub-regulatory policies. Recent state legislative efforts seek to address drug costs and generally have focused on increasing transparency around drug costs or limiting drug prices. Some of those efforts have been subject to legal challenge.</w:t>
      </w:r>
    </w:p>
    <w:p>
      <w:pPr>
        <w:spacing w:after="0" w:line="178"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General legislative cost control measures may also affect reimbursement for our products or services provided with our products. The Budget Control Act, as amended by the Bipartisan Budget Act of 2018, resulted in the imposition of 2% reductions in Medicare (but not Medicaid) payments to providers beginning in 2013 and will remain in effect through 2027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business results of operations, financial condition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including anti-kickback and false claims laws. Violations of fraud and abuse laws may be punishable by criminal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If we were subject to allegations concerning, or were convicted of violating, these laws, our business could be harmed.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$100,000 per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169"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As discussed, a claim arising from a violation of the Federal Anti-Kickback Statute constitutes a false or fraudulent claim for purposes of the FCA. False or fraudulent claims for purposes of the FCA carry fines and civil penalties for violations ranging from $11,181 to $22,363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w:t>
      </w:r>
    </w:p>
    <w:p>
      <w:pPr>
        <w:spacing w:after="0" w:line="17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The Healthcare Reform Act requires manufacturers to submit information to the FDA on the identity and quantity of drug samples requested and distributed by a manufacturer during each year. Many of these laws and regulations contain ambiguous requirements or require administrative guidance for implementation. Given the lack of clarity in laws and their implementation, our activities could be subject to the penalty provisions of the pertinent federal and state laws and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Our operations may be affected by the Health Insurance Portability and Accountability Act of 1996 (“HIPAA”) as amended by the Health Information Technology for Economic and Clinical Health Act and its implementing regulations (“HITECH”) which impose obligations on certain “covered entities” (healthcare providers, health plans and healthcare clearinghouses) and certain of their “business associate” contractors with respect to safeguarding the privacy, security and transmission of protected health information. Although we believe that we are neither a “covered entity” nor a “business associate” under the legislation, a business associate relationship may be imputed from facts and circumstances even in the absence of an actual business associate agreement. In addition, HIPAA and HITECH may affect our interactions with customers who are covered entities or their business associates.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and Competition Laws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federal government and most states have enacted antitrust laws that prohibit specific types of anti-competitive conduct, including price fixing, wage fixing, concerted refusals to deal, price discrimination and tying arrangements, as well as monopolization and acquisitions of competitors that have, or may have, a substantial adverse effect on competition. Violations of federal or state antitrust laws can result in various sanctions, including criminal and civil penalties. We believe we are in compliance with such federal and state laws, but courts or regulatory authorities may reach a determination in the future that could adversely affect our business, results of operations, financial condition and cash flows. In addition, we are subject to similar antitrust and anti-competition laws in foreign countries. We believe we are in compliance with such laws, however, any violation could create a substantial liability for us and also cause a loss of reputation in both foreign and domestic markets.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75"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8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Those laws also include the U.K. Bribery Act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8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may be subjected to these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 Laws</w:t>
      </w:r>
    </w:p>
    <w:p>
      <w:pPr>
        <w:spacing w:after="0" w:line="117"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U.S. and abroad, relating to safe working conditions, laboratory and manufacturing practices and the use, transportation and disposal of hazardous or potentially hazardous substances.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are subject to various federal, state and local laws and regulations relating to the protection of the environment, human health and safety in the U.S.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If we violate these laws and regulations, we could be fined, criminally charged or otherwise sanctioned by regulators. We believe that our operations currently comply in all material respects with applicable environmental laws and regulations. See Part I, Item 1A. “Risk Factors—We use hazardous materials in our business and must comply with environmental laws and regulations, which can be expensive.”</w:t>
      </w:r>
    </w:p>
    <w:p>
      <w:pPr>
        <w:spacing w:after="0" w:line="178" w:lineRule="exact"/>
        <w:rPr>
          <w:sz w:val="20"/>
          <w:szCs w:val="20"/>
          <w:color w:val="auto"/>
        </w:rPr>
      </w:pPr>
    </w:p>
    <w:p>
      <w:pPr>
        <w:ind w:right="340" w:firstLine="405"/>
        <w:spacing w:after="0" w:line="276" w:lineRule="auto"/>
        <w:rPr>
          <w:sz w:val="20"/>
          <w:szCs w:val="20"/>
          <w:color w:val="auto"/>
        </w:rPr>
      </w:pPr>
      <w:r>
        <w:rPr>
          <w:rFonts w:ascii="Arial" w:cs="Arial" w:eastAsia="Arial" w:hAnsi="Arial"/>
          <w:sz w:val="17"/>
          <w:szCs w:val="17"/>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any material contamination at any of our facilities.</w:t>
      </w:r>
    </w:p>
    <w:p>
      <w:pPr>
        <w:spacing w:after="0" w:line="173"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We are required to maintain a number of environmental permits and nuclear licenses for our North Billerica, Massachusetts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(“D&amp;D”) the Billerica site at the end of its use as a nuclear facility. In addition, we have a radioactive production facility in San Juan, Puerto Rico, where we must also maintain a number of environmental permits and nuclear licenses. As of December 31, 2018, we currently estimate the D&amp;D cost to be approximately $26.9 million. As of December 31, 2018 and 2017, we have a liability recorded associated with the fair value of the asset retirement obligations of $11.6 million and $10.4 million,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below regulatory limits, as allowed by our licenses and permits.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7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possible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December 31, 2018, we had 488 employees, of which 443 were located in the U.S. and 45 were located internationally. None of our employees are represented by a collective bargaining agreement, and we believe that our relationship with our employees is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Founded in 1956 as New England Nuclear Corporation, our medical imaging diagnostic business was purchased by E.I. du Pont de Nemours and Company (“DuPont”) in 1981. Bristol Myers Squibb (“BMS”) subsequently acquired our diagnostic medical imaging business as part of its acquisition of DuPont Pharmaceuticals in 2001. In January 2008, Avista Capital Partners, L.P., Avista Capital Partners (Offshore), L.P. and ACP-Lantern Co-Invest, LLC (collectively “Avista”) formed Lantheus Holdings and acquired our medical imaging business from BMS. On June 30, 2015, we completed an initial public offering (“IPO”) of our common stock. Our common stock is traded on the NASDAQ Global Market under the symbol “LNTH”.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free of charge on our website at 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16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reports filed with, or furnished to, the SEC are also available on the SEC’s website at www.sec.gov, and for Annual Reports on Form 10-K and Quarterly Reports on Form 10-Q, in an XBRL (Extensible Business Reporting Language) format. XBRL is an electronic coding language used to create interactive financial statement data over the Internet. The information on our website is neither part of nor incorporated by reference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20" w:lineRule="exact"/>
        <w:rPr>
          <w:sz w:val="20"/>
          <w:szCs w:val="20"/>
          <w:color w:val="auto"/>
        </w:rPr>
      </w:pPr>
      <w:r>
        <w:rPr>
          <w:rFonts w:ascii="Arial" w:cs="Arial" w:eastAsia="Arial" w:hAnsi="Arial"/>
          <w:sz w:val="18"/>
          <w:szCs w:val="18"/>
          <w:i w:val="1"/>
          <w:iCs w:val="1"/>
          <w:color w:val="auto"/>
        </w:rPr>
        <w:t>You should carefully consider the following risks. These risks could materially affect our business, results of operations or financial condition, cause the trading price of our outstanding common stock to decline materially or cause our actual results to differ materially from those expected or those expressed in any forward-looking statements made by us or on our behalf.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Current Products and Revenues</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w:t>
      </w:r>
    </w:p>
    <w:p>
      <w:pPr>
        <w:spacing w:after="0" w:line="73"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The growth of our business is substantially dependent on our ability to continue to grow the appropriate use of DEFINITY in suboptimal echocardiograms. There were approximately 33.7 million echocardiograms in 2018 according to a third-party source. Assuming 20% of echocardiograms produce suboptimal images, as stated in the clinical literature, we estimate that approximately 6.7 million echocardiograms in 2018 produced suboptimal images. We estimate that DEFINITY held over 80% of the U.S. market for contrast agents in echocardiography procedures as of December 31, 2018. DEFINITY currently competes with Optison, a GE Healthcare product, Lumason, a Bracco product (known as SonoVue outside the U.S.), as well as echocardiography without contrast and other non-echocardiography agents.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75"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launched DEFINITY in 2001, and we continue to actively pursue patents in connection with DEFINITY, both in the U.S. and internationally. In the U.S., we have an Orange Book-listed method of use patent expiring in March 2037 to augment a DEFINITY patent portfolio that includes an Orange Book-listed composition of matter patent expiring in June 2019, and additional manufacturing patents that are not Orange Book-listed expiring in 2021, 2023 and 2037. Outside of the U.S., our DEFINITY patent protection or regulatory exclusivity currently expires in 2019. We were also recently granted a composition of matter patent on the modified formulation of DEFINITY which runs through December 2035. If the modified formulation is approved by the FDA, then this patent would be eligible to be listed in the Orange Book.</w:t>
      </w:r>
    </w:p>
    <w:p>
      <w:pPr>
        <w:spacing w:after="0" w:line="17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Because our Orange Book-listed composition of matter patent expires in June 2019, we may face generic DEFINITY challengers in the near to intermediate term. Under the Hatch-Waxman Act, the FDA can approve ANDAs for generic versions of drugs before the expiration of an Orange Book-listed patent covering the innovator product if the ANDA applicant demonstrates, among other things, that (i) its generic candidate is the same as the innovator product by establishing bioequivalence and providing relevant chemistry, manufacturing and product data, and (ii) the marketing of that generic candidate does not infringe an Orange Book-listed patent or the Orange Book-listed patent is invalid. With respect to any Orange Book-listed patent covering the innovator product that expires after the ANDA applicant intends to begin commercialization, the ANDA applicant must certify that its generic candidate will not infringe the innovator’s Orange Book-listed patents or that the Orange Book-listed patents are invalid. The ANDA applicant must also give Notice to the innovator, which would then enable the innovator to challenge the ANDA applicant in court within 45 days of receiving such Notice. If the innovator challenges the ANDA applicant in court in a timely manner, then FDA approval to commercialize the generic candidate will be stayed (that is, delayed) for up to 30 months while the dispute between the innovator and the ANDA applicant is resolved in court. The 30 month stay can be shortened if the patent infringement suit is resolved in the ANDA applicant’s favor before the 30 month stay expires, and this may involve a successful challenge of the patent’s validity in U.S. Patent and Trademark Office, or USPTO, proceedings and appeals process.</w:t>
      </w:r>
    </w:p>
    <w:p>
      <w:pPr>
        <w:spacing w:after="0" w:line="18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the date of filing of this Annual Report on Form 10-K, we have not received any such Notice from any ANDA applicant but can give no assurance that we will not receive a Notice in the future. If we were to receive any such Notice in the future, we would review the Notice, evaluate the strength of any potential patent infringement claims, and be prepared to challenge the ANDA applicant in a timely fashion, which would thereby trigger the stay of up to 30 months. We can give no assurance that we would have grounds to file a patent infringement suit, that we would obtain the full 30 month stay, that we would be successful on the merits asserting that a generic candidate infringes our Orange Book-listed patent, or that we would be successful defending the validity of our Orange Book-listed patent in court or in a USPTO adversarial proceeding.</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part of our microbubble franchise strategy, (i) we have initiated additional clinical trials to pursue expansion of the current DEFINITY indication to include LVEF, (ii) we are developing a modified formulation of DEFINITY, (iii) we look for other opportunities to expand our microbubble franchise, including new applications beyond echocardiography and contrast imaging generally, and (iv) we continue to build specialized in-house manufacturing capabilities at our North Billerica facility for DEFINITY and, potentially, other products. However, we can give no assurance that our microbubble franchise strategy will be successful or that new manufacturing capabilities, a new indication, a modified formulation or new applications will grow our microbubble franchise.</w:t>
      </w:r>
    </w:p>
    <w:p>
      <w:pPr>
        <w:spacing w:after="0" w:line="193"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We have on-going development and technology transfer activities for our modified formulation with SBL located in South Korea but can give no assurances as to when or if those development and technology transfer activities will be completed and when we will begin to receive a supply of our modified formulation from SBL.</w:t>
      </w:r>
    </w:p>
    <w:p>
      <w:pPr>
        <w:spacing w:after="0" w:line="181"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If we are not able to continue to (i) grow DEFINITY sales, which depend on one or more of the growth of echocardiograms, the growth in the appropriate use of contrast in suboptimal echocardiograms, and our ability to sustain and grow our leading position in the U.S. echocardiography contrast market, or (ii) be successful with our microbubble franchise strategy, we may not be able to continue to grow the revenue and cash flow of our business, which could have a negative effect on our business, results of operations and financial condition.</w:t>
      </w:r>
    </w:p>
    <w:p>
      <w:pPr>
        <w:spacing w:after="0" w:line="17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73"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A critical ingredient of TechneLite is Moly. We currently purchase finished Moly from three of the four main processing sites in the world, namely ANSTO in Australia, IRE in Belgium and NTP in South Africa. These processing sites provide us Moly from five of the six main Moly-producing reactors in the world, namely OPAL in Australia, BR2 in Belgium, LVR-15 in the Czech Republic, HFR in The Netherlands, and SAFARI in South Africa.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ANSTO has under construction a new Moly processing facility that ANSTO believes will increase its production capacity from approximately 2,000 curies per week to 3,500 curies per week. ANSTO has indicated that it currently plans to start commercial production in the first half of 2019. While we believe this additional Moly supply will give us the most balanced and diversified Moly supply chain in the industry, a prolonged disruption of service from only one of our Moly suppliers could have a material adverse effect on our business, results of operations, financial condition and cash flows. The NTP processing facility was off-line from late November 2017 until mid-February 2018 and again from early June 2018 through mid-November 2018. During the periods when NTP was not producing, we relied on Moly supply from both IRE and ANSTO to limit the impact of the NTP outage. However, we were unable to fill all of the demand for our TechneLite generators on certain manufacturing days, consequently decreasing revenue and cash flow from this product line during the outage periods as compared to prior periods. A longer term outage from one of our three Moly processing sites or one of their main Moly-producing reactors could have a substantial negative effect on our business, results of operations, financial condition and cash flows.</w:t>
      </w:r>
    </w:p>
    <w:p>
      <w:pPr>
        <w:spacing w:after="0" w:line="18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also pursuing additional sources of Moly from potential new producers around the world to further augment our current supply. In November 2014, we entered into a strategic arrangement with SHINE for the future supply of Moly. Under the terms of the supply agreement, SHINE will provide Moly produced using its proprietary LEU-solution technology for use in our TechneLite generators once SHINE’s facility becomes operational and receives all necessary regulatory approvals, which SHINE now estimates will occur in 2021. However, we cannot assure you that SHINE or any other possible additional sources of Moly will result in commercial quantities of Moly for our business, or that these new suppliers together with our current suppliers will be able to deliver a sufficient quantity of Moly to meet our needs.</w:t>
      </w:r>
    </w:p>
    <w:p>
      <w:pPr>
        <w:spacing w:after="0" w:line="19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U.S., Canadian and international governments have encouraged the development of a number of alternative Moly production projects with existing reactors and technologies as well as new technologies. However, we cannot say when, or if, the Moly produced from these projects will become available.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Most of the global suppliers of Moly rely on Framatone-CERCA in France to fabricate uranium targets and in some cases fuel for research reactors from which Moly is produced. Absent a new supplier, a supply disruption relating to uranium targets or fuel could have a substantial negative effect on our business, results of operations, financial condition and cash flows.</w:t>
      </w:r>
    </w:p>
    <w:p>
      <w:pPr>
        <w:spacing w:after="0" w:line="1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The instability of the global supply of Moly, including supply shortages, has resulted in increases in the cost of Moly, which has negatively affected our margins, and more restrictive agreements with suppliers, which could further increase our costs.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With the general instability in the global supply of Moly, we have faced substantial increases in the cost of Moly in comparison to historical costs. We expect these cost increases to continue in the future as the Moly suppliers move closer to a full cost recovery business model. The Organization of Economic Cooperation and Development (“OECD”) defines full cost recovery as the identification of all of the costs of production and recovering these costs from the market. While we are generally able to pass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face revenue and unit volume risk for Xenon in pulmonary studies as a result of competition from Curium and potentially others.</w:t>
      </w:r>
    </w:p>
    <w:p>
      <w:pPr>
        <w:spacing w:after="0" w:line="1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Historically, several companies, including Curium, sold packaged Xenon as a pulmonary imaging agent in the U.S., but from 2010 through the first quarter of 2016 (when Curium received regulatory approval from FDA to again sell packaged Xenon in the U.S.) we were the only supplier of this imaging agent in the U.S. Curium sold packaged Xenon in the U.S. during parts of 2016 and again began selling packaged Xenon in the U.S. in May 2018. Depending upon the pricing, extent of availability and market penetration of Curium’s offering, we believe we are at risk for volume loss and price erosion from those customers that are not subject to price or volume commitments with us.</w:t>
      </w:r>
    </w:p>
    <w:p>
      <w:pPr>
        <w:spacing w:after="0" w:line="188"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Xenon is frequently administered as part of a ventilation scan to evaluate pulmonary function prior to a perfusion scan with microaggregated albumin (“MAA”), a Technetium-based radiopharmaceutical used to evaluate blood flow to the lungs. Currently, JDI is the sole supplier of MAA on a global basis. Since 2014, JDI has instituted multiple and substantial price increases for MAA. The increased price of MAA, or difficulties in obtaining MAA, could decrease the frequency in which MAA is used for lung perfusion evaluation, in turn, decreasing the frequency that Xenon is used for pulmonary function evaluation, resulting in a negative effect on our business, results of operations, financial condition and cash flows.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competition from Curium, other imaging agents and modalities could potentially compete with, or displace, packaged Xenon in pulmonary studies. For example, in December 2017, JDI received FDA approval for the use of DTPA (Kit for the Preparation of Technetium Tc99M Pentetate Injection) (“DTPA”) in lung ventilation assessments. If there is an increase in the use of DTPA or other imaging agents or modalities in place of packaged Xenon, our current sales volumes would decrease, which could have a negative effect on our business, results of operations, financial condition and cash flows.</w:t>
      </w:r>
    </w:p>
    <w:p>
      <w:pPr>
        <w:spacing w:after="0" w:line="188"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73"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obtain a substantial portion of our products from third party manufacturers and suppliers. We rely on JHS as our sole source manufacturer of DEFINITY, Neurolite, Cardiolite and evacuation vials. We currently have additional on-going technology transfer activities for a modified formulation of DEFINITY with SBL. We currently believe that if approved by the FDA, the modified formulation could be commercially available in 2020, although that timing cannot be assured. Currently, our DEFINITY, Neurolite, Cardiolite, evacuation vial and saline product supplies are approved for manufacture by a single manufacturer.</w:t>
      </w:r>
    </w:p>
    <w:p>
      <w:pPr>
        <w:spacing w:after="0" w:line="18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Based on our current estimates, we believe that we will have sufficient supply of DEFINITY, Neurolite, Cardiolite and evacuation vials from JHS, and sufficient supply of saline from our sole manufacturer, to meet expected demand. However, we can give no assurances that JHS or our other manufacturing partner will be able to manufacture and distribute our products in a high quality and timely manner and in sufficient quantities to allow us to avoid product stock-outs and shortfalls. Currently, regulatory authorities in certain countries have not yet approved JHS as a manufacturer of certain of our products. Accordingly, until those regulatory approvals have been obtained, our business, results of operations, financial condition and cash flows will continue to be adversely affected.</w:t>
      </w:r>
    </w:p>
    <w:p>
      <w:pPr>
        <w:spacing w:after="0" w:line="19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Xenon is captured as a by-product of the Moly production process. We receive bulk unprocessed Xenon from IRE resulting from HEU Moly production, which we process and finish for our customers. We do not yet receive Xenon resulting from LEU Moly production at IRE and can give no assurances as to the timing of the availability of LEU Xenon. We believe we will have a sufficient supply of HEU and LEU Xenon to meet our customers’ needs. However, until IRE converts to LEU Xenon production or we can qualify an additional source of bulk unprocessed Xenon, we will rely on IRE as a sole source provider of HEU Xenon.</w:t>
      </w:r>
    </w:p>
    <w:p>
      <w:pPr>
        <w:spacing w:after="0" w:line="18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addition to the products described above, for reasons of quality assurance or cost-effectiveness, we purchase certain components and raw materials from sole suppliers (including, for example, the lead casing for our TechneLite generators and the lipid blend material used in the processing of DEFINITY). Because we do not control the actual production of many of the products we sell and many of the raw materials and components that make up the products we sell, we may be subject to delays caused by interruption in production based on events and conditions outside of our control. At our North Billerica, Massachusetts facility, we manufacture TechneLite on a relatively new, highly automated production line, as well as Thallium and Gallium using our older cyclotron technology and Xenon and Quadramet using our hot cell infrastructure. As with all manufacturing facilities, equipment and infrastructure age and become subject to increasing maintenance and repair. If we or one of our manufacturing partners experiences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73"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In addition to our existing manufacturing relationships, we are also pursuing new manufacturing relationships to establish and secure additional or alternative suppliers for our commercial products. We currently have additional on-going technology transfer activities for a modified formulation of DEFINITY with SBL. We have also commenced an extensive, multi-year effort to add specialized manufacturing capabilities at our North Billerica, Massachusetts facility. This project is part of a larger corporate growth strategy to create a competitive advantage in specialized manufacturing. This project should not only deliver efficiencies and supply chain redundancy for our current portfolio but also should afford us increased flexibility as we consider external opportunities. However, we cannot assure you that these activities or any of our additional supply activities will be successful or that we will be able to avoid or mitigate interim supply shortages before new sources of product are fully functional and qualified. In addition, we cannot assure you that our existing manufacturers or suppliers or any new manufacturers or suppliers can adequately maintain either their financial health, technical capabilities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b w:val="1"/>
          <w:bCs w:val="1"/>
          <w:i w:val="1"/>
          <w:iCs w:val="1"/>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3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Because a number of our radiopharmaceutical products, including our TechneLite generators, rely on radioisotopes with limited half-lives, we must manufacture, finish and distribute these products on a just-in-time basis, because the underlying radioisotope is in a constant state of radio decay. For example, if we receive Moly in the morning of a manufacturing day for TechneLite generators, then we will generally ship finished generators to customers by the end of that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17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Challenges with product quality or product performance, including defects, caused by us or our suppliers could result in a decrease in customers and revenues, unexpected expenses and loss of market share.</w:t>
      </w:r>
    </w:p>
    <w:p>
      <w:pPr>
        <w:spacing w:after="0" w:line="62"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 down production lines based on internal safety and quality monitoring and testing data.</w:t>
      </w:r>
    </w:p>
    <w:p>
      <w:pPr>
        <w:spacing w:after="0" w:line="1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In the U.S., we are heavily dependent on a few large customers and group purchasing organization arrangements to generate a majority of our revenues for our nuclear medical imaging products and our other products. Outside of the U.S., we rely primarily on distributors to generate a substantial portion of our revenue.</w:t>
      </w:r>
    </w:p>
    <w:p>
      <w:pPr>
        <w:spacing w:after="0" w:line="7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the U.S., we have historically relied on a limited number of radiopharmacy customers, primarily Cardinal, UPPI, GE Healthcare and Triad, to distribute our current largest volume nuclear imaging products and generate a majority of our revenues. Cardinal, UPPI and GE Healthcare accounted for approximately 26% of our revenues in the year ended December 31, 2018. Among the existing radiopharmacies in the U.S., continued consolidations, divestitures and reorganizations may have a negative effect on our business, results of operations, financial condition and cash flows. We generally have distribution arrangements with our major radiopharmacy customers pursuant to multi-year contracts, each of which is subject to renewal. If these contracts are terminated prior to expiration of their term, or are not renewed, or are renewed on terms that are less favorable to us, then such an event could have a material adverse effect on our business, results of operations, financial condition and cash flows.</w:t>
      </w:r>
    </w:p>
    <w:p>
      <w:pPr>
        <w:spacing w:after="0" w:line="17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For all of our medical imaging products, we continue to experience significant pricing pressures from our competitors, large customers and group purchasing organizations, and any significant, additional pricing pressures could lead to a reduction in revenue which could have a material adverse effect on our business, results of operations, financial condition and cash flows.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75"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Outside of the U.S., Canada and Puerto Rico, we have no sales force and, consequently, rely on third-party distributors, either on a country-by-country basis or on a multi-country, regional basis, to market, sell and distribute our products. In Canada, we maintain our own direct sales force to sell DEFINITY. We formerly owned or operated radiopharmacies and we now sell radiopharmaceutical products under the Isologic Supply Agreement. In Australia, we also formerly owned or operated radiopharmacies, and we now sell DEFINITY and radiopharmaceutical products under the GMS Supply Agreement. Distributors accounted for approximately 36%, 45% and 34% of International segment revenues for the years ended December 31, 2018, 2017 and 2016, respectively.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current levels of unit sales or that we will be able to increase or maintain our current unit pricing, which, in turn, could have a material adverse effect on our business, results of operations, financial condition and cash flows.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significant competition in our business and may not be able to compete effectively.</w:t>
      </w:r>
    </w:p>
    <w:p>
      <w:pPr>
        <w:spacing w:after="0" w:line="11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ours, such as GE Healthcare, Bracco, Curium and Jubilant Life Sciences, as well as other competitors, including NorthStar Medical Radioisotopes. We cannot anticipate their actions in the same or competing diagnostic modalities, such as significant price reductions on products that are comparable to our own, development or introduction of new products that are more cost-effective or have superior performance than our current products, the introduction of generic versions when our proprietary products lose their patent protection or the new entry into a generic market in which we are already a participant. In addition, distributors of our products could attempt to shift end-users to competing diagnostic modalities and products. Our current or future products could be rendered obsolete or uneconomical as a result of these activities. Our failure to compete effectively could cause us to lose market share to our competitors and have a material adverse effect on our business,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Reimbursement and Regulation</w:t>
      </w:r>
    </w:p>
    <w:p>
      <w:pPr>
        <w:spacing w:after="0" w:line="225" w:lineRule="exact"/>
        <w:rPr>
          <w:sz w:val="20"/>
          <w:szCs w:val="20"/>
          <w:color w:val="auto"/>
        </w:rPr>
      </w:pPr>
    </w:p>
    <w:p>
      <w:pPr>
        <w:jc w:val="both"/>
        <w:ind w:right="420" w:firstLine="405"/>
        <w:spacing w:after="0" w:line="286" w:lineRule="auto"/>
        <w:rPr>
          <w:sz w:val="20"/>
          <w:szCs w:val="20"/>
          <w:color w:val="auto"/>
        </w:rPr>
      </w:pPr>
      <w:r>
        <w:rPr>
          <w:rFonts w:ascii="Arial" w:cs="Arial" w:eastAsia="Arial" w:hAnsi="Arial"/>
          <w:sz w:val="17"/>
          <w:szCs w:val="17"/>
          <w:b w:val="1"/>
          <w:bCs w:val="1"/>
          <w:i w:val="1"/>
          <w:iCs w:val="1"/>
          <w:color w:val="auto"/>
        </w:rPr>
        <w:t>Certain of our customers are highly dependent on payments from third party payors, including government sponsored programs, particularly Medicare, in the U.S. and other countries in which we operate, and reductions in third party coverage and reimbursement rates for our products (or services provided with our products) could adversely affect our business and results of operations.</w:t>
      </w:r>
    </w:p>
    <w:p>
      <w:pPr>
        <w:spacing w:after="0" w:line="5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purchased by our customers (or services provided with our products) are reimbursed by third party payors, including Medicare, Medicaid, other U.S. government sponsored programs, non-U.S. governmental payors and private payors. These third party payors exercise significant control over patient access and increasingly use their enhanced bargaining power to secure discounted rates and impose other requirements that may reduce demand for our products. Our potential customers’ ability to obtain appropriate reimbursement for products and services from these third party payors affects the selection of products they purchase and the prices they are willing to pay. For example, certain radiopharmaceuticals, when used for non-invasive imaging of the perfusion of the heart for the diagnosis and management of patients with known or suspected coronary artery disease, are currently subject to a Medicare National Coverage Determination (“NCD”). The NCD permits the coverage of such radiopharmaceuticals only when certain criteria are met. Our PET pipeline products, including flurpiridaz F 18 and LMI 1195, if approved, may become subject to this NCD, and may not be covered at all. If Medicare and other third party payors do not provide appropriate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 party payors at the time of the product’s introduction, which will depend, in part, on our ability to demonstrate that a new agent has a positive impact on clinical outcomes. Third party payors continually review their coverage policies for existing and new products and procedures and can deny coverage for procedures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75"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73" w:lineRule="exact"/>
        <w:rPr>
          <w:sz w:val="20"/>
          <w:szCs w:val="20"/>
          <w:color w:val="auto"/>
        </w:rPr>
      </w:pPr>
    </w:p>
    <w:p>
      <w:pPr>
        <w:ind w:left="980" w:right="6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payments for imaging services in physician offices and free-standing imaging facility settings based upon rates paid to hospital outpatient departments;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6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Revising payment policies and reducing payment amounts for imaging procedures performed in the hospital outpatient setting;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prospective payment levels for applicable diagnosis-related groups in the hospital inpatient setting.</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the physician office and free-standing imaging facility setting, services provided using our products are reimbursed under the Medicare physician fee schedule. Since 2015, payments under the Medicare physician fee schedule have been subject to specific annual updates: a 0.5% update through 2018; a</w:t>
      </w:r>
    </w:p>
    <w:p>
      <w:pPr>
        <w:ind w:right="20"/>
        <w:spacing w:after="0" w:line="252" w:lineRule="auto"/>
        <w:rPr>
          <w:sz w:val="20"/>
          <w:szCs w:val="20"/>
          <w:color w:val="auto"/>
        </w:rPr>
      </w:pPr>
      <w:r>
        <w:rPr>
          <w:rFonts w:ascii="Arial" w:cs="Arial" w:eastAsia="Arial" w:hAnsi="Arial"/>
          <w:sz w:val="18"/>
          <w:szCs w:val="18"/>
          <w:color w:val="auto"/>
        </w:rPr>
        <w:t>0.25% update in 2019; no updates from 2020 to 2025; and, beginning in 2026, differential updates based on whether the physician participates in advanced alternative payment models (with 0.75% updates for qualifying participants and 0.25% updates for non-participants) (which may be subject to budget neutrality adjustments). Fee schedule payments, beginning in 2019, are adjusted for certain physicians based on their performance under a consolidated measurement system (that measures performance with respect to quality, resource utilization, meaningful use of certified electronic health records technology, and clinical practice improvement activities). Also beginning in 2019 and through payment year 2024, physicians may be eligible for a bonus based on the use of certain alternative payment models designated as “advanced” by CMS. The ongoing and future impact of these changes cannot be determined at this time.</w:t>
      </w:r>
    </w:p>
    <w:p>
      <w:pPr>
        <w:spacing w:after="0" w:line="193"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We believe that Medicare changes to payment policies for imaging procedures applicable to non-hospital settings will continue to result in certain physician practices ceasing to provide these services and a further shifting of where certain medical imaging procedures are performed, from the physician office and free-standing imaging facility settings to the hospital outpatient setting. Changes applicable to Medicare payment in the hospital outpatient setting could also influence the decisions by hospital outpatient physicians to perform procedures that involve our products. Within the hospital outpatient setting, CMS payment policy is such that the use of many of our products are not separately payable by Medicare, although certain new drug products are eligible for separate (incremental) payment for the first three years after approval. Since 2013, although Medicare generally does not provide separate payment to hospitals for the use of diagnostic radiopharmaceuticals administered in an outpatient setting, CMS has had a policy to make a nominal additional payment ($10) to hospitals that utilize products with non-HEU, meaning the product is 95% derived from non-HEU sources. This payment policy continues in 2019. Although some of our TechneLite generators are manufactured using non-HEU, not all of our TechneLite generators currently meet CMS’s definition of non-HEU, and therefore this payment is not available for doses produced by the latter category of TechneLite generators used by our customers. Changes to the Medicare hospital outpatient prospective payment system payment rates, including reductions implemented for certain hospital outpatient sites, could influence the decisions by hospital outpatient physicians to perform procedures that involve our products.</w:t>
      </w:r>
    </w:p>
    <w:p>
      <w:pPr>
        <w:spacing w:after="0" w:line="16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also believe that all these changes and their resulting pressures may incrementally reduce the overall number of diagnostic medical imaging procedures performed. These changes overall could slow the acceptance and introduction of next-generation imaging equipment into the marketplace, which, in turn, could adversely impact the future market adoption of certain of our imaging agents already in the market or currently in development. We expect that there will continue to be proposals to reduce or limit Medicare and Medicaid payment for diagnostic services.</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also expect increased regulation and oversight of advanced diagnostic testing in which our products are used. Federal legislation requires CMS to develop appropriate use criteria (“AUC”) that professionals must consult when ordering advanced diagnostic imaging services (which include MRI, CT, nuclear medicine (including PET) and other advanced diagnostic imaging services that the Secretary of HHS, may specify). Beginning in 2020, the ordering professional will be required to consult a qualified clinical decision support mechanism, as identified by HHS, as to whether the ordered service adheres to the applicable AUC. Reimbursement penalties will apply in 2021 if this requirement is not met (and documented on the claim). To the extent that these types of changes have the effect of reducing the aggregate number of diagnostic medical imaging procedures performed in the U.S., our business, results of operations, financial condition and cash flows would be adversely affected. See Part I, Item I. “Business—Regulatory Matters.”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Reforms to the U.S. healthcare system may adversely affect our business.</w:t>
      </w:r>
    </w:p>
    <w:p>
      <w:pPr>
        <w:spacing w:after="0" w:line="117"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A significant portion of our patient volume is derived from U.S. government healthcare programs, principally Medicare, which are highly regulated and subject to frequent and substantial changes. The Healthcare Reform Act substantially changed the way healthcare is financed by both governmental and private insurers. The law contains a number of provisions that affect coverage and reimbursement of drug products and medical imaging procedures in which our drug products are used and/or that could potentially reduce the aggregate number of diagnostic medical imaging procedures performed in the U.S. See Part I, Item 1. “Business—Regulatory Matters—Healthcare Reform and Other Laws Affecting Payment.” Subsequently, the Medicare Access and CHIP Reauthorization Act of 2015 significantly revised the methodology for updating the Medicare physician fee schedule. And more recently, Congress enacted legislation in 2017 that eliminates the Healthcare Reform Act’s “individual mandate” beginning in 2019, which may significantly impact the number of covered lives participating in exchange plans.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169"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2027.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178" w:lineRule="exact"/>
        <w:rPr>
          <w:sz w:val="20"/>
          <w:szCs w:val="20"/>
          <w:color w:val="auto"/>
        </w:rPr>
      </w:pPr>
    </w:p>
    <w:p>
      <w:pPr>
        <w:ind w:right="400" w:firstLine="405"/>
        <w:spacing w:after="0" w:line="257" w:lineRule="auto"/>
        <w:rPr>
          <w:sz w:val="20"/>
          <w:szCs w:val="20"/>
          <w:color w:val="auto"/>
        </w:rPr>
      </w:pPr>
      <w:r>
        <w:rPr>
          <w:rFonts w:ascii="Arial" w:cs="Arial" w:eastAsia="Arial" w:hAnsi="Arial"/>
          <w:sz w:val="18"/>
          <w:szCs w:val="18"/>
          <w:color w:val="auto"/>
        </w:rPr>
        <w:t>Further, changes in payor mix and reimbursement by private third party payors may also affect our business.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88"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The full impact on our business of healthcare reforms and other new laws, or changes in existing laws, is uncertain. Nor is it clear whether additional legislative changes will be adopted or how those changes would affect our industry in general or our ability to successfully commercialize our products or develop new products.</w:t>
      </w:r>
    </w:p>
    <w:p>
      <w:pPr>
        <w:spacing w:after="0" w:line="181"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and, in certain circumstances, expanding regulation by federal, state and local government agencies in the U.S. as well as non-U.S. and transnational laws and regulations, with regulations differing from country to country, including, among other things, anti-trust and competition laws and regulations and the recently enacted General Data Protection Regulation (GDPR) in the European Union (the “EU”). In the U.S.,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NRC, the HHS, Health Canada, the EMA, the MHRA, the CFDA, state and provincial boards of pharmacy, state and provincial health departments and other federal, state and provincial agencies.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Under U.S. law, for example, we are required to report certain adverse events and production problems, if any, to the FDA. We also have similar adverse event and production reporting obligations outside of the U.S., including to the EMA and MHRA. Additionally, we must comply with requirements concerning advertising and promotion for our products, including the prohibition on the promotion of our products for indications that have not been approved by the FDA or a so-called “off-label use” or promotion that is inconsistent with the approved labeling. If the FDA determines that our promotional materials constitute unlawful promotion,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If in the future issues arise at a third party manufacturer, the FDA could take regulatory action which could limit or suspend the ability of that third party to manufacture our products or have any additional products approved at the relevant facility for manufacture until the issues are resolved and remediated. Such a limitation or suspension could have a material adverse effect on our business, results of operations, financial condition and cash flows.</w:t>
      </w:r>
    </w:p>
    <w:p>
      <w:pPr>
        <w:spacing w:after="0" w:line="18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are also subject to laws and regulations that govern financial and other arrangements between pharmaceutical manufacturers and healthcare providers, including federal and state anti-kickback statutes, federal and state false claims laws and regulations and other fraud and abuse laws and regulations. For example, in 2010, we entered into a Medicaid Drug Rebate Agreement with the federal government for some but not all of our products, and in 2016 entered into a separate Medicaid Drug Rebate Agreement for the balance of our products. These agreements require us to report certain price information to the federal government. Determination of the rebate amount that we pay to state Medicaid programs for our products, of prices charged to government and certain private payors for our products, or of amounts paid for our products under government healthcare programs, depends upon information reported by us to the government. If we provide customers or government officials with inaccurate information about the products’ pricing or eligibility for coverage, or the products fail to satisfy coverage requirements, we could be terminated from the rebate program, be excluded from participation in government healthcare programs, or be subject to potential liability under the False Claims Act or other laws and regulations. See Part I, Item 1. “Business —Regulatory Matters—Healthcare Fraud and Abuse Laws.”</w:t>
      </w:r>
    </w:p>
    <w:p>
      <w:pPr>
        <w:spacing w:after="0" w:line="17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Failure to comply with other requirements and restrictions placed upon us or our third party manufacturers or suppliers by laws and regulations can result in fines, civil and criminal penalties, exclusion from federal healthcare programs and debarment. Possible consequences of those actions could include:</w:t>
      </w:r>
    </w:p>
    <w:p>
      <w:pPr>
        <w:spacing w:after="0" w:line="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modifications to our business practices and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Significantly reduced demand for our products (if products become ineligible for reimbursement under federal and state healthcare programs);</w:t>
      </w:r>
    </w:p>
    <w:p>
      <w:pPr>
        <w:spacing w:after="0" w:line="140"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total or partial shutdown of production in one or more of the facilities where our products are produced while the alleged violation is being remediated;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the inability to obtain future pre-market clearances or approvals;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Withdrawals or suspensions of our current products from the market.</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effect on our business, results of operations, financial condition and cash flows.</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subject to numerous domestic (federal, state and local) and foreign laws addressing fraud and abuse in the healthcare industry, including the FCA and Federal Anti-Kickback Statute, self-referral laws, the FCPA, the Bribery Act, FDA promotional restrictions, the federal disclosure (sunshine) law and state marketing and disclosure (sunshine) laws. Violations of these laws are punishable by criminal or civil sanctions, including substantial fines, imprisonment and exclusion from participation in healthcare programs such as Medicare and Medicaid as well as health programs outside the U.S., and even alleged violations can result in the imposition of corporate integrity agreements that could severely restrict or limit our business practices. See Part I, Item 1. “Business-Regulatory Matters-Healthcare Fraud and Abuse Laws and Laws Relating to Foreign Trade.”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b w:val="1"/>
          <w:bCs w:val="1"/>
          <w:i w:val="1"/>
          <w:iCs w:val="1"/>
          <w:color w:val="auto"/>
        </w:rPr>
        <w:t>As an Emerging Growth Company (“EGC”) under the JOBS Act, we have not been required to evaluate our internal control over financial reporting as required by Section 404 of the Sarbanes-Oxley Act. When we transition from being an EGC to being a “large accelerated filer,” we will be required to implement the necessary procedures and practices related to internal control over financial reporting, and we may identify deficiencies that we may not be able to remediate in time to meet the necessary deadline.</w:t>
      </w:r>
    </w:p>
    <w:p>
      <w:pPr>
        <w:spacing w:after="0" w:line="7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Since our IPO in June 2015, we have been considered an EGC under the JOBS Act and have not been required to evaluate our internal controls over financial reporting as required by Section 404 of the Sarbanes-Oxley Act. Section 404 requires annual management assessments of the effectiveness of our internal control over financial reporting and a report by our independent registered public accounting firm on the effectiveness of those internal controls, starting with the year we cease being an EGC and become a “large accelerated filer.” That year could be 2019, if our market capitalization is at least $700 million on June 28, 2019, or no later than 2020, five years after our IPO. Once we are no longer an EGC,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of our existing controls and the incurrence of significant additional expenditures.</w:t>
      </w:r>
    </w:p>
    <w:p>
      <w:pPr>
        <w:spacing w:after="0" w:line="1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necessary deadline. In addition, 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Section 404. Furthermore, failure to achieve and maintain an effective internal control environment could limit our ability to report our financial results accurately and timely and have a material adverse effect on our business, results of operations, financial condition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Safety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Ultrasound contrast agents may cause side effects which could limit our ability to sell DEFINITY.</w:t>
      </w:r>
    </w:p>
    <w:p>
      <w:pPr>
        <w:spacing w:after="0" w:line="11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Further, in January 2017, the FDA approved an additional modification to the DEFINITY label, removing the contraindication statement related to use in patients with a known or suspected cardiac shunt. Bracco’s ultrasound contrast agent, Lumason, has substantially similar safety labeling as DEFINITY and Optison. If additional safety issues arise (not only with DEFINITY but also potentially with Optison and Lumason),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 heightened public or regulatory focus on the radiation risks of diagnostic imaging could have an adverse effect on our business.</w:t>
      </w:r>
    </w:p>
    <w:p>
      <w:pPr>
        <w:spacing w:after="0" w:line="1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believe that there has been heightened public and regulatory focus on radiation exposure, including the concern that repeated doses of radiation used in diagnostic imaging procedures pose the potential risk of long-term cell damage, cancer and other diseases. For example, starting in January 2012, CMS required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20,500 healthcare organizations and programs in the U.S.) issued an alert on the radiation risks of diagnostic imaging and recommended specific actions for providing “the right test and the right dose through effective processes, safe technology and a culture of safety.” The Joint Commission has revised accreditation standards for diagnostic imaging in recent years, including standards related to dose optimization.</w:t>
      </w:r>
    </w:p>
    <w:p>
      <w:pPr>
        <w:spacing w:after="0" w:line="17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healthcare providers who order the procedures in which our agents are used. Although we believe that our diagnostic imaging agents when properly used do not expose patients and healthcare providers to unsafe levels of radiation, any of the foregoing risks could have an adverse effect on our business, results of operations, financial condition and cash flows.</w:t>
      </w:r>
    </w:p>
    <w:p>
      <w:pPr>
        <w:spacing w:after="0" w:line="16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62"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Any product liability claim brought against us, with or without merit, could be time consuming and costly to defend and could result in an increase of our insurance premiums.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use hazardous materials in our business and must comply with environmental laws and regulations, which can be expensive.</w:t>
      </w:r>
    </w:p>
    <w:p>
      <w:pPr>
        <w:spacing w:after="0" w:line="129"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on these safety procedures and seek to limit any inherent risks. We generally contract with third parties for the disposal of wastes generated by our operations. Prior to disposal, we store any low level radioactive waste at our facilities to decay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lease a small portion of our North Billerica, Massachusetts facility to PerkinElmer for the manufacturing, finishing and packaging of certain radioisotopes, including Strontium-90, which has physical characteristics that make it more challenging to work with and dispose of than our own commercial radioisotopes, including a much longer half-life. We are fully indemnified by PerkinElmer under our lease for any property damage or personal injury resulting from their activities in our facility. If any release or excursion of radioactive materials took place from their leased space that resulted in property damage or personal injury, the indemnification obligations were not honored, and we were forced to cover any related remediation, clean-up or other expenses, depending on the magnitude, the cost of such remediation, clean-up or other expenses could have a material adverse effect on our business, results of operations, financial condition and cash flows.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business depends on our ability to successfully introduce new products and adapt to a changing technology and medical practice landscape.</w:t>
      </w:r>
    </w:p>
    <w:p>
      <w:pPr>
        <w:spacing w:after="0" w:line="152"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anticipate and satisfy customer needs, obtain regulatory approval on a timely basis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78"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Even if we are able to develop, manufacture and obtain regulatory approvals for our new products, the success of these products would depend upon market acceptance and adequate reimbursement. Levels of market acceptance for our new products could be affected by a number of factors, including:</w:t>
      </w:r>
    </w:p>
    <w:p>
      <w:pPr>
        <w:spacing w:after="0" w:line="16"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breadth of indications in which alternative products from our competitors can be marketed;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of our products relative to those of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effectively;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adequate reimbursement.</w:t>
      </w:r>
    </w:p>
    <w:p>
      <w:pPr>
        <w:spacing w:after="0" w:line="225"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color w:val="auto"/>
        </w:rPr>
        <w:t>The field of diagnostic medical imaging is dynamic, with new products, including hardware, software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and in the case of DEFINITY, echocardiography procedures without contrast. New hardware, software or agents in a given diagnostic modality may be developed that provide benefits superior to the then-dominant hardware, software and agents in that modality, resulting in commercial displacement of the agents. Similarly, changing perceptions about comparative efficacy and safety including, among other things, comparative radiation exposure, as well as changing availability of supply may favor one agent over another or one modality over another. In addition, new or revised appropriate use criteria developed by professional societies, to assist physicians and other health care providers in making appropriate imaging decisions for specific clinical conditions, can and have reduced the frequency of and demand for certain imaging modalities and imaging agents.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process of developing new drugs and obtaining regulatory approval is complex, time-consuming and costly, and the outcome is not certain.</w:t>
      </w:r>
    </w:p>
    <w:p>
      <w:pPr>
        <w:spacing w:after="0" w:line="15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currently have three active clinical development programs in the U.S. - DEFINITY for LVEF, flurpiridaz F 18 and LMI 1195. To obtain regulatory approval for these agents in the indications being pursued, we must conduct extensive human tests, which are referred to as clinical trials, as well as meet other rigorous regulatory requirements, as further described in Part I, Item 1.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trial or we may decide to slow down the enrollment in a trial in order to conserve financial resources.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75"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agents in development are also subject to the risks of failure inherent in drug development and testing. The results of preliminary studies do not necessarily predict clinical success, and larger and later stage clinical trials may not produce the same results as earlier stage trials. Sometimes, agents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In addition, the data collected from clinical trials of our agents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agents in development are safe and effective for their proposed use will delay or preclude approval and will prevent us from marketing those products.</w:t>
      </w:r>
    </w:p>
    <w:p>
      <w:pPr>
        <w:spacing w:after="0" w:line="180" w:lineRule="exact"/>
        <w:rPr>
          <w:sz w:val="20"/>
          <w:szCs w:val="20"/>
          <w:color w:val="auto"/>
        </w:rPr>
      </w:pPr>
    </w:p>
    <w:p>
      <w:pPr>
        <w:ind w:right="120" w:firstLine="405"/>
        <w:spacing w:after="0" w:line="287" w:lineRule="auto"/>
        <w:rPr>
          <w:sz w:val="20"/>
          <w:szCs w:val="20"/>
          <w:color w:val="auto"/>
        </w:rPr>
      </w:pPr>
      <w:r>
        <w:rPr>
          <w:rFonts w:ascii="Arial" w:cs="Arial" w:eastAsia="Arial" w:hAnsi="Arial"/>
          <w:sz w:val="16"/>
          <w:szCs w:val="16"/>
          <w:color w:val="auto"/>
        </w:rPr>
        <w:t>We are not permitted to market our agents in development in the U.S. or other countries until we have received requisite regulatory approvals. For example, securing FDA approval for a new drug requires the submission of an NDA to the FDA for our agents in development. The NDA must include extensive nonclinical and clinical data and supporting information to establish the agent’s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agent. Markets outside of the U.S. also have requirements for approval of agents with which we must comply prior to marketing. Obtaining regulatory approval for marketing of an agent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agents in development, once obtained, may be withdrawn. Approvals might not be granted on a timely basis, if at all.</w:t>
      </w:r>
    </w:p>
    <w:p>
      <w:pPr>
        <w:spacing w:after="0" w:line="17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our flurpiridaz F 18 Phase 3 program, in May 2015, we announced complete results from the 301 trial. Although flurpiridaz F 18 appeared to be well-tolerated from a safety perspective and outperformed SPECT in a highly statistically significant manner in the co-primary endpoint of sensitivity and in the secondary endpoints of image quality and diagnostic certainty, the agent did not meet its other co-primary endpoint of non-inferiority for identifying subjects without disease. In April 2017, we entered into the License Agreement with GE Healthcare for the continued Phase 3 development and worldwide commercialization of flurpiridaz F 18. Under the License Agreement, GE Healthcare will, among other things, complete the worldwide development of flurpiridaz F 18 by conducting a second Phase 3 trial and pursue worldwide regulatory approvals. We cannot assure any particular outcome from GE Healthcare’s continued Phase 3 development of the agent or from regulatory review of either our or their Phase 3 study of the agent, that any of the data generated in either our or their sponsored Phase 3 study will be sufficient to support an NDA approval, that GE Healthcare will only have to conduct the one additional Phase 3 clinical study prior to filing an NDA, or that flurpiridaz F 18 will ever be approved as a PET MPI imaging agent by the FDA. Similarly, we can give no assurance that we will be successful in either of our two internal clinical development programs - DEFINITY for an LVEF indication and LMI 1195 for ischemic heart failure patients risk stratification. See Part I, Item 1. “Business-Regulatory Matters-Food and Drug Laws.” Any failure or significant delay in completing clinical trials for our product candidates or in receiving regulatory approval for the sale of our product candidates may severely harm our business and delay or prevent us from being able to generate revenue from product sales.</w:t>
      </w:r>
    </w:p>
    <w:p>
      <w:pPr>
        <w:spacing w:after="0" w:line="18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Even if our agents in development proceed successfully through clinical trials and receive regulatory approval, there is no guarantee that an approved product can be manufactured in commercial quantities at a reasonable cost or that such a product will be successfully marketed or distributed. The burden associated with the marketing and distribution of products like ours is substantial. For example, rather than being manufactured at our own facilities, both flurpiridaz F 18 and LMI 1195 would require the creation of a complex, field-based network involving PET cyclotrons located at radiopharmacies where the agent would need to be manufactured and distributed rapidly to end-users, given the agent’s 110-minute half-life. In addition, in the case of both flurpiridaz F 18 and LMI 1195, obtaining adequate reimbursement is critical, including not only coverage from Medicare, Medicaid, other government payors as well as private payors but also appropriate payment levels which adequately cover the substantially higher manufacturing and distribution costs associated with a PET agent in comparison to a Technetium-based agent. We can give no assurance even if either flurpiridaz F 18 or LMI 1195 obtains regulatory approval that a network of PET cyclotrons can be established or that adequate reimbursement can be secured to allow the approved agent or agents to become commercially successful.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75"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b w:val="1"/>
          <w:bCs w:val="1"/>
          <w:i w:val="1"/>
          <w:iCs w:val="1"/>
          <w:color w:val="auto"/>
        </w:rPr>
        <w:t>Our future growth may depend on our ability to identify and acquire or in-license additional products, businesses or technologies, and if we do not successfully do so, or otherwise fail to integrate any new products, lines of business or technologies into our operations, we may have limited growth opportunities and it could result in significant impairment charges or other adverse financial consequences.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continuing to seek to acquire or in-license products, businesses or technologies that we believe are a strategic fit with our business strategy.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acquisitions or in-licenses, however, may entail numerous operational and financial risks, including:</w:t>
      </w:r>
    </w:p>
    <w:p>
      <w:pPr>
        <w:spacing w:after="0" w:line="10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our business, customer base and diversion of our management’s time and attention to develop acquired products or technologies;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products or customers and the companies which we acquire that may create conflicts in relationships or other commitments detrimental to the integrated businesses. Additionally, the time between our expenditures to acquire or in-license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7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commercial products and technologies and agents in development as well as successfully enforcing and defending these patents and trade secrets against third parties and their challenges, both in the U.S. and in foreign countries. We will only be able to protect our intellectual property from unauthorized use by third parties to the extent that we maintain the secrecy of our trade secrets and can enforce our valid patents and trademarks.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980" w:right="2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patent applications or patents may be subject to interferences, oppositions, post-grant review, ex-parte re-examinations, inter-partes review or similar administrative proceedings;</w:t>
      </w:r>
    </w:p>
    <w:p>
      <w:pPr>
        <w:sectPr>
          <w:pgSz w:w="11900" w:h="16838" w:orient="portrait"/>
          <w:cols w:equalWidth="0" w:num="1">
            <w:col w:w="11380"/>
          </w:cols>
          <w:pgMar w:left="240" w:top="175" w:right="279"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175" w:right="2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choose not to seek patent protection in certain countries where the actual cost outweighs the perceived benefit at a certain time;</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issued in foreign jurisdictions may have different scopes of coverage than our U.S. patents and so our products may not receive the same degree of protection in foreign countries as they would in the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USPTO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8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initiation, defense and prosecution of intellectual property suits (including Hatch-Waxman related litigation), interferences, oppositions and related legal and administrative proceedings are costly, time consuming to pursue and result in a diversion of resources, including a significant amount of management time. The outcome of these proceedings is uncertain and could significantly harm our business. If we are not able to enforce and defend the patents of our technologies and products, then we will not be able to exclude competitors from marketing products that directly compete with our products, which could have a material and adverse effect on our business, results of operations, financial condition and cash flows.</w:t>
      </w:r>
    </w:p>
    <w:p>
      <w:pPr>
        <w:spacing w:after="0" w:line="17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For DEFINITY, our fastest growing and highest margin commercial product in 2018, we continue to actively pursue patents in both the U.S. and internationally. In the U.S., we now have an Orange Book-listed method of use patent expiring in March 2037 to augment an Orange Book-listed composition of matter patent expiring in June 2019, and additional manufacturing patents that are not Orange Book-listed expiring in 2021, 2023 and 2037. Outside of the U.S., our DEFINITY patent protection or regulatory exclusivity currently expires in 2019. We were also recently granted a composition of matter patent on the modified formulation of DEFINITY which runs through December 2035. If the modified formulation is approved by the FDA, then this patent would be eligible to be listed in the Orange Book. See Item 1A “Risk Factors - 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w:t>
      </w:r>
    </w:p>
    <w:p>
      <w:pPr>
        <w:spacing w:after="0" w:line="166"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time consuming and resource intensive, and the outcome is unpredictable. In addition, courts outside the U.S.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and adverse effect on our business, results of operations, financial condition and cash flows.</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rely on our trademarks, trade names and brand names to distinguish our products from the products of our competitors, and have registered or applied to register many of these trademarks, including, among others, DEFINITY, Cardiolite, TechneLite, Neurolite, Quadramet, Luminity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75"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73"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 meritorious defenses would exist with respect to any assertions to the contrary, we cannot assure you that we would not be found to infringe on or otherwise violate the proprietary rights of others.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business, results of operations, financial condition and cash flows.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adversely affected by prevailing economic conditions and financial, business and other factors beyond our control.</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and inflationary pressures. We cannot anticipate all the ways in which the current or future economic climate and financial market conditions could adversely impact our business. 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To the extent prevailing economic conditions result in fewer procedures being performed, our business, results of operations, financial condition and cash flows could be adversely affected.</w:t>
      </w:r>
    </w:p>
    <w:p>
      <w:pPr>
        <w:spacing w:after="0" w:line="173"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b w:val="1"/>
          <w:bCs w:val="1"/>
          <w:i w:val="1"/>
          <w:iCs w:val="1"/>
          <w:color w:val="auto"/>
        </w:rPr>
        <w:t>Our business is subject to international economic, political and other risks that could negatively affect our results of operations or financial position.</w:t>
      </w:r>
    </w:p>
    <w:p>
      <w:pPr>
        <w:spacing w:after="0" w:line="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For the years ended December 31, 2018, 2017 and 2016, we derived approximately 16%, 13% and 15% of our revenues from outside the fifty United States, respectively. Accordingly, our business is subject to risks associated with doing business internationally, including:</w:t>
      </w:r>
    </w:p>
    <w:p>
      <w:pPr>
        <w:spacing w:after="0" w:line="62" w:lineRule="exact"/>
        <w:rPr>
          <w:sz w:val="20"/>
          <w:szCs w:val="20"/>
          <w:color w:val="auto"/>
        </w:rPr>
      </w:pPr>
    </w:p>
    <w:p>
      <w:pPr>
        <w:ind w:left="980" w:right="1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stable political and economic environments and changes in a specific country’s or region’s political or economic conditions, including the potential for an unnegotiated exit by the United Kingdom from the EU;</w:t>
      </w:r>
    </w:p>
    <w:p>
      <w:pPr>
        <w:spacing w:after="0" w:line="62" w:lineRule="exact"/>
        <w:rPr>
          <w:rFonts w:ascii="Arial" w:cs="Arial" w:eastAsia="Arial" w:hAnsi="Arial"/>
          <w:sz w:val="18"/>
          <w:szCs w:val="18"/>
          <w:color w:val="auto"/>
        </w:rPr>
      </w:pPr>
    </w:p>
    <w:p>
      <w:pPr>
        <w:ind w:left="980" w:right="260" w:hanging="324"/>
        <w:spacing w:after="0" w:line="31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Entering into, renewing or enforcing commercial agreements with international governments or provincial authorities or entities directly or indirectly owned or controlled by such governments or authorities, such as our Belgian, Australian and South African isotope suppliers, IRE, ANSTO and NTP, and our Chinese development and commercialization partner, Double-Crane Pharmaceutical Company;</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owned or controlled by foreign governments;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business practices which may be in conflict with the U.S. Foreign Corrupt Practices Act and U.K. Bribery 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difficulties in relying on non-U.S. courts to enforce either local or U.S. laws, particularly with respect to intellectual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potential for intellectual property piracy;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75"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1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 including in connection with the recently enacted GDPR in the EU;</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unrest or other catastrophic events;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outside the fifty United States could have a material adverse effect on our business, results of operations, financial condition and cash flows. As our international exposure increases and as we execute our strategy of international expansion, these risks may intensify.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currency and other risks associated with international sales.</w:t>
      </w:r>
    </w:p>
    <w:p>
      <w:pPr>
        <w:spacing w:after="0" w:line="117" w:lineRule="exact"/>
        <w:rPr>
          <w:sz w:val="20"/>
          <w:szCs w:val="20"/>
          <w:color w:val="auto"/>
        </w:rPr>
      </w:pPr>
    </w:p>
    <w:p>
      <w:pPr>
        <w:ind w:right="40" w:firstLine="405"/>
        <w:spacing w:after="0" w:line="218" w:lineRule="exact"/>
        <w:rPr>
          <w:sz w:val="20"/>
          <w:szCs w:val="20"/>
          <w:color w:val="auto"/>
        </w:rPr>
      </w:pPr>
      <w:r>
        <w:rPr>
          <w:rFonts w:ascii="Arial" w:cs="Arial" w:eastAsia="Arial" w:hAnsi="Arial"/>
          <w:sz w:val="16"/>
          <w:szCs w:val="16"/>
          <w:color w:val="auto"/>
        </w:rPr>
        <w:t>We generate revenue from export sales, as well as from operations conducted outside the fifty United States. During the years ended December 31, 2018, 2017 and 2016, the net impact of foreign currency changes on transactions was a loss of $0.6 million, a gain of $0.3 million and a loss of $0.9 million, respectively. Operations outside the U.S. expose us to risks including fluctuations in currency values, trade restrictions, tariff and trade regulations, U.S. export controls, U.S. and non</w:t>
      </w:r>
      <w:r>
        <w:rPr>
          <w:rFonts w:ascii="MS PGothic" w:cs="MS PGothic" w:eastAsia="MS PGothic" w:hAnsi="MS PGothic"/>
          <w:sz w:val="16"/>
          <w:szCs w:val="16"/>
          <w:color w:val="auto"/>
        </w:rPr>
        <w:t>‑</w:t>
      </w:r>
      <w:r>
        <w:rPr>
          <w:rFonts w:ascii="Arial" w:cs="Arial" w:eastAsia="Arial" w:hAnsi="Arial"/>
          <w:sz w:val="16"/>
          <w:szCs w:val="16"/>
          <w:color w:val="auto"/>
        </w:rPr>
        <w:t>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20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With the exception of our United Kingdom subsidiary, the functional currencies of our International Segment subsidiaries are the respective local currencies of each entity. Exchange rates between some of these currencies and the U.S. Dollar have fluctuated significantly in recent years and may do so in the future. Historically, we have not used derivative financial instruments or other financial instruments to hedge against economic exposures related to foreign currencies. However, in the future, we may choose to do so.</w:t>
      </w:r>
    </w:p>
    <w:p>
      <w:pPr>
        <w:spacing w:after="0" w:line="18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b w:val="1"/>
          <w:bCs w:val="1"/>
          <w:i w:val="1"/>
          <w:iCs w:val="1"/>
          <w:color w:val="auto"/>
        </w:rPr>
        <w:t>Many of our customer relationships outside of the U.S. are, either directly or indirectly, with governmental entities, and we could be adversely affected by violations of the FCPA and similar worldwide anti-bribery laws outside the U.S.</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U.S. are, either directly or indirectly, with governmental entities and are therefore subject to the FCPA and similar anti-bribery laws in non-U.S. jurisdictions. In addition, the provisions of the Bribery Act extend beyond bribery of foreign public officials and are more onerous than the FCPA in a number of other respects, including jurisdiction, non-exemption of facilitation payments and penalties.</w:t>
      </w:r>
    </w:p>
    <w:p>
      <w:pPr>
        <w:spacing w:after="0" w:line="19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75"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20" w:firstLine="405"/>
        <w:spacing w:after="0" w:line="277"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 remain competitive in our industry, we must employ information technologies to support manufacturing processes, quality processes, distribution, R&amp;D and regulatory applications and that capture, manage and analyze large streams of data in compliance with applicable regulatory requirements. We rely extensively on technology, some of which is managed by third-party service providers, to allow the concurrent conduct of work sharing around the world. As with all information technology, our equipment and infrastructure age and become subject to increasing maintenance and repair and our systems generally are vulnerable to potential damage or interruptions from fires, natural disasters, power outages, blackouts, machinery breakdown, telecommunications failures and other unexpected events, as well as to break-ins, sabotage, increasingly sophisticated intentional acts of vandalism or cybersecurity threats which, due to the nature of such attacks, may remain undetected for a period of time.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reputation, operations and financial condition.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 disruption in our computer networks, including those related to cybersecurity, could adversely affect our operations or financial position.</w:t>
      </w:r>
    </w:p>
    <w:p>
      <w:pPr>
        <w:spacing w:after="0" w:line="14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rely on our computer networks and systems, some of which are managed by third parties, to manage and store electronic information (including sensitive data such as confidential business information and personally identifiable data relating to employees), and to manage or support a variety of critical business processes and activities. We may face threats to our networks from unauthorized access, security breaches and other system disruptions. Despite our security measures, our infrastructure may be vulnerable to external or internal attacks.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of the security of their orders and personal information, as well as the perception of our manufacturing partners of the security of their proprietary information. In addition, a cybersecurity attack could result in other negative consequences, including disruption of our internal operations, increased cybersecurity protection costs, lost revenue, regulatory actions or litigation. Any disruption of internal operations could also have a material adverse impact on our results of operations, financial condition and cash flows. To date, we have not experienced any material cybersecurity attacks.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may be limited in our ability to utilize, or may not be able to utilize, net operating loss carryforwards to reduce our future tax liability.</w:t>
      </w:r>
    </w:p>
    <w:p>
      <w:pPr>
        <w:spacing w:after="0" w:line="140"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As of December 31, 2018, we had federal income tax loss carryforwards of $207.2 million, which will begin to expire in 2032 and will completely expire in 2037. We may be limited in our ability to use these tax loss carryforwards to reduce our future U.S. federal income tax liabilities if we were to experience another “ownership change” as specified in Section 382 of the Internal Revenue Code including if we were to issue a certain amount of equity securities, certain of our stockholders were to sell shares of our common stock, or we were to enter into certain strategic transactions.</w:t>
      </w:r>
    </w:p>
    <w:p>
      <w:pPr>
        <w:spacing w:after="0" w:line="154"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38"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Competition in our industry for highly skilled scientific, healthcare and sales personnel is intense. Although we have not had any material difficulty in the past in hiring or retaining qualified personnel, if we are unable to retain our existing personnel, or attract and train additional qualified personnel, either because of competition in our industry for these personnel or because of insufficient financial resources, then our growth may be limited and it could have a material adverse effect on our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lose the services of our key personnel, our business could be adversely affected.</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Our success is substantially dependent upon the performance, contributions and expertise of our chief executive officer, executive leadership and senior management team. Mary Anne Heino, our Chief Executive Officer and President, and other members of our executive leadership and senior management team play a significant role in generating new business and retaining existing customers. We have an employment agreement with Ms. Heino and a limited number of other individuals on our executive leadership team, although we cannot prevent them from terminating their employment with us. We do not maintain key person life insurance policies on any of our executive officers. While we have experienced both voluntary and involuntary turnover on our executive leadership team, to date we have been able to attract new, qualified individuals to lead our company and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Capital Structure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75"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62" w:lineRule="exact"/>
        <w:rPr>
          <w:sz w:val="20"/>
          <w:szCs w:val="20"/>
          <w:color w:val="auto"/>
        </w:rPr>
      </w:pPr>
    </w:p>
    <w:p>
      <w:pPr>
        <w:ind w:firstLine="405"/>
        <w:spacing w:after="0" w:line="221" w:lineRule="exact"/>
        <w:rPr>
          <w:sz w:val="20"/>
          <w:szCs w:val="20"/>
          <w:color w:val="auto"/>
        </w:rPr>
      </w:pPr>
      <w:r>
        <w:rPr>
          <w:rFonts w:ascii="Arial" w:cs="Arial" w:eastAsia="Arial" w:hAnsi="Arial"/>
          <w:sz w:val="17"/>
          <w:szCs w:val="17"/>
          <w:color w:val="auto"/>
        </w:rPr>
        <w:t>As of December 31, 2018, we had approximately $270.2 million of total principal indebtedness remaining under our five</w:t>
      </w:r>
      <w:r>
        <w:rPr>
          <w:rFonts w:ascii="MS PGothic" w:cs="MS PGothic" w:eastAsia="MS PGothic" w:hAnsi="MS PGothic"/>
          <w:sz w:val="17"/>
          <w:szCs w:val="17"/>
          <w:color w:val="auto"/>
        </w:rPr>
        <w:t>‑</w:t>
      </w:r>
      <w:r>
        <w:rPr>
          <w:rFonts w:ascii="Arial" w:cs="Arial" w:eastAsia="Arial" w:hAnsi="Arial"/>
          <w:sz w:val="17"/>
          <w:szCs w:val="17"/>
          <w:color w:val="auto"/>
        </w:rPr>
        <w:t>year secured term loan facility, which matures on June 30, 2022 (the “2017 Term Facility”) and availability under our Revolving Facility (the “2017 Revolving Facility” and, together with the 2017 Term Facility, the “2017 Facility”) of $75.0 million. Our substantial indebtedness and any future indebtedness we incur could:</w:t>
      </w:r>
    </w:p>
    <w:p>
      <w:pPr>
        <w:spacing w:after="0" w:line="94"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 from operations to the payment of interest on and principal of our indebtedness, thereby reducing the funds available for other purposes;</w:t>
      </w:r>
    </w:p>
    <w:p>
      <w:pPr>
        <w:spacing w:after="0" w:line="62"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it more difficult for us to satisfy and comply with our obligations with respect to our outstanding indebtedness, namely the payment of interest and principal;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it more difficult to refinance the outstanding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us to increased sensitivity to interest rate increases;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us more vulnerable to economic downturns, adverse industry or company conditions or catastrophic external events;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our flexibility in planning for or responding to changing business, industry and economic conditions;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to competitors that have relatively less debt than we have.</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117" w:lineRule="exact"/>
        <w:rPr>
          <w:sz w:val="20"/>
          <w:szCs w:val="20"/>
          <w:color w:val="auto"/>
        </w:rPr>
      </w:pPr>
    </w:p>
    <w:p>
      <w:pPr>
        <w:ind w:right="180" w:firstLine="405"/>
        <w:spacing w:after="0" w:line="269" w:lineRule="auto"/>
        <w:rPr>
          <w:sz w:val="20"/>
          <w:szCs w:val="20"/>
          <w:color w:val="auto"/>
        </w:rPr>
      </w:pPr>
      <w:r>
        <w:rPr>
          <w:rFonts w:ascii="Arial" w:cs="Arial" w:eastAsia="Arial" w:hAnsi="Arial"/>
          <w:sz w:val="17"/>
          <w:szCs w:val="17"/>
          <w:color w:val="auto"/>
        </w:rPr>
        <w:t>Our ability to generate sufficient cash flow from operations to make scheduled payments on our debt obligations will depend on our future financial performance, which will be affected by a range of economic, competitive and business factors, many of which are outside of our control. If we do not generate sufficient cash flow from operations to satisfy our debt obligations, including interest and principal payments, our credit ratings could be downgraded, and we may have to undertake alternative financing plans, such as refinancing or restructuring our debt, selling assets, entering into additional corporate collaborations or licensing arrangements for one or more of our products or agents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Despite our substantial indebtedness, we may incur more debt, which could exacerbate the risks described above.</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We and our subsidiaries may be able to incur substantial additional indebtedness in the future subject to the limitations contained in the agreements governing our debt, including the 2017 Facility.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See Part II, Item 7. “Management’s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2017 Facility will not prevent us from incurring obligations that do not constitute indebtedness under the agreements.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2017 Facility contains restrictions that will limit our flexibility in operating our business.</w:t>
      </w:r>
    </w:p>
    <w:p>
      <w:pPr>
        <w:spacing w:after="0" w:line="11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2017 Facility contains various covenants that limit our ability to engage in specified types of transactions. These covenants limit our and our restricted subsidiaries’ ability to, among other things:</w:t>
      </w:r>
    </w:p>
    <w:p>
      <w:pPr>
        <w:spacing w:after="0" w:line="6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net leverage above certain specified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ectPr>
          <w:pgSz w:w="11900" w:h="16838" w:orient="portrait"/>
          <w:cols w:equalWidth="0" w:num="1">
            <w:col w:w="11400"/>
          </w:cols>
          <w:pgMar w:left="240" w:top="17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75"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Redeem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 breach of any of these covenants could result in a default under the 2017 Facility. We may also be unable to take advantage of business opportunities that arise because of the limitations imposed on us by the restrictive covenants under our indebtedness.</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U.S. credit markets may impact our ability to obtain financing or increase the cost of future financing, including interest rate fluctuations based on macroeconomic conditions that are beyond our control.</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periods of volatility and disruption in the U.S., European, or global credit markets, obtaining additional or replacement financing may be more difficult and the cost of issuing new debt or replacing our 2017 Facility could be higher than under our current 2017 Facility. Higher cost of new debt may limit our ability to have cash on hand for working capital, capital expenditures and acquisitions on terms that are acceptable to us. Additionally, our 2017 Facility has variable interest rates.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19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Our stock price could fluctuate significantly, which could cause the value of your investment to decline, and you may not be able to resell your shares at or above your purchase price.</w:t>
      </w:r>
    </w:p>
    <w:p>
      <w:pPr>
        <w:spacing w:after="0" w:line="62"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trading price of our common stock is likely to be volatile and subject to wide price fluctuations in response to various factors, including:</w:t>
      </w:r>
    </w:p>
    <w:p>
      <w:pPr>
        <w:spacing w:after="0" w:line="39"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 perceptions of us and the medical technology and pharmaceutical industries;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or introductions of new products or services by us or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intellectual property protections;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2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also decline.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currently intend to retain our future earnings, if any, for the foreseeable future, to repay indebtedness and to fund the development and growth of our business. We do not intend to pay any dividends to holders of our common stock and the agreements governing our senior secured credit facilities limit our ability to pay dividends. As a result, capital appreciation in the price of our common stock, if any, will be your only source of gain on an investment in our common stock. See Part II, Item 5. “Market for Registrant’s Common Equity, Related Stockholder Matters and Issuer Purchases of Equity Securities— Dividend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Square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Lease Term</w:t>
            </w:r>
          </w:p>
        </w:tc>
      </w:tr>
      <w:tr>
        <w:trPr>
          <w:trHeight w:val="234"/>
        </w:trPr>
        <w:tc>
          <w:tcPr>
            <w:tcW w:w="1620" w:type="dxa"/>
            <w:vAlign w:val="bottom"/>
            <w:gridSpan w:val="2"/>
          </w:tcPr>
          <w:p>
            <w:pPr>
              <w:ind w:left="420"/>
              <w:spacing w:after="0"/>
              <w:rPr>
                <w:sz w:val="20"/>
                <w:szCs w:val="20"/>
                <w:color w:val="auto"/>
              </w:rPr>
            </w:pPr>
            <w:r>
              <w:rPr>
                <w:rFonts w:ascii="Arial" w:cs="Arial" w:eastAsia="Arial" w:hAnsi="Arial"/>
                <w:sz w:val="18"/>
                <w:szCs w:val="18"/>
                <w:b w:val="1"/>
                <w:bCs w:val="1"/>
                <w:color w:val="auto"/>
              </w:rPr>
              <w:t>Location</w:t>
            </w:r>
          </w:p>
        </w:tc>
        <w:tc>
          <w:tcPr>
            <w:tcW w:w="4700" w:type="dxa"/>
            <w:vAlign w:val="bottom"/>
            <w:gridSpan w:val="2"/>
          </w:tcPr>
          <w:p>
            <w:pPr>
              <w:ind w:left="1960"/>
              <w:spacing w:after="0"/>
              <w:rPr>
                <w:sz w:val="20"/>
                <w:szCs w:val="20"/>
                <w:color w:val="auto"/>
              </w:rPr>
            </w:pPr>
            <w:r>
              <w:rPr>
                <w:rFonts w:ascii="Arial" w:cs="Arial" w:eastAsia="Arial" w:hAnsi="Arial"/>
                <w:sz w:val="18"/>
                <w:szCs w:val="18"/>
                <w:b w:val="1"/>
                <w:bCs w:val="1"/>
                <w:color w:val="auto"/>
              </w:rPr>
              <w:t>Purpose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Footage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End</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b w:val="1"/>
                <w:bCs w:val="1"/>
                <w:color w:val="auto"/>
              </w:rPr>
              <w:t>U.S.</w:t>
            </w:r>
          </w:p>
        </w:tc>
        <w:tc>
          <w:tcPr>
            <w:tcW w:w="45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r>
      <w:tr>
        <w:trPr>
          <w:trHeight w:val="229"/>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North Billerica,</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w w:val="98"/>
              </w:rPr>
              <w:t>Corporate Headquarters, Manufacturing, Laboratory, Mixed</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U.S. Segment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431,000</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Massachusetts</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Use and Other Office Space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2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b w:val="1"/>
                <w:bCs w:val="1"/>
                <w:color w:val="auto"/>
              </w:rPr>
              <w:t>Canada</w:t>
            </w:r>
          </w:p>
        </w:tc>
        <w:tc>
          <w:tcPr>
            <w:tcW w:w="45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r>
      <w:tr>
        <w:trPr>
          <w:trHeight w:val="229"/>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Quebec</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Mixed Use and Office Space</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International</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Leased</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April 2019</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Segment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1620" w:type="dxa"/>
            <w:vAlign w:val="bottom"/>
            <w:gridSpan w:val="2"/>
            <w:shd w:val="clear" w:color="auto" w:fill="BFE4FF"/>
          </w:tcPr>
          <w:p>
            <w:pPr>
              <w:ind w:left="40"/>
              <w:spacing w:after="0"/>
              <w:rPr>
                <w:sz w:val="20"/>
                <w:szCs w:val="20"/>
                <w:color w:val="auto"/>
              </w:rPr>
            </w:pPr>
            <w:r>
              <w:rPr>
                <w:rFonts w:ascii="Arial" w:cs="Arial" w:eastAsia="Arial" w:hAnsi="Arial"/>
                <w:sz w:val="18"/>
                <w:szCs w:val="18"/>
                <w:color w:val="auto"/>
              </w:rPr>
              <w:t>Quebec</w:t>
            </w:r>
          </w:p>
        </w:tc>
        <w:tc>
          <w:tcPr>
            <w:tcW w:w="47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Distribution Center and Office Space</w:t>
            </w:r>
          </w:p>
        </w:tc>
        <w:tc>
          <w:tcPr>
            <w:tcW w:w="1380" w:type="dxa"/>
            <w:vAlign w:val="bottom"/>
            <w:gridSpan w:val="2"/>
            <w:shd w:val="clear" w:color="auto" w:fill="BFE4FF"/>
          </w:tcPr>
          <w:p>
            <w:pPr>
              <w:jc w:val="center"/>
              <w:ind w:right="180"/>
              <w:spacing w:after="0"/>
              <w:rPr>
                <w:sz w:val="20"/>
                <w:szCs w:val="20"/>
                <w:color w:val="auto"/>
              </w:rPr>
            </w:pPr>
            <w:r>
              <w:rPr>
                <w:rFonts w:ascii="Arial" w:cs="Arial" w:eastAsia="Arial" w:hAnsi="Arial"/>
                <w:sz w:val="18"/>
                <w:szCs w:val="18"/>
                <w:color w:val="auto"/>
                <w:w w:val="92"/>
              </w:rPr>
              <w:t>International</w:t>
            </w:r>
          </w:p>
        </w:tc>
        <w:tc>
          <w:tcPr>
            <w:tcW w:w="11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BFE4FF"/>
          </w:tcPr>
          <w:p>
            <w:pPr>
              <w:spacing w:after="0"/>
              <w:rPr>
                <w:sz w:val="19"/>
                <w:szCs w:val="19"/>
                <w:color w:val="auto"/>
              </w:rPr>
            </w:pPr>
          </w:p>
        </w:tc>
        <w:tc>
          <w:tcPr>
            <w:tcW w:w="124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87"/>
              </w:rPr>
              <w:t>Leased</w:t>
            </w: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1"/>
              </w:rPr>
              <w:t>May 2019</w:t>
            </w:r>
          </w:p>
        </w:tc>
      </w:tr>
      <w:tr>
        <w:trPr>
          <w:trHeight w:val="237"/>
        </w:trPr>
        <w:tc>
          <w:tcPr>
            <w:tcW w:w="15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5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8"/>
                <w:szCs w:val="18"/>
                <w:color w:val="auto"/>
                <w:w w:val="88"/>
              </w:rPr>
              <w:t>Segment</w:t>
            </w:r>
          </w:p>
        </w:tc>
        <w:tc>
          <w:tcPr>
            <w:tcW w:w="11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240" w:type="dxa"/>
            <w:vAlign w:val="bottom"/>
            <w:tcBorders>
              <w:bottom w:val="single" w:sz="8" w:color="BFE4FF"/>
            </w:tcBorders>
            <w:shd w:val="clear" w:color="auto" w:fill="BFE4FF"/>
          </w:tcPr>
          <w:p>
            <w:pPr>
              <w:spacing w:after="0"/>
              <w:rPr>
                <w:sz w:val="20"/>
                <w:szCs w:val="20"/>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Puerto Rico</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1620" w:type="dxa"/>
            <w:vAlign w:val="bottom"/>
            <w:gridSpan w:val="2"/>
            <w:shd w:val="clear" w:color="auto" w:fill="BFE4FF"/>
          </w:tcPr>
          <w:p>
            <w:pPr>
              <w:ind w:left="40"/>
              <w:spacing w:after="0"/>
              <w:rPr>
                <w:sz w:val="20"/>
                <w:szCs w:val="20"/>
                <w:color w:val="auto"/>
              </w:rPr>
            </w:pPr>
            <w:r>
              <w:rPr>
                <w:rFonts w:ascii="Arial" w:cs="Arial" w:eastAsia="Arial" w:hAnsi="Arial"/>
                <w:sz w:val="18"/>
                <w:szCs w:val="18"/>
                <w:color w:val="auto"/>
              </w:rPr>
              <w:t>San Juan</w:t>
            </w:r>
          </w:p>
        </w:tc>
        <w:tc>
          <w:tcPr>
            <w:tcW w:w="47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Manufacturing, Laboratory, Mixed Use and Office Space</w:t>
            </w:r>
          </w:p>
        </w:tc>
        <w:tc>
          <w:tcPr>
            <w:tcW w:w="1380" w:type="dxa"/>
            <w:vAlign w:val="bottom"/>
            <w:gridSpan w:val="2"/>
            <w:shd w:val="clear" w:color="auto" w:fill="BFE4FF"/>
          </w:tcPr>
          <w:p>
            <w:pPr>
              <w:jc w:val="center"/>
              <w:ind w:right="180"/>
              <w:spacing w:after="0"/>
              <w:rPr>
                <w:sz w:val="20"/>
                <w:szCs w:val="20"/>
                <w:color w:val="auto"/>
              </w:rPr>
            </w:pPr>
            <w:r>
              <w:rPr>
                <w:rFonts w:ascii="Arial" w:cs="Arial" w:eastAsia="Arial" w:hAnsi="Arial"/>
                <w:sz w:val="18"/>
                <w:szCs w:val="18"/>
                <w:color w:val="auto"/>
                <w:w w:val="92"/>
              </w:rPr>
              <w:t>International</w:t>
            </w:r>
          </w:p>
        </w:tc>
        <w:tc>
          <w:tcPr>
            <w:tcW w:w="11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9,550</w:t>
            </w:r>
          </w:p>
        </w:tc>
        <w:tc>
          <w:tcPr>
            <w:tcW w:w="120" w:type="dxa"/>
            <w:vAlign w:val="bottom"/>
            <w:shd w:val="clear" w:color="auto" w:fill="BFE4FF"/>
          </w:tcPr>
          <w:p>
            <w:pPr>
              <w:spacing w:after="0"/>
              <w:rPr>
                <w:sz w:val="19"/>
                <w:szCs w:val="19"/>
                <w:color w:val="auto"/>
              </w:rPr>
            </w:pPr>
          </w:p>
        </w:tc>
        <w:tc>
          <w:tcPr>
            <w:tcW w:w="124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87"/>
              </w:rPr>
              <w:t>Leased</w:t>
            </w: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1"/>
              </w:rPr>
              <w:t>October 2024</w:t>
            </w:r>
          </w:p>
        </w:tc>
      </w:tr>
      <w:tr>
        <w:trPr>
          <w:trHeight w:val="230"/>
        </w:trPr>
        <w:tc>
          <w:tcPr>
            <w:tcW w:w="15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458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380" w:type="dxa"/>
            <w:vAlign w:val="bottom"/>
            <w:gridSpan w:val="2"/>
            <w:shd w:val="clear" w:color="auto" w:fill="BFE4FF"/>
          </w:tcPr>
          <w:p>
            <w:pPr>
              <w:jc w:val="center"/>
              <w:ind w:right="140"/>
              <w:spacing w:after="0"/>
              <w:rPr>
                <w:sz w:val="20"/>
                <w:szCs w:val="20"/>
                <w:color w:val="auto"/>
              </w:rPr>
            </w:pPr>
            <w:r>
              <w:rPr>
                <w:rFonts w:ascii="Arial" w:cs="Arial" w:eastAsia="Arial" w:hAnsi="Arial"/>
                <w:sz w:val="18"/>
                <w:szCs w:val="18"/>
                <w:color w:val="auto"/>
                <w:w w:val="88"/>
              </w:rPr>
              <w:t>Segment</w:t>
            </w:r>
          </w:p>
        </w:tc>
        <w:tc>
          <w:tcPr>
            <w:tcW w:w="112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240" w:type="dxa"/>
            <w:vAlign w:val="bottom"/>
            <w:shd w:val="clear" w:color="auto" w:fill="BFE4FF"/>
          </w:tcPr>
          <w:p>
            <w:pPr>
              <w:spacing w:after="0"/>
              <w:rPr>
                <w:sz w:val="20"/>
                <w:szCs w:val="20"/>
                <w:color w:val="auto"/>
              </w:rPr>
            </w:pPr>
          </w:p>
        </w:tc>
      </w:tr>
      <w:tr>
        <w:trPr>
          <w:trHeight w:val="27"/>
        </w:trPr>
        <w:tc>
          <w:tcPr>
            <w:tcW w:w="15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5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4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believe all of these facilities are well-maintained and suitable for the office, radiopharmacy, manufacturing or warehouse operations conducted in them and provide adequate capacity for current and foreseeable future needs.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From time to time, we are a party to various legal proceedings arising in the ordinary course of business. In addition, we have in the past been, and may in the future be, subject to investigations by governmental and regulatory authorities which expose us to greater risks associated with litigation, regulatory or other proceedings, as a result of which we could be required to pay significant fines or penalties. The costs and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9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are currently in arbitration with Pharmalucence in connection with a Manufacturing and Supply Agreement dated November 12, 2013, under which Pharmalucence agreed to manufacture and supply DEFINITY for us. The commercial arrangement contemplated by that agreement was repeatedly delayed and ultimately never successfully realized. After extended settlement discussions between Sun Pharma, the ultimate parent of Pharmalucence, and us, which did not lead to a mutually acceptable outcome, on November 10, 2017, we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We are seeking monetary damages but cannot predict the outcome of this dispute resolution proceeding and whether we will be able to obtain any financial recovery as a result of this proceeding.</w:t>
      </w:r>
    </w:p>
    <w:p>
      <w:pPr>
        <w:spacing w:after="0" w:line="16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December 31, 2018, except as disclosed above we had no material ongoing litigation in which we were a party. In addition, we had no material ongoing regulatory or other proceeding and no knowledge of any investigations by governmental or regulatory authorities in which we are a target, in either case that we believe could have a material and adverse effect on our current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75"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405"/>
        <w:spacing w:after="0" w:line="277" w:lineRule="auto"/>
        <w:rPr>
          <w:sz w:val="20"/>
          <w:szCs w:val="20"/>
          <w:color w:val="auto"/>
        </w:rPr>
      </w:pPr>
      <w:r>
        <w:rPr>
          <w:rFonts w:ascii="Arial" w:cs="Arial" w:eastAsia="Arial" w:hAnsi="Arial"/>
          <w:sz w:val="18"/>
          <w:szCs w:val="18"/>
          <w:color w:val="auto"/>
        </w:rPr>
        <w:t>The Company’s common stock began trading on the NASDAQ Global Market under the symbol “LNTH” on June 25, 2015. Prior to that time, there was no established public trading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February 15, 2019, there were approximately 11 stockholders of record of our common stock. This number does not include stockholders for whom shares are held in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following graph provides a comparison of the cumulative total shareholder return on our common shares with that of the cumulative total shareholder return on the (i) Russell 2000 Index and (ii) the NASDAQ US Small Cap Index, commencing on June 25, 2015 and ending December 31, 2018. The graph assumes a hypothetical $100 investment in our common stock and in each of the comparative indices on June 25, 2015.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127635</wp:posOffset>
            </wp:positionV>
            <wp:extent cx="514540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 Assumes hypothetical investment of $100 in our common stock and each of the indices on June 25, 2015, the date of our IPO, including reinvestment of dividends.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sets forth the cumulative total shareholder return on the hypothetical $100 investment in the Company’s common stock and each of the comparative indices on June 25, 2015:</w:t>
      </w:r>
    </w:p>
    <w:p>
      <w:pPr>
        <w:spacing w:after="0" w:line="112"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NASDAQ US Small</w:t>
            </w: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Lantheus Holdings,</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Russell 2000 Index</w:t>
            </w:r>
          </w:p>
        </w:tc>
        <w:tc>
          <w:tcPr>
            <w:tcW w:w="24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Cap Index</w:t>
            </w:r>
          </w:p>
        </w:tc>
      </w:tr>
      <w:tr>
        <w:trPr>
          <w:trHeight w:val="234"/>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Inc. (“LNTH”)</w:t>
            </w: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(“^RUT”)</w:t>
            </w:r>
          </w:p>
        </w:tc>
        <w:tc>
          <w:tcPr>
            <w:tcW w:w="24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(“^NQUSS”)</w:t>
            </w:r>
          </w:p>
        </w:tc>
      </w:tr>
      <w:tr>
        <w:trPr>
          <w:trHeight w:val="27"/>
        </w:trPr>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06/25/15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12/31/15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88.24</w:t>
            </w:r>
          </w:p>
        </w:tc>
      </w:tr>
      <w:tr>
        <w:trPr>
          <w:trHeight w:val="27"/>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12/31/16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12/31/17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302.07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119.31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122.28</w:t>
            </w:r>
          </w:p>
        </w:tc>
      </w:tr>
      <w:tr>
        <w:trPr>
          <w:trHeight w:val="27"/>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w:t>
            </w:r>
          </w:p>
        </w:tc>
      </w:tr>
      <w:tr>
        <w:trPr>
          <w:trHeight w:val="27"/>
        </w:trPr>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II, Item 7. “Management’s Discussion and Analysis of Financial Condition and Results of Operations— Liquidity and Capital Resources—External Sources of Liquidity”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following table presents information with respect to purchases of common stock we made during the quarter ended December 31, 2018. The Company does not currently have a share repurchase program in effect. The 2015 Equity Incentive Plan, adopted by the Company on June 24, 2015, as amended on April 26, 2016 and as further amended on April 27, 2017,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5. Starting in 2019, we will require certain senior executives to cover tax liabilities resulting from the vesting of their equity awards pursuant to sell-to-cover transactions under 10b5-1 plans.</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Average Price Paid per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May Yet Be Purchased</w:t>
            </w:r>
          </w:p>
        </w:tc>
      </w:tr>
      <w:tr>
        <w:trPr>
          <w:trHeight w:val="234"/>
        </w:trPr>
        <w:tc>
          <w:tcPr>
            <w:tcW w:w="1880" w:type="dxa"/>
            <w:vAlign w:val="bottom"/>
            <w:gridSpan w:val="2"/>
          </w:tcPr>
          <w:p>
            <w:pPr>
              <w:ind w:left="64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Under the Program</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2018 **</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November 2018 **</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2018 **</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5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8890</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8890</wp:posOffset>
            </wp:positionV>
            <wp:extent cx="1174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-130175</wp:posOffset>
            </wp:positionV>
            <wp:extent cx="1440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-130175</wp:posOffset>
            </wp:positionV>
            <wp:extent cx="1174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 w:lineRule="exact"/>
        <w:rPr>
          <w:sz w:val="20"/>
          <w:szCs w:val="20"/>
          <w:color w:val="auto"/>
        </w:rPr>
      </w:pPr>
    </w:p>
    <w:p>
      <w:pPr>
        <w:ind w:left="960" w:hanging="30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are not applicable as the Company does not have a share repurchase program in effect.</w:t>
      </w:r>
    </w:p>
    <w:p>
      <w:pPr>
        <w:spacing w:after="0" w:line="9" w:lineRule="exact"/>
        <w:rPr>
          <w:sz w:val="20"/>
          <w:szCs w:val="20"/>
          <w:color w:val="auto"/>
        </w:rPr>
      </w:pPr>
    </w:p>
    <w:p>
      <w:pPr>
        <w:ind w:left="660" w:right="540" w:hanging="4"/>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receipt of stock which resulted from the exercise for vesting of equity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Compensations Plans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with respect to this item is incorporated herein by reference to our Definitive Proxy Statement for our 2019 Annual Meeting of Stockholders to be filed with the SEC no later than 120 days after the close of our year ended December 31, 2018.</w:t>
      </w:r>
    </w:p>
    <w:p>
      <w:pPr>
        <w:sectPr>
          <w:pgSz w:w="11900" w:h="16838" w:orient="portrait"/>
          <w:cols w:equalWidth="0" w:num="1">
            <w:col w:w="11400"/>
          </w:cols>
          <w:pgMar w:left="240" w:top="175" w:right="25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75"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Information</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consolidated financial statements have been prepared in U.S. Dollars, in accordance with accounting principles generally accepted in the United States of America (“U.S. GAAP”). The consolidated financial statements include the accounts of Lantheus Holdings, Inc. (“Holdings”) and its wholly-owned subsidiaries.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the table below, we provide you with our selected consolidated financial data for the periods presented. We have prepared this information using our audited consolidated financial statements for the years ended December 31, 2018, 2017, 2016, 2015 and 2014.</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following selected consolidated financial information should be read in conjunction with our consolidated financial statements, the related notes and Part II, Item 7. “Management’s Discussion and Analysis of Financial Condition and Results of Operations” included elsewhere in this Annual Report on Form 10-K. The results indicated below and elsewhere in this Annual Report on Form 10-K are not necessarily indicative of results to be expected for any future period.</w:t>
      </w:r>
    </w:p>
    <w:p>
      <w:pPr>
        <w:spacing w:after="0" w:line="129"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22860</wp:posOffset>
            </wp:positionV>
            <wp:extent cx="4716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8"/>
            <w:shd w:val="clear" w:color="auto" w:fill="CCEEFF"/>
          </w:tcPr>
          <w:p>
            <w:pPr>
              <w:ind w:left="460"/>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343,374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331,378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301,853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293,461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301,600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176,081</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35,116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37,313</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39,417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Debt retirement costs</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5"/>
                <w:szCs w:val="25"/>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69"/>
        </w:trPr>
        <w:tc>
          <w:tcPr>
            <w:tcW w:w="3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67"/>
        </w:trPr>
        <w:tc>
          <w:tcPr>
            <w:tcW w:w="3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67"/>
        </w:trPr>
        <w:tc>
          <w:tcPr>
            <w:tcW w:w="3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300" w:right="320" w:hanging="644"/>
        <w:spacing w:after="0" w:line="255" w:lineRule="auto"/>
        <w:tabs>
          <w:tab w:leader="none" w:pos="1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2017 amount reflects the release of our valuation allowance of $141.1 million against its deferred tax assets offset by a provision of $45.1 million for remeasuring the Company’s deferred tax assets for the change in tax rates enacted under the Tax Cuts and Jobs Act of 2017.</w:t>
      </w:r>
    </w:p>
    <w:p>
      <w:pPr>
        <w:spacing w:after="0" w:line="295"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22860</wp:posOffset>
            </wp:positionV>
            <wp:extent cx="4776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Cash Flows Data</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61,193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54,777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49,642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11,590</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(19,132)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3,281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(7,682)</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20,132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17,543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7,398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13,151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8,137</w:t>
            </w:r>
          </w:p>
        </w:tc>
      </w:tr>
    </w:tbl>
    <w:p>
      <w:pPr>
        <w:spacing w:after="0" w:line="200" w:lineRule="exact"/>
        <w:rPr>
          <w:sz w:val="20"/>
          <w:szCs w:val="20"/>
          <w:color w:val="auto"/>
        </w:rPr>
      </w:pPr>
    </w:p>
    <w:p>
      <w:pPr>
        <w:sectPr>
          <w:pgSz w:w="11900" w:h="16838" w:orient="portrait"/>
          <w:cols w:equalWidth="0" w:num="1">
            <w:col w:w="11420"/>
          </w:cols>
          <w:pgMar w:left="240" w:top="175" w:right="239" w:bottom="1027"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75" w:right="239" w:bottom="1027"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912"/>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13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113,401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76,290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51,178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28,596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19,739</w:t>
            </w:r>
          </w:p>
        </w:tc>
      </w:tr>
      <w:tr>
        <w:trPr>
          <w:trHeight w:val="27"/>
        </w:trPr>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439,831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255,898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242,379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243,153</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263,709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265,393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274,460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349,858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392,863</w:t>
            </w:r>
          </w:p>
        </w:tc>
      </w:tr>
      <w:tr>
        <w:trPr>
          <w:trHeight w:val="27"/>
        </w:trPr>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368,829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360,567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362,414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427,668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482,423</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71,002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23,291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(106,516)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(185,289)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(239,270)</w:t>
            </w:r>
          </w:p>
        </w:tc>
      </w:tr>
      <w:tr>
        <w:trPr>
          <w:trHeight w:val="70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820"/>
          </w:cols>
          <w:pgMar w:left="240" w:top="162" w:right="8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Item 6, “Selected Financial Data” and the consolidated financial statements and the related notes included in Item 8 of this Annual Report on Form 10-K.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in Part I—Item 1A. “Risk Factors” and “Cautionary Note Regarding Forward Looking Statements.” included in this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88"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sell our products globally and operate our business in two reportable segments, which are further described below:</w:t>
      </w:r>
    </w:p>
    <w:p>
      <w:pPr>
        <w:spacing w:after="0" w:line="117" w:lineRule="exact"/>
        <w:rPr>
          <w:sz w:val="20"/>
          <w:szCs w:val="20"/>
          <w:color w:val="auto"/>
        </w:rPr>
      </w:pPr>
    </w:p>
    <w:p>
      <w:pPr>
        <w:ind w:left="980" w:right="1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U.S. Segment </w:t>
      </w:r>
      <w:r>
        <w:rPr>
          <w:rFonts w:ascii="Arial" w:cs="Arial" w:eastAsia="Arial" w:hAnsi="Arial"/>
          <w:sz w:val="18"/>
          <w:szCs w:val="18"/>
          <w:color w:val="auto"/>
        </w:rPr>
        <w:t>produces and markets our medical imaging agents and products throughout the U.S. In the U.S., we primarily sell our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radiopharmacies, integrated delivery networks, hospitals, clinics and group practices.</w:t>
      </w:r>
    </w:p>
    <w:p>
      <w:pPr>
        <w:spacing w:after="0" w:line="62"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Segment </w:t>
      </w:r>
      <w:r>
        <w:rPr>
          <w:rFonts w:ascii="Arial" w:cs="Arial" w:eastAsia="Arial" w:hAnsi="Arial"/>
          <w:sz w:val="18"/>
          <w:szCs w:val="18"/>
          <w:color w:val="auto"/>
        </w:rPr>
        <w:t>operations consist of production and distribution activities in Puerto Rico and some direct distribution activities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Additionally, within our International Segment, we have established and maintain third-party distribution relationships under which our products are marketed and sold in Europe, Canada, Australia, Asia-Pacific and Latin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portfolio includes an ultrasound contrast agent and nuclear imaging products. Our principal products include the following:</w:t>
      </w:r>
    </w:p>
    <w:p>
      <w:pPr>
        <w:spacing w:after="0" w:line="117" w:lineRule="exact"/>
        <w:rPr>
          <w:sz w:val="20"/>
          <w:szCs w:val="20"/>
          <w:color w:val="auto"/>
        </w:rPr>
      </w:pPr>
    </w:p>
    <w:p>
      <w:pPr>
        <w:ind w:left="980" w:right="2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DEFINITY </w:t>
      </w:r>
      <w:r>
        <w:rPr>
          <w:rFonts w:ascii="Arial" w:cs="Arial" w:eastAsia="Arial" w:hAnsi="Arial"/>
          <w:sz w:val="18"/>
          <w:szCs w:val="18"/>
          <w:color w:val="auto"/>
        </w:rPr>
        <w:t>is a microbubble contrast agent used in ultrasound exams of the heart, also known as echocardiography exams. DEFINITY contains</w:t>
      </w:r>
      <w:r>
        <w:rPr>
          <w:rFonts w:ascii="Arial" w:cs="Arial" w:eastAsia="Arial" w:hAnsi="Arial"/>
          <w:sz w:val="18"/>
          <w:szCs w:val="18"/>
          <w:i w:val="1"/>
          <w:iCs w:val="1"/>
          <w:color w:val="auto"/>
        </w:rPr>
        <w:t xml:space="preserve"> </w:t>
      </w:r>
      <w:r>
        <w:rPr>
          <w:rFonts w:ascii="Arial" w:cs="Arial" w:eastAsia="Arial" w:hAnsi="Arial"/>
          <w:sz w:val="18"/>
          <w:szCs w:val="18"/>
          <w:color w:val="auto"/>
        </w:rPr>
        <w:t>perflutren-containing lipid microspheres and is indicated in the U.S. for use in patients with suboptimal echocardiograms to assist in imaging the left ventricular chamber and left endocardial border of the heart in ultrasound procedures.</w:t>
      </w:r>
    </w:p>
    <w:p>
      <w:pPr>
        <w:spacing w:after="0" w:line="73"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TechneLite </w:t>
      </w:r>
      <w:r>
        <w:rPr>
          <w:rFonts w:ascii="Arial" w:cs="Arial" w:eastAsia="Arial" w:hAnsi="Arial"/>
          <w:sz w:val="16"/>
          <w:szCs w:val="16"/>
          <w:color w:val="auto"/>
        </w:rPr>
        <w:t>is a Technetium generator that provides the essential nuclear material used by radiopharmacies to radiolabel Cardiolite, Neurolite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Technetium-based radiopharmaceuticals used in nuclear medicine procedures. TechneLite uses Moly as its active ingredient.</w:t>
      </w:r>
    </w:p>
    <w:p>
      <w:pPr>
        <w:spacing w:after="0" w:line="12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Sales of our microbubble contrast agent, DEFINITY, are made in the U.S. and Canada through a DEFINITY direct sales team. In the U.S., our nuclear imaging products, including TechneLite, Xenon, Neurolite and Cardiolite, are primarily distributed through commercial radiopharmacies, the majority of which are controlled by or associated with Cardinal, UPPI, GE Healthcare and JDI. A small portion of our nuclear imaging product sales in the U.S. are made through our direct sales force to hospitals and clinics that maintain their own in-house radiopharmaceutical preparation capabilities. We own one radiopharmacy in Puerto Rico, where we sell our own products as well as products of third-parties to end-users.</w:t>
      </w:r>
    </w:p>
    <w:p>
      <w:pPr>
        <w:spacing w:after="0" w:line="173"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We also maintain our own direct sales force in Canada for certain customers so that we can control the importation, marketing, distribution and sale of our imaging agents in Canada in this sales channel. In Europe, Australia, Asia-Pacific and Latin America, we rely on third-party distributors to market, sell and distribute our nuclear imaging and contrast agent products, either on a country-by-country basis or on a multi-country regional basis.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revenues derived from our principal products:</w:t>
      </w:r>
    </w:p>
    <w:p>
      <w:pPr>
        <w:spacing w:after="0" w:line="200" w:lineRule="exact"/>
        <w:rPr>
          <w:sz w:val="20"/>
          <w:szCs w:val="20"/>
          <w:color w:val="auto"/>
        </w:rPr>
      </w:pPr>
    </w:p>
    <w:p>
      <w:pPr>
        <w:spacing w:after="0" w:line="22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22860</wp:posOffset>
            </wp:positionV>
            <wp:extent cx="4956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 of</w:t>
            </w:r>
          </w:p>
        </w:tc>
      </w:tr>
      <w:tr>
        <w:trPr>
          <w:trHeight w:val="234"/>
        </w:trPr>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r>
      <w:tr>
        <w:trPr>
          <w:trHeight w:val="27"/>
        </w:trPr>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1460" w:type="dxa"/>
            <w:vAlign w:val="bottom"/>
          </w:tcPr>
          <w:p>
            <w:pPr>
              <w:ind w:left="40"/>
              <w:spacing w:after="0"/>
              <w:rPr>
                <w:sz w:val="20"/>
                <w:szCs w:val="20"/>
                <w:color w:val="auto"/>
              </w:rPr>
            </w:pPr>
            <w:r>
              <w:rPr>
                <w:rFonts w:ascii="Arial" w:cs="Arial" w:eastAsia="Arial" w:hAnsi="Arial"/>
                <w:sz w:val="18"/>
                <w:szCs w:val="18"/>
                <w:color w:val="auto"/>
              </w:rPr>
              <w:t>TechneLite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98,858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104,644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14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343,374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331,378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301,853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17145</wp:posOffset>
            </wp:positionV>
            <wp:extent cx="49568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-130175</wp:posOffset>
            </wp:positionV>
            <wp:extent cx="49568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3" w:lineRule="exact"/>
        <w:rPr>
          <w:sz w:val="20"/>
          <w:szCs w:val="20"/>
          <w:color w:val="auto"/>
        </w:rPr>
      </w:pPr>
    </w:p>
    <w:p>
      <w:pPr>
        <w:ind w:left="122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2018, 2017 and 2016 Xenon did not represent 10% or greater of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Continued Growth of DEFINITY and Expansion of Our Ultrasound Microbubble Franchise</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believe the market opportunity for our ultrasound microbubble contrast agent, DEFINITY, continues to be significant. DEFINITY is our fastest growing and highest margin commercial product. We anticipate DEFINITY sales will continue to grow and that DEFINITY will constitute a greater share of our overall product mix in 2019 as compared to prior years. As we continue to educate the physician and healthcare provider community about the benefits and risks of DEFINITY, we believe we will be able to continue to grow the appropriate use of DEFINITY in suboptimal echocardiograms. In a U.S. market with three echocardiography contrast agents approved by the FDA, we estimate that DEFINITY had over 80% of the market as of December 31, 2018.</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we continue to pursue expanding our microbubble franchise, our activities include:</w:t>
      </w:r>
    </w:p>
    <w:p>
      <w:pPr>
        <w:spacing w:after="0" w:line="117" w:lineRule="exact"/>
        <w:rPr>
          <w:sz w:val="20"/>
          <w:szCs w:val="20"/>
          <w:color w:val="auto"/>
        </w:rPr>
      </w:pPr>
    </w:p>
    <w:p>
      <w:pPr>
        <w:ind w:left="660" w:right="80" w:hanging="16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Patents - </w:t>
      </w:r>
      <w:r>
        <w:rPr>
          <w:rFonts w:ascii="Arial" w:cs="Arial" w:eastAsia="Arial" w:hAnsi="Arial"/>
          <w:sz w:val="18"/>
          <w:szCs w:val="18"/>
          <w:color w:val="auto"/>
        </w:rPr>
        <w:t>We continue to actively pursue additional patents in connection with DEFINITY, both in the U.S. and internationally. In the U.S.,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an Orange Book-listed method of use patent expiring in March 2037. This patent augments an Orange Book-listed composition of matter patent expiring in June 2019, and additional manufacturing patents that are not Orange Book-listed expiring in 2021, 2023 and 2037. Outside of the U.S., our DEFINITY patent protection or regulatory exclusivity currently expires in 2019.</w:t>
      </w:r>
    </w:p>
    <w:p>
      <w:pPr>
        <w:spacing w:after="0" w:line="78" w:lineRule="exact"/>
        <w:rPr>
          <w:rFonts w:ascii="Arial" w:cs="Arial" w:eastAsia="Arial" w:hAnsi="Arial"/>
          <w:sz w:val="18"/>
          <w:szCs w:val="18"/>
          <w:color w:val="auto"/>
        </w:rPr>
      </w:pPr>
    </w:p>
    <w:p>
      <w:pPr>
        <w:ind w:left="660"/>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 xml:space="preserve">Hatch-Waxman Act - </w:t>
      </w:r>
      <w:r>
        <w:rPr>
          <w:rFonts w:ascii="Arial" w:cs="Arial" w:eastAsia="Arial" w:hAnsi="Arial"/>
          <w:sz w:val="17"/>
          <w:szCs w:val="17"/>
          <w:color w:val="auto"/>
        </w:rPr>
        <w:t>Even though our longest duration Orange Book-listed patent expires in March 2037, because our Orange Book-listed</w:t>
      </w:r>
      <w:r>
        <w:rPr>
          <w:rFonts w:ascii="Arial" w:cs="Arial" w:eastAsia="Arial" w:hAnsi="Arial"/>
          <w:sz w:val="17"/>
          <w:szCs w:val="17"/>
          <w:i w:val="1"/>
          <w:iCs w:val="1"/>
          <w:color w:val="auto"/>
        </w:rPr>
        <w:t xml:space="preserve"> </w:t>
      </w:r>
      <w:r>
        <w:rPr>
          <w:rFonts w:ascii="Arial" w:cs="Arial" w:eastAsia="Arial" w:hAnsi="Arial"/>
          <w:sz w:val="17"/>
          <w:szCs w:val="17"/>
          <w:color w:val="auto"/>
        </w:rPr>
        <w:t>composition of matter patent expires in June 2019, we may face generic DEFINITY challengers in the near to intermediate term. Under the Hatch-Waxman Act, the FDA can approve ANDAs for generic versions of drugs if the ANDA applicant demonstrates, among other things, that (i) its generic candidate is the same as the innovator product by establishing bioequivalence and providing relevant chemistry, manufacturing and product data, and (ii) the marketing of that generic candidate does not infringe an Orange Book-listed patent. With respect to any Orange Book-listed patent covering the innovator product, the ANDA applicant must give Notice to the innovator that the ANDA applicant certifies that its generic candidate will not infringe the innovator’s Orange Book-listed patent or that the Orange Book-listed patent is invalid. The innovator can then challenge the ANDA applicant in court within 45 days of receiving such Notice, and FDA approval to commercialize the generic candidate will be stayed (that is, delayed) for up to 30 months while the patent dispute between the innovator and the ANDA applicant is resolved in court. The 30 month stay could potentially expire sooner if the courts determine that no infringement occurs or that the challenged Orange Book-listed patent is invalid or the parties otherwise settle their dispute.</w:t>
      </w:r>
    </w:p>
    <w:p>
      <w:pPr>
        <w:spacing w:after="0" w:line="74" w:lineRule="exact"/>
        <w:rPr>
          <w:rFonts w:ascii="Arial" w:cs="Arial" w:eastAsia="Arial" w:hAnsi="Arial"/>
          <w:sz w:val="18"/>
          <w:szCs w:val="18"/>
          <w:color w:val="auto"/>
        </w:rPr>
      </w:pPr>
    </w:p>
    <w:p>
      <w:pPr>
        <w:ind w:left="660"/>
        <w:spacing w:after="0" w:line="291" w:lineRule="auto"/>
        <w:rPr>
          <w:rFonts w:ascii="Arial" w:cs="Arial" w:eastAsia="Arial" w:hAnsi="Arial"/>
          <w:sz w:val="18"/>
          <w:szCs w:val="18"/>
          <w:color w:val="auto"/>
        </w:rPr>
      </w:pPr>
      <w:r>
        <w:rPr>
          <w:rFonts w:ascii="Arial" w:cs="Arial" w:eastAsia="Arial" w:hAnsi="Arial"/>
          <w:sz w:val="16"/>
          <w:szCs w:val="16"/>
          <w:color w:val="auto"/>
        </w:rPr>
        <w:t>As of the date of filing of this Annual Report on Form 10-K, we have not received any Notice from an ANDA applicant. If we were to (i) receive any such Notice in the future, (ii) bring a patent infringement suit against the ANDA applicant within 45 days of receiving such Notice, and (iii) successfully obtain the full 30 month stay, then the ANDA applicant would be precluded from commercializing a generic candidate prior to the expiration of such 30 month stay period and potentially thereafter depending on how a patent dispute is resolved. Solely by way of example and not based on any knowledge we currently have, if we received a Notice from an ANDA applicant in March 2019 and the full 30 month stay was obtained, then the ANDA applicant would be precluded from commercialization until at least September 2021. If we received a Notice some number of months in the future and the full 30 month stay was obtained, the commercialization date would roll forward in the future by the same calculation.</w:t>
      </w:r>
    </w:p>
    <w:p>
      <w:pPr>
        <w:spacing w:after="0" w:line="59" w:lineRule="exact"/>
        <w:rPr>
          <w:rFonts w:ascii="Arial" w:cs="Arial" w:eastAsia="Arial" w:hAnsi="Arial"/>
          <w:sz w:val="18"/>
          <w:szCs w:val="18"/>
          <w:color w:val="auto"/>
        </w:rPr>
      </w:pPr>
    </w:p>
    <w:p>
      <w:pPr>
        <w:ind w:left="660" w:right="340" w:hanging="166"/>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LVEF Indication </w:t>
      </w:r>
      <w:r>
        <w:rPr>
          <w:rFonts w:ascii="Arial" w:cs="Arial" w:eastAsia="Arial" w:hAnsi="Arial"/>
          <w:sz w:val="18"/>
          <w:szCs w:val="18"/>
          <w:color w:val="auto"/>
        </w:rPr>
        <w:t>- We are currently conducting two well-controlled Phase 3 studies designed to demonstrate improved accuracy of LVEF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with DEFINITY-enhanced echocardiography versus unenhanced echocardiography. The truth standard in these studies is cardiac magnetic resonance imaging. The studies will be conducted at 20 U.S. sites and will eventually enroll a total of approximately 300 subjects. We believe DEFINITY could improve the accuracy of LVEF calculations, giving clinicians greater confidence in patient management decisions. An LVEF indication could substantially</w:t>
      </w:r>
    </w:p>
    <w:p>
      <w:pPr>
        <w:sectPr>
          <w:pgSz w:w="11900" w:h="16838" w:orient="portrait"/>
          <w:cols w:equalWidth="0" w:num="1">
            <w:col w:w="11380"/>
          </w:cols>
          <w:pgMar w:left="240" w:top="175" w:right="279" w:bottom="1440" w:gutter="0" w:footer="0" w:header="0"/>
        </w:sect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175" w:right="27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20"/>
        <w:spacing w:after="0" w:line="324" w:lineRule="auto"/>
        <w:rPr>
          <w:sz w:val="20"/>
          <w:szCs w:val="20"/>
          <w:color w:val="auto"/>
        </w:rPr>
      </w:pPr>
      <w:r>
        <w:rPr>
          <w:rFonts w:ascii="Arial" w:cs="Arial" w:eastAsia="Arial" w:hAnsi="Arial"/>
          <w:sz w:val="18"/>
          <w:szCs w:val="18"/>
          <w:color w:val="auto"/>
        </w:rPr>
        <w:t>increase the addressable market for contrast-enhanced echocardiography. We believe that DEFINITY, as the market leader, would benefit from the expanded addressable market.</w:t>
      </w:r>
    </w:p>
    <w:p>
      <w:pPr>
        <w:spacing w:after="0" w:line="35" w:lineRule="exact"/>
        <w:rPr>
          <w:sz w:val="20"/>
          <w:szCs w:val="20"/>
          <w:color w:val="auto"/>
        </w:rPr>
      </w:pPr>
    </w:p>
    <w:p>
      <w:pPr>
        <w:ind w:left="660" w:right="20" w:hanging="166"/>
        <w:spacing w:after="0" w:line="272"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Modified Formulation </w:t>
      </w:r>
      <w:r>
        <w:rPr>
          <w:rFonts w:ascii="Arial" w:cs="Arial" w:eastAsia="Arial" w:hAnsi="Arial"/>
          <w:sz w:val="17"/>
          <w:szCs w:val="17"/>
          <w:color w:val="auto"/>
        </w:rPr>
        <w:t>- We are developing at SBL a modified formulation of DEFINITY. We believe this modified formulation will provide an</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product profile enabling storage as well as shipment at room temperature (DEFINITY’s current formulation requires refrigerated storage), will give clinicians additional choice, and will allow for greater utility of this formulation in broader clinical settings. We were recently granted a composition of matter patent on the modified formulation which runs through December 2035. If the modified formulation is approved by the FDA, then this patent would be eligible to be listed in the Orange Book. We currently believe that, if approved by the FDA, the modified formulation could become commercially available in 2020, although that timing cannot be assured. Given its physical characteristics, the modified formulation may also be better suited for inclusion in kits requiring microbubbles for other indications and applications.</w:t>
      </w:r>
    </w:p>
    <w:p>
      <w:pPr>
        <w:spacing w:after="0" w:line="69" w:lineRule="exact"/>
        <w:rPr>
          <w:rFonts w:ascii="Arial" w:cs="Arial" w:eastAsia="Arial" w:hAnsi="Arial"/>
          <w:sz w:val="17"/>
          <w:szCs w:val="17"/>
          <w:color w:val="auto"/>
        </w:rPr>
      </w:pPr>
    </w:p>
    <w:p>
      <w:pPr>
        <w:ind w:left="660" w:right="460" w:hanging="16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New Applications </w:t>
      </w:r>
      <w:r>
        <w:rPr>
          <w:rFonts w:ascii="Arial" w:cs="Arial" w:eastAsia="Arial" w:hAnsi="Arial"/>
          <w:sz w:val="18"/>
          <w:szCs w:val="18"/>
          <w:color w:val="auto"/>
        </w:rPr>
        <w:t>- As we continue to look for other opportunities to expand our microbubble franchise, we are evaluating new indications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beyond echocardiography and contrast imaging generally.</w:t>
      </w:r>
    </w:p>
    <w:p>
      <w:pPr>
        <w:spacing w:after="0" w:line="62" w:lineRule="exact"/>
        <w:rPr>
          <w:rFonts w:ascii="Arial" w:cs="Arial" w:eastAsia="Arial" w:hAnsi="Arial"/>
          <w:sz w:val="18"/>
          <w:szCs w:val="18"/>
          <w:color w:val="auto"/>
        </w:rPr>
      </w:pPr>
    </w:p>
    <w:p>
      <w:pPr>
        <w:ind w:left="660" w:right="240" w:hanging="166"/>
        <w:spacing w:after="0" w:line="30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In-House Manufacturing </w:t>
      </w:r>
      <w:r>
        <w:rPr>
          <w:rFonts w:ascii="Arial" w:cs="Arial" w:eastAsia="Arial" w:hAnsi="Arial"/>
          <w:sz w:val="16"/>
          <w:szCs w:val="16"/>
          <w:color w:val="auto"/>
        </w:rPr>
        <w:t>- We are currently building specialized in-house manufacturing capabilities at our North Billerica, Massachusetts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for DEFINITY and, potentially, other sterile vial products. We believe the investment in these efforts will allow us to better control DEFINITY manufacturing and inventory, reduce our costs in a potentially more price competitive environment, and provide us with supply chain redundancy. We currently expect to be in a position to use this in-house manufacturing capability by early 2021, although that timing cannot be assured.</w:t>
      </w:r>
    </w:p>
    <w:p>
      <w:pPr>
        <w:spacing w:after="0" w:line="15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“—If we are unable to protect our intellectual property, our competitors could develop and market products with features similar to our products, and demand for our products may decline,” “—Our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and “—Item 1. Business-Our Product Portfolio-DEFINITY and Our Microbubble Franchise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Moly Supply</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currently have Moly supply agreements with IRE, running through December 31, 2019, and renewable by us on a year-to-year basis thereafter, and with ANSTO and NTP, running through December 31, 2020. We also have a Xenon supply agreement with IRE which runs through June 30, 2019, also subject to extensions.</w:t>
      </w:r>
    </w:p>
    <w:p>
      <w:pPr>
        <w:spacing w:after="0" w:line="18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believe we are generally well-positioned with IRE, ANSTO and NTP to have a diverse, global Moly supply, including LEU-based Moly. However, we still face challenges in our Moly supply chain. The NTP processing facility was off-line from late November 2017 until mid-February 2018 and again from early June 2018 through mid-November 2018. During the periods when NTP was not producing, we relied on Moly supply from both IRE and ANSTO to limit the impact of the NTP outage. However, we were unable to fill all of the demand for our TechneLite generators on certain manufacturing days.</w:t>
      </w:r>
    </w:p>
    <w:p>
      <w:pPr>
        <w:spacing w:after="0" w:line="15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To expand its current Moly production capacity, ANSTO has under construction a new Moly processing facility that ANSTO believes will increase its production capacity from approximately 2,000 curies per week to 3,500 curies per week, with commercial production currently planned to start in the first half of 2019. We also have a strategic arrangement with SHINE, a Wisconsin-based company, for the future supply of Moly. Under the terms of that agreement, SHINE will provide us Moly once SHINE’s facility becomes operational and receives all necessary approvals, which SHINE now estimates will occur in 2021.</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See Part 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 and “—The instability of the global supply of Moly, including supply shortages, has resulted in increases in the cost of Moly, which has negatively affected our margins, and more restrictive agreements with suppliers, which could further increase our costs.”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Xenon</w:t>
      </w:r>
    </w:p>
    <w:p>
      <w:pPr>
        <w:spacing w:after="0" w:line="11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Curium, sold packaged Xenon as a pulmonary imaging agent in the U.S., but from 2010 through the first quarter of 2016 (when Curium received regulatory approval from FDA to again sell packaged Xenon in the U.S.) we were the only supplier of this imaging agent in the U.S. Curium sold packaged Xenon in the U.S. during parts of 2016 and again began selling packaged Xenon in the U.S. in May 2018. Depending upon the pricing, extent of availability and market penetration of Curium’s offering, we believe we are at risk for volume loss and price erosion from those customers that are not subject to price or volume commitments with us. In addition to competition from Curium, other imaging agents and modalities could potentially compete with, or displace, packaged Xenon in pulmonary studies. If there is an increase in the use of other imaging agents or modalities in place of packaged Xenon, our current sales volumes would decrease, which could have a negative effect on our business, results of operations, financial condition and cash flows. See Part I, Item 1A. “Risk Factors—We face revenue and unit volume risk for Xenon in pulmonary studies as a result of competition from Curium and potentially others.”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18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addition to JHS, we are also currently working to secure additional alternative suppliers for our key products as part of our ongoing supply chain diversification strategy. We have ongoing development and technology transfer activities for a modified formulation of DEFINITY with SBL, which is located in South Korea. We currently believe that if approved by the FDA, the modified formulation could be commercially available in 2020, although that timing cannot be assured. As described above, we have also commenced an extensive, multi-year effort to add in-house specialized manufacturing capabilities at our North Billerica, Massachusetts facility. This project is part of a larger strategy to create a competitive advantage in specialized manufacturing, which will also allow us to optimize our costs and reduce our supply chain risk. We can give no assurance as to when or if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9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3 development and worldwide commercialization of flurpiridaz F 18. As part of our microbubble franchise strategy, for our proposed LVEF indication for DEFINITY, we are currently conducting two well-controlled Phase 3 studies designed to demonstrate improved accuracy of LVEF measurements with DEFINITY-enhanced echocardiography versus unenhanced echocardiography. For LMI 1195, our PET-based molecular imaging agent for the norepinephrine pathway, we are currently working with the FDA to finalize a special protocol assessment, or SPA, in connection with a single Phase 3 clinical trial to demonstrate improved risk stratification of ischemic heart failure patients at risk of sudden cardiac death. We are also exploring the potential use of LMI 1195 for the diagnosis and treatment follow-up of neuroendocrine tumors. Our investments in these additional clinical activities will increase our operating expenses and impact our results of operations and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results for the year ended December 31, 2018 as compared to the prior year reflect the following:</w:t>
      </w:r>
    </w:p>
    <w:p>
      <w:pPr>
        <w:spacing w:after="0" w:line="117" w:lineRule="exact"/>
        <w:rPr>
          <w:sz w:val="20"/>
          <w:szCs w:val="20"/>
          <w:color w:val="auto"/>
        </w:rPr>
      </w:pPr>
    </w:p>
    <w:p>
      <w:pPr>
        <w:ind w:left="980" w:right="1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revenues for DEFINITY in the suboptimal echocardiogram segment as a result of our continued focused sales efforts which has also resulted in increased gross profit;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revenues for TechneLite in the U.S. segment primarily as a result of a temporary supplier disruption;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7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right="2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revenues for TechneLite in the International segment primarily driven by increased volume as a result of temporary incremental demand which has also resulted in increased gross profit;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revenues in other revenue due to the recognition of $5.0 million during the prior year from GE Healthcare in exchange for rights to the continued Phase 3 development and worldwide commercialization of flurpiridaz F 18;</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depreciation expense as a result of the decommissioning of certain long-lived assets during the prior year period;</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other income due to a $5.5 million decrease in tax indemnification income as a result of the impact of the reduction in the U.S. federal corporate tax rate pursuant to the Tax Cuts and Jobs Act enacted on December 22, 2017; and</w:t>
      </w:r>
    </w:p>
    <w:p>
      <w:pPr>
        <w:spacing w:after="0" w:line="62" w:lineRule="exact"/>
        <w:rPr>
          <w:rFonts w:ascii="Arial" w:cs="Arial" w:eastAsia="Arial" w:hAnsi="Arial"/>
          <w:sz w:val="18"/>
          <w:szCs w:val="18"/>
          <w:color w:val="auto"/>
        </w:rPr>
      </w:pPr>
    </w:p>
    <w:p>
      <w:pPr>
        <w:ind w:left="980" w:right="6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increased tax expense due to the profit generated during the year ended December 31, 2018 and the fact that we no longer record a valuation allowance against our domestic deferred tax assets offset by the release of our valuation allowance against our Canada deferred tax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4"/>
          </w:tcPr>
          <w:p>
            <w:pPr>
              <w:ind w:left="420"/>
              <w:spacing w:after="0"/>
              <w:rPr>
                <w:sz w:val="20"/>
                <w:szCs w:val="20"/>
                <w:color w:val="auto"/>
              </w:rPr>
            </w:pPr>
            <w:r>
              <w:rPr>
                <w:rFonts w:ascii="Arial" w:cs="Arial" w:eastAsia="Arial" w:hAnsi="Arial"/>
                <w:sz w:val="18"/>
                <w:szCs w:val="18"/>
                <w:b w:val="1"/>
                <w:bCs w:val="1"/>
                <w:color w:val="auto"/>
              </w:rPr>
              <w:t>2018 vs. 2017</w:t>
            </w:r>
          </w:p>
        </w:tc>
        <w:tc>
          <w:tcPr>
            <w:tcW w:w="140" w:type="dxa"/>
            <w:vAlign w:val="bottom"/>
          </w:tcPr>
          <w:p>
            <w:pPr>
              <w:spacing w:after="0"/>
              <w:rPr>
                <w:sz w:val="20"/>
                <w:szCs w:val="20"/>
                <w:color w:val="auto"/>
              </w:rPr>
            </w:pPr>
          </w:p>
        </w:tc>
        <w:tc>
          <w:tcPr>
            <w:tcW w:w="2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34"/>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343,374</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331,378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301,853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168,489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169,243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164,073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174,885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162,135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137,780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2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49,842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38,832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11,010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48.5 %</w:t>
            </w:r>
          </w:p>
        </w:tc>
      </w:tr>
      <w:tr>
        <w:trPr>
          <w:trHeight w:val="237"/>
        </w:trPr>
        <w:tc>
          <w:tcPr>
            <w:tcW w:w="296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110,397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110,282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87,577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22,705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sales of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296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51,853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12,635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Debt retirement costs</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3,826.4 %</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40.1 %</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92,776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(85,278)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(5,566.4)%</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40,518</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123,385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96,623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60"/>
          </w:cols>
          <w:pgMar w:left="240" w:top="175" w:right="49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66"/>
        </w:trPr>
        <w:tc>
          <w:tcPr>
            <w:tcW w:w="5400" w:type="dxa"/>
            <w:vAlign w:val="bottom"/>
            <w:gridSpan w:val="11"/>
          </w:tcPr>
          <w:p>
            <w:pPr>
              <w:spacing w:after="0"/>
              <w:rPr>
                <w:sz w:val="20"/>
                <w:szCs w:val="20"/>
                <w:color w:val="auto"/>
              </w:rPr>
            </w:pPr>
            <w:r>
              <w:rPr>
                <w:rFonts w:ascii="Arial" w:cs="Arial" w:eastAsia="Arial" w:hAnsi="Arial"/>
                <w:sz w:val="18"/>
                <w:szCs w:val="18"/>
                <w:b w:val="1"/>
                <w:bCs w:val="1"/>
                <w:color w:val="auto"/>
                <w:w w:val="91"/>
              </w:rPr>
              <w:t>Comparison of the Periods Ended December 31, 2018, 2017 and 2016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28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4800" w:type="dxa"/>
            <w:vAlign w:val="bottom"/>
            <w:gridSpan w:val="9"/>
          </w:tcPr>
          <w:p>
            <w:pPr>
              <w:ind w:left="60"/>
              <w:spacing w:after="0"/>
              <w:rPr>
                <w:sz w:val="20"/>
                <w:szCs w:val="20"/>
                <w:color w:val="auto"/>
              </w:rPr>
            </w:pPr>
            <w:r>
              <w:rPr>
                <w:rFonts w:ascii="Arial" w:cs="Arial" w:eastAsia="Arial" w:hAnsi="Arial"/>
                <w:sz w:val="18"/>
                <w:szCs w:val="18"/>
                <w:color w:val="auto"/>
              </w:rPr>
              <w:t>Segment revenues are summarized by product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ind w:left="500"/>
              <w:spacing w:after="0"/>
              <w:rPr>
                <w:sz w:val="20"/>
                <w:szCs w:val="20"/>
                <w:color w:val="auto"/>
              </w:rPr>
            </w:pPr>
            <w:r>
              <w:rPr>
                <w:rFonts w:ascii="Arial" w:cs="Arial" w:eastAsia="Arial" w:hAnsi="Arial"/>
                <w:sz w:val="18"/>
                <w:szCs w:val="18"/>
                <w:b w:val="1"/>
                <w:bCs w:val="1"/>
                <w:color w:val="auto"/>
              </w:rPr>
              <w:t>2018 vs. 2017</w:t>
            </w:r>
          </w:p>
        </w:tc>
        <w:tc>
          <w:tcPr>
            <w:tcW w:w="160" w:type="dxa"/>
            <w:vAlign w:val="bottom"/>
          </w:tcPr>
          <w:p>
            <w:pPr>
              <w:spacing w:after="0"/>
              <w:rPr>
                <w:sz w:val="20"/>
                <w:szCs w:val="20"/>
                <w:color w:val="auto"/>
              </w:rPr>
            </w:pPr>
          </w:p>
        </w:tc>
        <w:tc>
          <w:tcPr>
            <w:tcW w:w="21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60" w:type="dxa"/>
            <w:vAlign w:val="bottom"/>
          </w:tcPr>
          <w:p>
            <w:pPr>
              <w:spacing w:after="0"/>
              <w:rPr>
                <w:sz w:val="16"/>
                <w:szCs w:val="16"/>
                <w:color w:val="auto"/>
              </w:rPr>
            </w:pPr>
          </w:p>
        </w:tc>
        <w:tc>
          <w:tcPr>
            <w:tcW w:w="24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6"/>
                <w:szCs w:val="16"/>
                <w:color w:val="auto"/>
              </w:rPr>
            </w:pPr>
          </w:p>
        </w:tc>
        <w:tc>
          <w:tcPr>
            <w:tcW w:w="8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18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360" w:type="dxa"/>
            <w:vAlign w:val="bottom"/>
          </w:tcPr>
          <w:p>
            <w:pPr>
              <w:spacing w:after="0"/>
              <w:rPr>
                <w:sz w:val="4"/>
                <w:szCs w:val="4"/>
                <w:color w:val="auto"/>
              </w:rPr>
            </w:pPr>
          </w:p>
        </w:tc>
        <w:tc>
          <w:tcPr>
            <w:tcW w:w="1000" w:type="dxa"/>
            <w:vAlign w:val="bottom"/>
            <w:tcBorders>
              <w:top w:val="single" w:sz="8" w:color="auto"/>
              <w:bottom w:val="single" w:sz="8" w:color="CCEEFF"/>
            </w:tcBorders>
          </w:tcPr>
          <w:p>
            <w:pPr>
              <w:spacing w:after="0"/>
              <w:rPr>
                <w:sz w:val="4"/>
                <w:szCs w:val="4"/>
                <w:color w:val="auto"/>
              </w:rPr>
            </w:pPr>
          </w:p>
        </w:tc>
        <w:tc>
          <w:tcPr>
            <w:tcW w:w="100" w:type="dxa"/>
            <w:vAlign w:val="bottom"/>
            <w:tcBorders>
              <w:top w:val="single" w:sz="8" w:color="auto"/>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4"/>
        </w:trPr>
        <w:tc>
          <w:tcPr>
            <w:tcW w:w="360" w:type="dxa"/>
            <w:vAlign w:val="bottom"/>
            <w:tcBorders>
              <w:right w:val="single" w:sz="8" w:color="CCEEFF"/>
            </w:tcBorders>
          </w:tcPr>
          <w:p>
            <w:pPr>
              <w:spacing w:after="0"/>
              <w:rPr>
                <w:sz w:val="21"/>
                <w:szCs w:val="21"/>
                <w:color w:val="auto"/>
              </w:rPr>
            </w:pPr>
          </w:p>
        </w:tc>
        <w:tc>
          <w:tcPr>
            <w:tcW w:w="2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2480" w:type="dxa"/>
            <w:vAlign w:val="bottom"/>
            <w:gridSpan w:val="3"/>
          </w:tcPr>
          <w:p>
            <w:pPr>
              <w:ind w:left="140"/>
              <w:spacing w:after="0"/>
              <w:rPr>
                <w:sz w:val="20"/>
                <w:szCs w:val="20"/>
                <w:color w:val="auto"/>
              </w:rPr>
            </w:pPr>
            <w:r>
              <w:rPr>
                <w:rFonts w:ascii="Arial" w:cs="Arial" w:eastAsia="Arial" w:hAnsi="Arial"/>
                <w:sz w:val="18"/>
                <w:szCs w:val="18"/>
                <w:color w:val="auto"/>
              </w:rPr>
              <w:t>DEFINITY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178,440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153,581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128,677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24,859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24,904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19.4 %</w:t>
            </w: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2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TechneLite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60" w:type="dxa"/>
            <w:vAlign w:val="bottom"/>
          </w:tcPr>
          <w:p>
            <w:pPr>
              <w:spacing w:after="0"/>
              <w:rPr>
                <w:sz w:val="21"/>
                <w:szCs w:val="21"/>
                <w:color w:val="auto"/>
              </w:rPr>
            </w:pPr>
          </w:p>
        </w:tc>
        <w:tc>
          <w:tcPr>
            <w:tcW w:w="248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45,932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360" w:type="dxa"/>
            <w:vAlign w:val="bottom"/>
            <w:tcBorders>
              <w:right w:val="single" w:sz="8" w:color="CCEEFF"/>
            </w:tcBorders>
          </w:tcPr>
          <w:p>
            <w:pPr>
              <w:spacing w:after="0"/>
              <w:rPr>
                <w:sz w:val="22"/>
                <w:szCs w:val="22"/>
                <w:color w:val="auto"/>
              </w:rPr>
            </w:pPr>
          </w:p>
        </w:tc>
        <w:tc>
          <w:tcPr>
            <w:tcW w:w="24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U.S. Revenues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3"/>
        </w:trPr>
        <w:tc>
          <w:tcPr>
            <w:tcW w:w="36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2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DEFINITY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43"/>
        </w:trPr>
        <w:tc>
          <w:tcPr>
            <w:tcW w:w="360" w:type="dxa"/>
            <w:vAlign w:val="bottom"/>
          </w:tcPr>
          <w:p>
            <w:pPr>
              <w:spacing w:after="0"/>
              <w:rPr>
                <w:sz w:val="21"/>
                <w:szCs w:val="21"/>
                <w:color w:val="auto"/>
              </w:rPr>
            </w:pPr>
          </w:p>
        </w:tc>
        <w:tc>
          <w:tcPr>
            <w:tcW w:w="2480" w:type="dxa"/>
            <w:vAlign w:val="bottom"/>
            <w:gridSpan w:val="3"/>
          </w:tcPr>
          <w:p>
            <w:pPr>
              <w:ind w:left="140"/>
              <w:spacing w:after="0"/>
              <w:rPr>
                <w:sz w:val="20"/>
                <w:szCs w:val="20"/>
                <w:color w:val="auto"/>
              </w:rPr>
            </w:pPr>
            <w:r>
              <w:rPr>
                <w:rFonts w:ascii="Arial" w:cs="Arial" w:eastAsia="Arial" w:hAnsi="Arial"/>
                <w:sz w:val="18"/>
                <w:szCs w:val="18"/>
                <w:color w:val="auto"/>
              </w:rPr>
              <w:t>TechneLite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10,661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2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360" w:type="dxa"/>
            <w:vAlign w:val="bottom"/>
          </w:tcPr>
          <w:p>
            <w:pPr>
              <w:spacing w:after="0"/>
              <w:rPr>
                <w:sz w:val="20"/>
                <w:szCs w:val="20"/>
                <w:color w:val="auto"/>
              </w:rPr>
            </w:pP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w w:val="96"/>
              </w:rPr>
              <w:t>Total International Revenues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60" w:type="dxa"/>
            <w:vAlign w:val="bottom"/>
            <w:tcBorders>
              <w:right w:val="single" w:sz="8" w:color="CCEEFF"/>
            </w:tcBorders>
          </w:tcPr>
          <w:p>
            <w:pPr>
              <w:spacing w:after="0"/>
              <w:rPr>
                <w:sz w:val="22"/>
                <w:szCs w:val="22"/>
                <w:color w:val="auto"/>
              </w:rPr>
            </w:pPr>
          </w:p>
        </w:tc>
        <w:tc>
          <w:tcPr>
            <w:tcW w:w="24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343,374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11,996</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0"/>
        </w:trPr>
        <w:tc>
          <w:tcPr>
            <w:tcW w:w="3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decrease in U.S. segment revenues during the year ended December 31, 2018, as compared to the prior year is primarily due to a $16.4 million decrease in TechneLite revenues primarily as a result of lower unit volumes due to a temporary supplier disruption and a decrease of approximately $5.0 million in other revenue associated with the License Agreement with GE Healthcare in exchange for rights to the continued Phase 3 development and worldwide commercialization of flurpiridaz F 18 which was recorded in the second quarter of the prior year. In addition, there was a $2.6 million increase in rebate and allowance provisions, $1.6 million decrease in Xenon revenues due to lower volume and $0.6 million decrease in other product revenues due primarily to timing of shipments. Offsetting these decreases was an increase of $24.9 million in DEFINITY revenues as a result of higher unit volumes.</w:t>
      </w:r>
    </w:p>
    <w:p>
      <w:pPr>
        <w:spacing w:after="0" w:line="16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increase in International segment revenues during the year ended December 31, 2018, as compared to the prior year is primarily due to a $10.7 million increase in TechneLite revenues primarily driven by increased volume as a result of temporary incremental demand, a $1.8 million increase in other product revenue primarily attributable to higher Thallium volume, recovery of the hurricane impact on our Puerto Rico business in the fourth quarter of the prior year and timing of shipments of other products and a $0.9 million increase in DEFINITY revenues as a result of higher unit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increase in U.S. segment revenues during the year ended December 31, 2017, as compared to the prior year is primarily due to increases in DEFINITY revenues of $24.9 million and Xenon revenues of $2.3 million as a result of higher unit volumes compared to the prior year. TechneLite revenues increased by $5.1 million as a result of higher unit volumes and unit pricing as compared to the prior year. Additionally, there was an increase of $5.0 million in Other revenues associated with the up-front license fee recognized related to the License Agreement with GE Healthcare for the continued Phase 3 development and worldwide commercialization of flurpiridaz F 18. Offsetting these increases was a $2.8 million decrease in Other revenues driven by rebate and allowance provisions, as well as a $1.6 million decrease in Ablavar revenues as the product is no longer sold.</w:t>
      </w:r>
    </w:p>
    <w:p>
      <w:pPr>
        <w:spacing w:after="0" w:line="17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decrease in International segment revenues during the year ended December 31, 2017, as compared to the prior year, is primarily attributable to the sale of the Australian radiopharmacy business during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other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ectPr>
          <w:pgSz w:w="11900" w:h="16838" w:orient="portrait"/>
          <w:cols w:equalWidth="0" w:num="1">
            <w:col w:w="11340"/>
          </w:cols>
          <w:pgMar w:left="240" w:top="162" w:right="319" w:bottom="1440" w:gutter="0" w:footer="0" w:header="0"/>
        </w:sect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40"/>
          </w:cols>
          <w:pgMar w:left="240" w:top="162" w:right="3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360" w:type="dxa"/>
            <w:vAlign w:val="bottom"/>
          </w:tcPr>
          <w:p>
            <w:pPr>
              <w:spacing w:after="0"/>
              <w:rPr>
                <w:sz w:val="24"/>
                <w:szCs w:val="24"/>
                <w:color w:val="auto"/>
              </w:rPr>
            </w:pPr>
          </w:p>
        </w:tc>
        <w:tc>
          <w:tcPr>
            <w:tcW w:w="5960" w:type="dxa"/>
            <w:vAlign w:val="bottom"/>
            <w:gridSpan w:val="12"/>
          </w:tcPr>
          <w:p>
            <w:pPr>
              <w:ind w:left="60"/>
              <w:spacing w:after="0"/>
              <w:rPr>
                <w:sz w:val="20"/>
                <w:szCs w:val="20"/>
                <w:color w:val="auto"/>
              </w:rPr>
            </w:pPr>
            <w:r>
              <w:rPr>
                <w:rFonts w:ascii="Arial" w:cs="Arial" w:eastAsia="Arial" w:hAnsi="Arial"/>
                <w:sz w:val="18"/>
                <w:szCs w:val="18"/>
                <w:color w:val="auto"/>
                <w:w w:val="91"/>
              </w:rPr>
              <w:t>An analysis of the amount of, and change in, reserves is summarized as follows: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ind w:left="380"/>
              <w:spacing w:after="0"/>
              <w:rPr>
                <w:sz w:val="20"/>
                <w:szCs w:val="20"/>
                <w:color w:val="auto"/>
              </w:rPr>
            </w:pPr>
            <w:r>
              <w:rPr>
                <w:rFonts w:ascii="Arial" w:cs="Arial" w:eastAsia="Arial" w:hAnsi="Arial"/>
                <w:sz w:val="18"/>
                <w:szCs w:val="18"/>
                <w:b w:val="1"/>
                <w:bCs w:val="1"/>
                <w:color w:val="auto"/>
              </w:rPr>
              <w:t>Rebates and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Allowances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0"/>
              </w:rPr>
              <w:t>Balance, January 1, 2016</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Provision related to current period revenues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7,255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tcBorders>
              <w:bottom w:val="single" w:sz="8" w:color="CCEEFF"/>
            </w:tcBorders>
            <w:gridSpan w:val="10"/>
            <w:shd w:val="clear" w:color="auto" w:fill="CCEEFF"/>
          </w:tcPr>
          <w:p>
            <w:pPr>
              <w:ind w:left="380"/>
              <w:spacing w:after="0"/>
              <w:rPr>
                <w:sz w:val="20"/>
                <w:szCs w:val="20"/>
                <w:color w:val="auto"/>
              </w:rPr>
            </w:pPr>
            <w:r>
              <w:rPr>
                <w:rFonts w:ascii="Arial" w:cs="Arial" w:eastAsia="Arial" w:hAnsi="Arial"/>
                <w:sz w:val="18"/>
                <w:szCs w:val="18"/>
                <w:color w:val="auto"/>
              </w:rPr>
              <w:t>Adjustments relating to prior period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(452)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Payments or credits made during the period</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(6,809)</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0"/>
              </w:rPr>
              <w:t>Balance, December 31, 2016</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Provision related to current period revenues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9,568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tcBorders>
              <w:bottom w:val="single" w:sz="8" w:color="CCEEFF"/>
            </w:tcBorders>
            <w:gridSpan w:val="10"/>
            <w:shd w:val="clear" w:color="auto" w:fill="CCEEFF"/>
          </w:tcPr>
          <w:p>
            <w:pPr>
              <w:ind w:left="380"/>
              <w:spacing w:after="0"/>
              <w:rPr>
                <w:sz w:val="20"/>
                <w:szCs w:val="20"/>
                <w:color w:val="auto"/>
              </w:rPr>
            </w:pPr>
            <w:r>
              <w:rPr>
                <w:rFonts w:ascii="Arial" w:cs="Arial" w:eastAsia="Arial" w:hAnsi="Arial"/>
                <w:sz w:val="18"/>
                <w:szCs w:val="18"/>
                <w:color w:val="auto"/>
              </w:rPr>
              <w:t>Adjustments relating to prior period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Payments or credits made during the period</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(8,351)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0"/>
              </w:rPr>
              <w:t>Balance, December 31, 2017</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Provision related to current period revenues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13,202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tcBorders>
              <w:bottom w:val="single" w:sz="8" w:color="CCEEFF"/>
            </w:tcBorders>
            <w:gridSpan w:val="10"/>
            <w:shd w:val="clear" w:color="auto" w:fill="CCEEFF"/>
          </w:tcPr>
          <w:p>
            <w:pPr>
              <w:ind w:left="380"/>
              <w:spacing w:after="0"/>
              <w:rPr>
                <w:sz w:val="20"/>
                <w:szCs w:val="20"/>
                <w:color w:val="auto"/>
              </w:rPr>
            </w:pPr>
            <w:r>
              <w:rPr>
                <w:rFonts w:ascii="Arial" w:cs="Arial" w:eastAsia="Arial" w:hAnsi="Arial"/>
                <w:sz w:val="18"/>
                <w:szCs w:val="18"/>
                <w:color w:val="auto"/>
              </w:rPr>
              <w:t>Adjustments relating to prior period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(361)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10"/>
          </w:tcPr>
          <w:p>
            <w:pPr>
              <w:ind w:left="380"/>
              <w:spacing w:after="0"/>
              <w:rPr>
                <w:sz w:val="20"/>
                <w:szCs w:val="20"/>
                <w:color w:val="auto"/>
              </w:rPr>
            </w:pPr>
            <w:r>
              <w:rPr>
                <w:rFonts w:ascii="Arial" w:cs="Arial" w:eastAsia="Arial" w:hAnsi="Arial"/>
                <w:sz w:val="18"/>
                <w:szCs w:val="18"/>
                <w:color w:val="auto"/>
              </w:rPr>
              <w:t>Payments or credits made during the period</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(11,047)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0"/>
              </w:rPr>
              <w:t>Balance, December 31, 2018</w:t>
            </w: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1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3920" w:type="dxa"/>
            <w:vAlign w:val="bottom"/>
            <w:gridSpan w:val="7"/>
          </w:tcPr>
          <w:p>
            <w:pPr>
              <w:ind w:left="60"/>
              <w:spacing w:after="0"/>
              <w:rPr>
                <w:sz w:val="20"/>
                <w:szCs w:val="20"/>
                <w:color w:val="auto"/>
              </w:rPr>
            </w:pPr>
            <w:r>
              <w:rPr>
                <w:rFonts w:ascii="Arial" w:cs="Arial" w:eastAsia="Arial" w:hAnsi="Arial"/>
                <w:sz w:val="18"/>
                <w:szCs w:val="18"/>
                <w:color w:val="auto"/>
                <w:w w:val="95"/>
              </w:rPr>
              <w:t>Gross profit is summarized by segment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2018 vs.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93"/>
              </w:rPr>
              <w:t>2017 vs. 2016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154,671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26,321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 w:type="dxa"/>
            <w:vAlign w:val="bottom"/>
          </w:tcPr>
          <w:p>
            <w:pPr>
              <w:spacing w:after="0"/>
              <w:rPr>
                <w:sz w:val="22"/>
                <w:szCs w:val="22"/>
                <w:color w:val="auto"/>
              </w:rPr>
            </w:pPr>
          </w:p>
        </w:tc>
        <w:tc>
          <w:tcPr>
            <w:tcW w:w="1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Gross profit</w:t>
            </w:r>
          </w:p>
        </w:tc>
        <w:tc>
          <w:tcPr>
            <w:tcW w:w="9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162,135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24,355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increase in U.S. segment gross profit for the year ended December 31, 2018, as compared to the prior year is primarily attributable to higher DEFINITY unit volumes. This was offset by the recognition of approximately $5.0 million in the prior year period in other revenue associated with the License Agreement with GE Healthcare for the continued Phase 3 development and worldwide commercialization of flurpiridaz F 18 without any associated cost of goods sold, lower TechneLite unit volumes due to a temporary supply interruption, lower Xenon unit volumes and an increase in excess and obsolete inventory reserve of other materials.</w:t>
      </w:r>
    </w:p>
    <w:p>
      <w:pPr>
        <w:spacing w:after="0" w:line="18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increase in International segment gross profit for the year ended December 31, 2018, as compared to the prior year is primarily attributable to higher TechneLite and other product unit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increase in U.S. segment gross profit for the year ended December 31, 2017, as compared to the prior year is primarily attributable to higher DEFINITY and Xenon unit sales volumes and the recognition of $5.0 million in Other revenues associated with the License Agreement with GE Healthcare for the continued Phase 3 development and worldwide commercialization of flurpiridaz F 18 without any associated cost of goods sold.</w:t>
      </w:r>
    </w:p>
    <w:p>
      <w:pPr>
        <w:spacing w:after="0" w:line="16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decrease in International segment gross profit for the year ended December 31, 2017, as compared to the prior year is primarily attributable to higher manufacturing and material costs for certain products.</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62"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 is summarized by segment as follows:</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4"/>
          </w:tcPr>
          <w:p>
            <w:pPr>
              <w:ind w:left="500"/>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c>
          <w:tcPr>
            <w:tcW w:w="21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2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34"/>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2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Sales and marketing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increase in U.S. segment sales and marketing expense for the year ended December 31, 2018, as compared to the prior year is primarily attributable to employee-related expenses.</w:t>
      </w:r>
    </w:p>
    <w:p>
      <w:pPr>
        <w:spacing w:after="0" w:line="6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decrease in the International segment sales and marketing expense for the year ended December 31, 2018, as compared to the prior year is primarily attributable to commercialization activities attributable to DEFINITY market expansion.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increase in U.S. segment sales and marketing expense for the year ended December 31, 2017, as compared to the prior year is primarily attributable to employee-related expenses and promotional program expenses.</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decrease in International segment sales and marketing expense for the year ended December 31, 2017, as compared to the prior year is primarily attributable to lower employee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 is summarized by segment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ind w:left="460"/>
              <w:spacing w:after="0"/>
              <w:rPr>
                <w:sz w:val="20"/>
                <w:szCs w:val="20"/>
                <w:color w:val="auto"/>
              </w:rPr>
            </w:pPr>
            <w:r>
              <w:rPr>
                <w:rFonts w:ascii="Arial" w:cs="Arial" w:eastAsia="Arial" w:hAnsi="Arial"/>
                <w:sz w:val="18"/>
                <w:szCs w:val="18"/>
                <w:b w:val="1"/>
                <w:bCs w:val="1"/>
                <w:color w:val="auto"/>
              </w:rPr>
              <w:t>2018 vs. 2017</w:t>
            </w:r>
          </w:p>
        </w:tc>
        <w:tc>
          <w:tcPr>
            <w:tcW w:w="180" w:type="dxa"/>
            <w:vAlign w:val="bottom"/>
          </w:tcPr>
          <w:p>
            <w:pPr>
              <w:spacing w:after="0"/>
              <w:rPr>
                <w:sz w:val="20"/>
                <w:szCs w:val="20"/>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49,149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50,167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decrease in U.S. segment general and administrative expense for the year ended December 31, 2018, as compared to the prior year is primarily attributable to the non-recurrence of $2.6 million of debt refinancing costs incurred in the prior year period, lower information technology costs and campus consolidation costs partially offset by higher employee-related expenses, incremental spend associated with business development activities and higher legal costs to maintain and expand our intellectual property portfolio as well as for the on-going Pharmalucence arbitration.</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increase in the International segment general and administrative expense for the year ended December 31, 2018, as compared to the prior year is primarily attributable to increased employee related costs and business development activities.</w:t>
      </w:r>
    </w:p>
    <w:p>
      <w:pPr>
        <w:sectPr>
          <w:pgSz w:w="11900" w:h="16838" w:orient="portrait"/>
          <w:cols w:equalWidth="0" w:num="1">
            <w:col w:w="11420"/>
          </w:cols>
          <w:pgMar w:left="240" w:top="175"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75"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increase in U.S. segment general and administrative expense for the year ended December 31, 2017, as compared to the prior year is primarily attributable to higher employee-related expenses, $2.6 million of debt refinancing costs, campus consolidation costs, certain contract termination charges to drive cost efficiencies and a $0.9 million land impairment charge.</w:t>
      </w:r>
    </w:p>
    <w:p>
      <w:pPr>
        <w:spacing w:after="0" w:line="7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decrease in International segment general and administrative expenses for the year ended December 31, 2017, as compared to the prior year is primarily attributable to lower employee headcount and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Research and development expenses relate primarily to the development of new products to add to our portfolio and costs related to our medical affairs, medical information and regulatory functions. We do not allocate research and development expenses incurred in the U.S. to our International segment.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 is summarized by segment as follows:</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ind w:left="500"/>
              <w:spacing w:after="0"/>
              <w:rPr>
                <w:sz w:val="20"/>
                <w:szCs w:val="20"/>
                <w:color w:val="auto"/>
              </w:rPr>
            </w:pPr>
            <w:r>
              <w:rPr>
                <w:rFonts w:ascii="Arial" w:cs="Arial" w:eastAsia="Arial" w:hAnsi="Arial"/>
                <w:sz w:val="18"/>
                <w:szCs w:val="18"/>
                <w:b w:val="1"/>
                <w:bCs w:val="1"/>
                <w:color w:val="auto"/>
              </w:rPr>
              <w:t>2018 vs. 2017</w:t>
            </w:r>
          </w:p>
        </w:tc>
        <w:tc>
          <w:tcPr>
            <w:tcW w:w="160" w:type="dxa"/>
            <w:vAlign w:val="bottom"/>
          </w:tcPr>
          <w:p>
            <w:pPr>
              <w:spacing w:after="0"/>
              <w:rPr>
                <w:sz w:val="20"/>
                <w:szCs w:val="20"/>
                <w:color w:val="auto"/>
              </w:rPr>
            </w:pPr>
          </w:p>
        </w:tc>
        <w:tc>
          <w:tcPr>
            <w:tcW w:w="21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34"/>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Total 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11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decrease in U.S. segment research and development expenses for the year ended December 31, 2018, as compared to the prior year is primarily attributable to a decrease in depreciation expense resulting from the decommissioning of certain long-lived assets associated with research and development operations offset by higher employee-related expenses and clinical research expenses related to DEFINITY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17"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increase in U.S. segment research and development expenses for the year ended December 31, 2017, as compared to the prior year is primarily attributable to an increase in depreciation expense and other charges resulting from the scheduled decommissioning of certain long-lived assets associated with research and development operations as well as higher employee-related expenses.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increase in research and development expenses for International segment for the year ended December 31, 2017, as compared to the prior year is primarily attributable to expenses incurred for a European Phase 4 study for one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Sales of Assets</w:t>
      </w:r>
    </w:p>
    <w:p>
      <w:pPr>
        <w:spacing w:after="0" w:line="117"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Effective January 7, 2016, our Canadian subsidiary entered into an asset purchase agreement, pursuant to which it would sell substantially all of the assets of our Canadian radiopharmacies and Gludef manufacturing and distribution business to one of our existing Canadian radiopharmacy customers. The purchase price for the asset sale was $9.0 million in cash and also included a working capital adjustment of $0.5 million, resulting in a pre-tax gain of $5.9 million recorded within operating income during the year ended December 31, 2016.</w:t>
      </w:r>
    </w:p>
    <w:p>
      <w:pPr>
        <w:spacing w:after="0" w:line="1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Effective August 11, 2016, we entered into a share purchase agreement, pursuant to which we sold 100% of the stock of our Australian subsidiary to one of our existing radiopharmacy customers. This sale included the radiopharmacy business as well as all the direct/bulk business. The sale price for the share sale was AUD $2.0 million (approximately $1.5 million) in cash and also included a working capital receivable adjustment of approximately AUD</w:t>
      </w:r>
    </w:p>
    <w:p>
      <w:pPr>
        <w:ind w:right="400"/>
        <w:spacing w:after="0" w:line="261" w:lineRule="auto"/>
        <w:rPr>
          <w:sz w:val="20"/>
          <w:szCs w:val="20"/>
          <w:color w:val="auto"/>
        </w:rPr>
      </w:pPr>
      <w:r>
        <w:rPr>
          <w:rFonts w:ascii="Arial" w:cs="Arial" w:eastAsia="Arial" w:hAnsi="Arial"/>
          <w:sz w:val="18"/>
          <w:szCs w:val="18"/>
          <w:color w:val="auto"/>
        </w:rPr>
        <w:t>$2.0 million (approximately $1.5 million), resulting in a pre-tax gain of $0.6 million, which was recorded within operating income during the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for the year ended December 31, 2018 decreased $1.0 million from the prior year as a result of a comparatively lower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balance and effective interest rates on our long-term debt during the period as a result of our March 2017 refinancing and November 2017 repricing.</w:t>
      </w:r>
    </w:p>
    <w:p>
      <w:pPr>
        <w:sectPr>
          <w:pgSz w:w="11900" w:h="16838" w:orient="portrait"/>
          <w:cols w:equalWidth="0" w:num="1">
            <w:col w:w="11420"/>
          </w:cols>
          <w:pgMar w:left="240" w:top="175"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75"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Interest expense for the year ended December 31, 2017 decreased $8.2 million from the prior year as a result of a comparatively lower outstanding principal balance on our long-term debt throughout the year resulting from voluntary prepayments on our 2015 Term Facility of $55.0 million and $20.0 million in the third and fourth quarters of 2016 and the subsequent refinancing of our 2015 Facility at the end of the first quarter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Retirement Costs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For the year ended December 31, 2016 we incurred $1.9 million in debt retirement costs related to the $75.0 million voluntary prepayments of principal on our Term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During the year ended December 31, 2017, we incurred $2.4 million of losses on extinguishment of debt related to the refinancing and subsequent repricing of our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Other income decreased $6.2 million for the year ended December 31, 2018 as compared to the prior year due to a $5.5 million decrease in tax indemnification income as a result of the impact of the reduction in the U.S. federal corporate tax rate pursuant to the Tax Cuts and Jobs Act enacted on December 22, 2017 and a decrease of $0.8 million in foreign currency gains driven by unfavorable foreign exchange rates due to a strengthening U.S. dollar.</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Other income increased $8.4 million for the year ended December 31, 2017 as compared to the prior year due to an increase of $1.1 million in foreign currency gains driven by favorable foreign exchange rates relative to the prior year and a $7.3 million increase in tax indemnification income as a result of the impact of the reduction in the U.S. federal corporate tax rate pursuant to the Tax Cuts and Jobs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(benefit) is summarized as follows:</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tcPr>
          <w:p>
            <w:pPr>
              <w:ind w:left="540"/>
              <w:spacing w:after="0"/>
              <w:rPr>
                <w:sz w:val="20"/>
                <w:szCs w:val="20"/>
                <w:color w:val="auto"/>
              </w:rPr>
            </w:pPr>
            <w:r>
              <w:rPr>
                <w:rFonts w:ascii="Arial" w:cs="Arial" w:eastAsia="Arial" w:hAnsi="Arial"/>
                <w:sz w:val="18"/>
                <w:szCs w:val="18"/>
                <w:b w:val="1"/>
                <w:bCs w:val="1"/>
                <w:color w:val="auto"/>
              </w:rPr>
              <w:t>2018 vs. 2017</w:t>
            </w:r>
          </w:p>
        </w:tc>
        <w:tc>
          <w:tcPr>
            <w:tcW w:w="21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Change</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34"/>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4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2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92,776</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(110.8)%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(85,278)</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&lt; (1,000)%</w:t>
            </w:r>
          </w:p>
        </w:tc>
      </w:tr>
      <w:tr>
        <w:trPr>
          <w:trHeight w:val="27"/>
        </w:trPr>
        <w:tc>
          <w:tcPr>
            <w:tcW w:w="2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Our effective tax rate in fiscal 2018 differs from the U.S. statutory rate of 21% principally due to the impact of U.S. state taxes and the accrual of interest on uncertain tax positions offset by tax benefits arising from the release of the valuation allowance against Canada deferred tax assets, and stock compensation deductions.</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increase in effective income tax rate for the year ended December 31, 2018 was due to the fact that we were maintaining a full valuation allowance on our domestic and most of our foreign net deferred tax assets prior to December 31, 2017, at which time the valuation allowance related to our domestic net deferred tax assets was released, generating a tax benefit of $141.1 million.</w:t>
      </w:r>
    </w:p>
    <w:p>
      <w:pPr>
        <w:spacing w:after="0" w:line="181"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The income tax expense for the year ended December 31, 2018 was primarily due to the income generated in the period and the accrual of interest associated with uncertain tax positions, offset by the release of the valuation allowance against our Canada deferred tax assets and tax benefits arising from stock compensation deductions. The income tax benefit for the year ended December 31, 2017 was primarily due to the release of our valuation allowance against our domestic deferred tax assets, which generated a benefit of $141.1 million, offset by the impact of the U.S. federal tax rate change enacted under the Tax Cuts and Jobs Act of 2017, which generated a tax expense of $45.1 million related to the reduced tax-effected value of the ending net deferred tax assets at December 31, 2017. The income tax expense for the year ended December 31, 2016 was primarily from the accrual of interest on uncertain tax positions.</w:t>
      </w:r>
    </w:p>
    <w:p>
      <w:pPr>
        <w:spacing w:after="0" w:line="18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regularly assess our ability to realize our deferred tax assets. Assessing the realizability of deferred tax assets requires significant management judgment. In determining whether our deferred tax assets are more-likely-than-not realizable, we evaluate all available positive and negative evidence, and weigh the objective evidence and expected impact. We released the full valuation allowance recorded against our Canada deferred tax assets during the year ended December 31, 2018. We released the full valuation allowance recorded against our domestic deferred tax assets during the year ended December 31, 2017. We continue to record a valuation allowance against certain of our foreign net deferred tax assets.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75"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6"/>
        </w:trPr>
        <w:tc>
          <w:tcPr>
            <w:tcW w:w="5700" w:type="dxa"/>
            <w:vAlign w:val="bottom"/>
            <w:gridSpan w:val="4"/>
          </w:tcPr>
          <w:p>
            <w:pPr>
              <w:ind w:left="420"/>
              <w:spacing w:after="0"/>
              <w:rPr>
                <w:sz w:val="20"/>
                <w:szCs w:val="20"/>
                <w:color w:val="auto"/>
              </w:rPr>
            </w:pPr>
            <w:r>
              <w:rPr>
                <w:rFonts w:ascii="Arial" w:cs="Arial" w:eastAsia="Arial" w:hAnsi="Arial"/>
                <w:sz w:val="18"/>
                <w:szCs w:val="18"/>
                <w:color w:val="auto"/>
                <w:w w:val="93"/>
              </w:rPr>
              <w:t>Our effective tax rate for each reporting period is presented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132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(211.3)%</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94"/>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Cash Flows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5700" w:type="dxa"/>
            <w:vAlign w:val="bottom"/>
            <w:gridSpan w:val="4"/>
          </w:tcPr>
          <w:p>
            <w:pPr>
              <w:ind w:left="420"/>
              <w:spacing w:after="0"/>
              <w:rPr>
                <w:sz w:val="20"/>
                <w:szCs w:val="20"/>
                <w:color w:val="auto"/>
              </w:rPr>
            </w:pPr>
            <w:r>
              <w:rPr>
                <w:rFonts w:ascii="Arial" w:cs="Arial" w:eastAsia="Arial" w:hAnsi="Arial"/>
                <w:sz w:val="18"/>
                <w:szCs w:val="18"/>
                <w:color w:val="auto"/>
              </w:rPr>
              <w:t>The following table provides information regarding our cash flows: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tcPr>
          <w:p>
            <w:pPr>
              <w:ind w:left="2180"/>
              <w:spacing w:after="0"/>
              <w:rPr>
                <w:sz w:val="20"/>
                <w:szCs w:val="20"/>
                <w:color w:val="auto"/>
              </w:rPr>
            </w:pPr>
            <w:r>
              <w:rPr>
                <w:rFonts w:ascii="Arial" w:cs="Arial" w:eastAsia="Arial" w:hAnsi="Arial"/>
                <w:sz w:val="18"/>
                <w:szCs w:val="18"/>
                <w:b w:val="1"/>
                <w:bCs w:val="1"/>
                <w:color w:val="auto"/>
                <w:w w:val="98"/>
              </w:rPr>
              <w:t>(in thousands)</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500" w:type="dxa"/>
            <w:vAlign w:val="bottom"/>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61,193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49,642</w:t>
            </w:r>
          </w:p>
        </w:tc>
      </w:tr>
      <w:tr>
        <w:trPr>
          <w:trHeight w:val="243"/>
        </w:trPr>
        <w:tc>
          <w:tcPr>
            <w:tcW w:w="500" w:type="dxa"/>
            <w:vAlign w:val="bottom"/>
          </w:tcPr>
          <w:p>
            <w:pPr>
              <w:spacing w:after="0"/>
              <w:rPr>
                <w:sz w:val="21"/>
                <w:szCs w:val="21"/>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(19,132)</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(16,309)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3,281</w:t>
            </w: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r>
      <w:tr>
        <w:trPr>
          <w:trHeight w:val="27"/>
        </w:trPr>
        <w:tc>
          <w:tcPr>
            <w:tcW w:w="50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cash provided by operating activities of $61.2 million in the year ended December 31, 2018 was driven primarily by net income of $40.5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plus $13.9 million of depreciation, amortization and accretion expense, $8.7 million of stock-based compensation expense and changes in deferred taxes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 million. These net sources of cash were offset by a net decrease of $14.0 million related to movements in our working capital accounts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overall decreases in cash from our working capital accounts were primarily driven by the strategic inventory build during the period to mitigate sole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supplier risk as well as higher accounts receivable due to increased sales.</w:t>
      </w:r>
    </w:p>
    <w:p>
      <w:pPr>
        <w:spacing w:after="0" w:line="21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Net cash provided by operating activities of $54.8 million for the year ended December 31, 2017 was driven primarily by net income of $123.4 million plus $19.2 million of depreciation, amortization and accretion expense, $5.9 million of stock-based compensation expense, offset by deferred taxes of $86.9 million related to the release of our valuation on our domestic net deferred tax assets during the year. In addition, we had an increase in our tax indemnification receivable of $8.4 million resulting primarily from the impact of recent U.S. federal tax legislation. These net sources of cash were offset by a net decrease of $8.3 million related to movements in our working capital accounts during the period. The overall decreases in cash from our working capital accounts were primarily driven by higher accounts receivable related to increases in revenues to certain major customers and the timing of inventory purchases during the period offset by increases in accrued expenses primarily due to the timing of payments.</w:t>
      </w:r>
    </w:p>
    <w:p>
      <w:pPr>
        <w:spacing w:after="0" w:line="17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Net cash provided by operating activities of $49.6 million for the year ended December 31, 2016 was driven primarily by net income of $26.8 million plus $18.3 million of depreciation, amortization and accretion expense and $1.9 million of debt retirement costs offset by the gain on sale of assets of $6.4 million. In addition, our increase in cash from working capital during the year ended December 31, 2016, was driven primarily by an increase of $5.7 million in accounts payable due to the timing of payment runs and a $1.3 million increase in accrued expenses primarily due to an increase in accrued bonus, offset by a $3.6 million increase in inventory due to the timing of inventory receipts and a $1.1 million increase in accounts receivable due to increased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117"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2018 reflected $20.1 million in capital expenditures offset by the cash proceeds of $1.0 million received from the sale of land.</w:t>
      </w:r>
    </w:p>
    <w:p>
      <w:pPr>
        <w:spacing w:after="0" w:line="17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Net cash used in investing activities during the year ended December 31, 2017 is primarily attributable to capital expenditures of $17.5 million offset by the cash proceeds of $1.2 million received from the sale of assets from our Australian radiopharmacy business during the third quarter of 2016.</w:t>
      </w:r>
    </w:p>
    <w:p>
      <w:pPr>
        <w:spacing w:after="0" w:line="12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Net cash provided by investing activities during the year ended December 31, 2016 was primarily due to cash proceeds of $10.6 million received from the sales of our Canadian and Australian radiopharmacy businesses, offset by capital expenditures of $7.4 million.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62"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Net cash used in financing activities during the year ended December 31, 2018 reflected payments for minimum statutory tax withholding related to net share settlement of equity awards of $3.4 million, payments on long-term debt of $2.9 million, offset by proceeds of $1.2 million from the exercise of stock options.</w:t>
      </w:r>
    </w:p>
    <w:p>
      <w:pPr>
        <w:spacing w:after="0" w:line="181"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Net cash used in financing activities during the year ended December 31, 2017 is primarily attributable to the net cash outflow of $11.9 million in connection with our refinancing of our previous $365 million seven-year term loan agreement with a new five-year $275 million term loan facility.</w:t>
      </w:r>
    </w:p>
    <w:p>
      <w:pPr>
        <w:spacing w:after="0" w:line="124"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Net cash used in financing activities during the year ended December 31, 2016 was primarily used to repay $55.0 million of the outstanding principal balance of our $365 million Term Facility with net proceeds of $39.9 million associated with the completion of a follow-on underwritten primary offering, and $15.1 million from cash on hand.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March 2017, we refinanced our 2015 $365 million seven-year term loan facility with a new five-year $275 million term loan facility (the “2017 Term Facility” and the loans thereunder, the “Term Loans”). In addition, we replaced our revolving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us, the lenders from time to time party thereto and JPMorgan Chase Bank, N.A., as administrative agent and collateral agent.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78"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On November 29, 2017, we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 Loans under the 2017 Term Facility bear interest, with pricing based from time to time at our election at (i) LIBOR plus a spread of 3.75% or</w:t>
      </w:r>
    </w:p>
    <w:p>
      <w:pPr>
        <w:spacing w:after="0" w:line="46" w:lineRule="exact"/>
        <w:rPr>
          <w:sz w:val="20"/>
          <w:szCs w:val="20"/>
          <w:color w:val="auto"/>
        </w:rPr>
      </w:pPr>
    </w:p>
    <w:p>
      <w:pPr>
        <w:ind w:firstLine="8"/>
        <w:spacing w:after="0" w:line="277"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Base Rate plus a spread of 2.75%. Interest is payable (i) with respect to LIBOR Term Loans, at the end of each Interest Period (as defined in the Credit Agreement) and (ii) with respect to Base Rate Term Loans, at the end of each quarter. At December 31, 2018, our interest rate under the 2017 Term Facility was 6.3%. As of December 31, 2018, the principal balance outstanding on our 2017 Term Facility was $270.2 million.</w:t>
      </w:r>
    </w:p>
    <w:p>
      <w:pPr>
        <w:spacing w:after="0" w:line="173"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our election at (i) LIBOR plus a spread of 3.00% or (ii) the Base Rate (as defined in the Credit Agreement) plus a spread of 2.00%. The 2017 Revolving Facility also includes an unused line fee, which is set at 0.38% while our secured leverage ratio (as defined in the Credit Agreement) is greater than 3.00 to 1.00 and 0.25% when our secured leverage ratio is less than or equal to 3.00 to 1.00.</w:t>
      </w:r>
    </w:p>
    <w:p>
      <w:pPr>
        <w:spacing w:after="0" w:line="187" w:lineRule="exact"/>
        <w:rPr>
          <w:sz w:val="20"/>
          <w:szCs w:val="20"/>
          <w:color w:val="auto"/>
        </w:rPr>
      </w:pPr>
    </w:p>
    <w:p>
      <w:pPr>
        <w:ind w:right="480" w:firstLine="405"/>
        <w:spacing w:after="0" w:line="255" w:lineRule="auto"/>
        <w:rPr>
          <w:sz w:val="20"/>
          <w:szCs w:val="20"/>
          <w:color w:val="auto"/>
        </w:rPr>
      </w:pPr>
      <w:r>
        <w:rPr>
          <w:rFonts w:ascii="Arial" w:cs="Arial" w:eastAsia="Arial" w:hAnsi="Arial"/>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75"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Facility Financial Covenants</w:t>
      </w:r>
    </w:p>
    <w:p>
      <w:pPr>
        <w:spacing w:after="0" w:line="90"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68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920" w:type="dxa"/>
            <w:vAlign w:val="bottom"/>
          </w:tcPr>
          <w:p>
            <w:pPr>
              <w:ind w:left="1420"/>
              <w:spacing w:after="0"/>
              <w:rPr>
                <w:sz w:val="20"/>
                <w:szCs w:val="20"/>
                <w:color w:val="auto"/>
              </w:rPr>
            </w:pPr>
            <w:r>
              <w:rPr>
                <w:rFonts w:ascii="Arial" w:cs="Arial" w:eastAsia="Arial" w:hAnsi="Arial"/>
                <w:sz w:val="18"/>
                <w:szCs w:val="18"/>
                <w:b w:val="1"/>
                <w:bCs w:val="1"/>
                <w:color w:val="auto"/>
              </w:rPr>
              <w:t>Period</w:t>
            </w:r>
          </w:p>
        </w:tc>
        <w:tc>
          <w:tcPr>
            <w:tcW w:w="268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9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Q1 2019</w:t>
            </w:r>
          </w:p>
        </w:tc>
        <w:tc>
          <w:tcPr>
            <w:tcW w:w="268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0"/>
              </w:rPr>
              <w:t>4.75 to 1.00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80" w:type="dxa"/>
            <w:vAlign w:val="bottom"/>
          </w:tcPr>
          <w:p>
            <w:pPr>
              <w:jc w:val="center"/>
              <w:ind w:left="330"/>
              <w:spacing w:after="0"/>
              <w:rPr>
                <w:sz w:val="20"/>
                <w:szCs w:val="20"/>
                <w:color w:val="auto"/>
              </w:rPr>
            </w:pPr>
            <w:r>
              <w:rPr>
                <w:rFonts w:ascii="Arial" w:cs="Arial" w:eastAsia="Arial" w:hAnsi="Arial"/>
                <w:sz w:val="18"/>
                <w:szCs w:val="18"/>
                <w:color w:val="auto"/>
                <w:w w:val="90"/>
              </w:rPr>
              <w:t>4.50 to 1.00</w:t>
            </w:r>
          </w:p>
        </w:tc>
      </w:tr>
    </w:tbl>
    <w:p>
      <w:pPr>
        <w:spacing w:after="0" w:line="39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and obligations under the 2017 Facility are generally secured by first priority liens over substantially all of the assets of each of LMI, Holdings and Lantheus MI Real Estate, LLC (subject to customary exclusions set forth in the transaction documents) owned as of March 30, 2017 or thereafter acquired.</w:t>
      </w:r>
    </w:p>
    <w:p>
      <w:pPr>
        <w:spacing w:after="0" w:line="181"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80" w:right="2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acquiring or in-licensing new products, businesses or technologies, together with the costs of pursuing opportunities that are not eventually consummated;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pricing environment and the level of product sales of our currently marketed products, particularly DEFINITY and any additional products that we may market in the future;</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investment in the further clinical development and commercialization of existing products and development candidates;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 and raw materials and components;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1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extent to which we choose to establish collaboration, co-promotion, distribution or other similar arrangements for our marketed products;</w:t>
      </w:r>
    </w:p>
    <w:p>
      <w:pPr>
        <w:spacing w:after="0" w:line="140" w:lineRule="exact"/>
        <w:rPr>
          <w:rFonts w:ascii="Arial" w:cs="Arial" w:eastAsia="Arial" w:hAnsi="Arial"/>
          <w:sz w:val="16"/>
          <w:szCs w:val="16"/>
          <w:color w:val="auto"/>
        </w:rPr>
      </w:pPr>
    </w:p>
    <w:p>
      <w:pPr>
        <w:ind w:left="980" w:right="4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75"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Until we successfully become dual sourced for our principal products, we are vulnerable to future supply shortages. Disruption in the financial performance could also occur if we experience significant adverse changes in product or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65"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At December 31, 2018, our only current committed external source of funds is our borrowing availability under our 2017 Revolving Facility. We had $113.4 million of cash and cash equivalents at December 31, 2018.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consolidated net leverage. Accordingly, we may be limited in utilizing the full amount of our 2017 Revolving Facility as a source of liquidity.</w:t>
      </w:r>
    </w:p>
    <w:p>
      <w:pPr>
        <w:spacing w:after="0" w:line="17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89"/>
              </w:rPr>
              <w:t>Payments Due by Period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More than</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1 - 3 Years</w:t>
            </w:r>
          </w:p>
        </w:tc>
        <w:tc>
          <w:tcPr>
            <w:tcW w:w="2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3 -5 Years</w:t>
            </w:r>
          </w:p>
        </w:tc>
        <w:tc>
          <w:tcPr>
            <w:tcW w:w="18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(principal)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Interest on debt obligations</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331,307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relates to the minimum interest under our 2017 Term Facility.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leases include minimum payments under leases for our facilities and certain equipment.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purchase orders for inventory in the normal course of business.</w:t>
      </w:r>
    </w:p>
    <w:p>
      <w:pPr>
        <w:spacing w:after="0" w:line="9" w:lineRule="exact"/>
        <w:rPr>
          <w:rFonts w:ascii="Arial" w:cs="Arial" w:eastAsia="Arial" w:hAnsi="Arial"/>
          <w:sz w:val="18"/>
          <w:szCs w:val="18"/>
          <w:color w:val="auto"/>
        </w:rPr>
      </w:pPr>
    </w:p>
    <w:p>
      <w:pPr>
        <w:ind w:left="540" w:right="140" w:hanging="316"/>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other long-term liabilities in the consolidated balance sheet include unrecognized tax benefits and related interest and penalties. As of December 31, 2018, we had unrecognized tax benefits of $40.2 million, which included interest and penalties, classified as noncurrent liabilities. At this time, we are unable to make a reasonably reliable estimate of the timing of payments in individual years in connection with these tax liabilities; therefore, such amounts are not included in the above contractual obligation table.</w:t>
      </w:r>
    </w:p>
    <w:p>
      <w:pPr>
        <w:spacing w:after="0" w:line="1" w:lineRule="exact"/>
        <w:rPr>
          <w:rFonts w:ascii="Arial" w:cs="Arial" w:eastAsia="Arial" w:hAnsi="Arial"/>
          <w:sz w:val="18"/>
          <w:szCs w:val="18"/>
          <w:color w:val="auto"/>
        </w:rPr>
      </w:pPr>
    </w:p>
    <w:p>
      <w:pPr>
        <w:ind w:left="540" w:right="60" w:hanging="316"/>
        <w:spacing w:after="0" w:line="255"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excluded asset retirement obligations from the table above due to the uncertainty of the timing of the future cash outflows related to the decommissioning of our radioactive operations. As of December 31, 2018, the liability, which was approximately $11.6 million, was measured at the present value of the obligation expected to be incurred of approximately $26.9 million.</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175"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are required to provide the NRC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and contract services,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the following represent our critical accounting policies and estimates used in the preparation of our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our accounting policy for revenue recognition under ASC 605, refer to Item 8 of the Annual Report on Form 10-K for the year ended December 31, 2017. The adoption of ASC 606 did not have a material impact on our consolidated balance sheet, results of operations, equity or cash flows as of the adoption date or for the periods presented.</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w:t>
      </w:r>
    </w:p>
    <w:p>
      <w:pPr>
        <w:spacing w:after="0" w:line="19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derive our revenues through arrangements with customers for product sales as well as licensing and royalty arrangements. We sell our products principally to hospitals and clinics, radiopharmacies, and distributors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75"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w:t>
      </w:r>
    </w:p>
    <w:p>
      <w:pPr>
        <w:spacing w:after="0" w:line="18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Inventory includes material, direct labor and related manufacturing overhead, and are stated at the lower of cost or market determined on a first-in, first-out basis. We record inventory when we take title to the product. We assess the recoverability of inventory to determine whether adjustments for impairment are required. Inventory that is in excess of future requirements is written down to its estimated net 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account for income taxes using an asset and liability approach. Income tax expense (benefit)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15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December 22, 2017, the United States enacted the Tax Cuts and Jobs Act of 2017 (the “Act”). The Act is significant and has wide-ranging effects. The primary material impact to the Company was on our net U.S. deferred tax assets, which were reduced as a result of the reduction in U.S. corporate tax rates from 35% to 21% for years beginning on or after January 1, 2018. We recorded tax expense of $45.1 million during the year ended December 31, 2017, to reflect the impact of the Act on our net deferred tax assets carrying value. We have reviewed the guidance issued by the U.S. Treasury concerning the repatriation transition tax. The repatriation transition tax impacted U.S. entities with accumulated yet unrepatriated or 'untaxed' foreign earnings. As of December 31, 2017, we had no accumulated unrepatriated foreign earnings, and therefore were not affected by the new provisions of the Act concerning the repatriation transition tax.</w:t>
      </w:r>
    </w:p>
    <w:p>
      <w:pPr>
        <w:spacing w:after="0" w:line="18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regularly assess our ability to realize our deferred tax assets, and that assessment requires significant management judgment. In determining whether our deferred tax assets are more-likely-than-not realizable, we evaluate all available positive and negative evidence, and weigh that evidence based on its objective verifiability and expected impact.</w:t>
      </w:r>
    </w:p>
    <w:p>
      <w:pPr>
        <w:spacing w:after="0" w:line="18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During the fourth quarter of 2017, we determined, based on our consideration of the weight of positive and negative evidence, that there was sufficient positive evidence that our U.S. federal and state deferred tax assets were more-likely-than-not realizable as of December 31, 2017. Our conclusion was primarily driven by the achievement of a sustained level of profitability, the expectation of sustained future profitability, and mitigating factors related to external supplier and customer risk sufficient to outweigh the available negative evidence. Accordingly, we released the valuation allowance previously recorded against our U.S. net deferred tax assets resulting in an income tax benefit of $141.1 million. We have continued to assess the level of the valuation allowance required and if the weight of negative evidence exists in future periods to again support the recording of a partial or full valuation allowance against our U.S. deferred tax assets, that would likely have a material negative impact on our results of operations in that future period.</w:t>
      </w:r>
    </w:p>
    <w:p>
      <w:pPr>
        <w:spacing w:after="0" w:line="16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the fourth quarter of 2018, we further determined, based on our consideration of the weight of relevant positive and negative evidence, that there was sufficient positive evidence that our Canada deferred tax assets were more-likely-than-not realizable as of December 31, 2018. Our conclusion was primarily driven by the achievement of a sustained level of profitability and the expectation of sustained future profitability. Accordingly, we released the valuation allowance previously recorded against our Canada net deferred tax assets resulting in an income tax benefit of $4.0 million. We continue to maintain a valuation allowance of $1.0 million on foreign net deferred tax assets generated where there is still an insufficient history of cumulative profitability in the relevant jurisdiction.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75"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measurement analysis method for determining the financial statement impact of uncertain tax positions taken or expected to be taken in a tax return. Differences between tax positions taken in a tax return and amounts recognized in the financial statements are recorded as adjustments to income taxes payable or receivable, or adjustments to deferred taxes, or both. We record the related interest and penalties to income tax expense (benefit).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a tax indemnification agreement with BMS related to certain contingent tax obligations arising prior to the acquisition of the business from BMS. The contingent tax obligations are recognized as long-term liabilities, and a tax indemnification receivable is recognized within other noncurrent assets. Changes in the tax indemnification asset are recognized within other income in the statements of operations, and changes in the liabilities are recorded within the tax provision. Accordingly, as these reserves change, adjustments are included in the tax provision while the offsetting adjustment is included in other income. Assuming that we continue to consider the receivable from BMS to be fully recoverable, there is no net effect on earnings related to these liabilities and no net cash outflows.</w:t>
      </w:r>
    </w:p>
    <w:p>
      <w:pPr>
        <w:spacing w:after="0" w:line="19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calculation of our tax liabilities involves certain estimates, assumptions and the application of complex tax regulations in multiple jurisdictions worldwide. Any material change in our estimates or assumptions, or the tax regulations, may have a material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We are exposed to market risk from changes in interest rates and foreign currency exchange rates. We do not hold or issue financial instruments to reduce these risks or for trading purposes and have not historically used derivative financial instruments or other financial instruments to hedge these economic exposures.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Under our 2017 Facility, we have substantial variable rate debt. Fluctuations in interest rates may affect our business, financial condition, results of operations and cash flows. As of December 31, 2018, we had $270.2 million outstanding principal under our 2017 Term Facility with variable interest rates.</w:t>
      </w:r>
    </w:p>
    <w:p>
      <w:pPr>
        <w:spacing w:after="0" w:line="124"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Furthermore, we are subject to interest rate risk in connection with our 2017 Revolving Facility, which is variable rate indebtedness. Interest rate changes could increase the amount of our interest payments and thus negatively impact our future earnings and cash flows. As of December 31, 2018, there was availability of $75.0 million on the 2017 Revolving Facility. Any increase in the interest rate under the 2017 Revolving Facility may have a negative impact on our future earnings to the extent we have outstanding borrowings under the 2017 Revolving Facility. The effect of a 100 basis points adverse change in market interest rates on our 2017 Term Facility, in excess of applicable minimum floors, on our interest expense would be approximately $2.8 million.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Historically, we have not used derivative financial instruments or other financial instruments to hedge such economic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face exposure to movements in foreign currency exchange rates whenever we, or any of our subsidiaries, enter into transactions with third parties that are denominated in currencies other than ours, or that subsidiary’s, functional currency. Intercompany transactions between entities that use different functional currencies also expose us to foreign currency risk.</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the years ended December 31, 2018, 2017 and 2016, the net impact of foreign currency changes on transactions was a loss of $0.6 million, a gain of $0.3 million and a loss of $0.9 million, respectively. Historically, we have not used derivative financial instruments or other financial instruments to hedge these economic exposures.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Canadian dollar presents the primary currency risk on our earnings. At December 31, 2018, a hypothetical 10% change in value of the U.S. dollar relative to the Canadian dollar would not have materially affected our financial instruments.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7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3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10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034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102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66</w:t>
              </w:r>
            </w:hyperlink>
          </w:p>
        </w:tc>
      </w:tr>
      <w:tr>
        <w:trPr>
          <w:trHeight w:val="243"/>
        </w:trPr>
        <w:tc>
          <w:tcPr>
            <w:tcW w:w="10340" w:type="dxa"/>
            <w:vAlign w:val="bottom"/>
          </w:tcPr>
          <w:p>
            <w:pPr>
              <w:ind w:left="20"/>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as of December 31, 2018 and 2017</w:t>
              </w:r>
            </w:hyperlink>
          </w:p>
        </w:tc>
        <w:tc>
          <w:tcPr>
            <w:tcW w:w="1020" w:type="dxa"/>
            <w:vAlign w:val="bottom"/>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67</w:t>
              </w:r>
            </w:hyperlink>
          </w:p>
        </w:tc>
      </w:tr>
      <w:tr>
        <w:trPr>
          <w:trHeight w:val="27"/>
        </w:trPr>
        <w:tc>
          <w:tcPr>
            <w:tcW w:w="10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2018, 2017 and 2016</w:t>
              </w:r>
            </w:hyperlink>
          </w:p>
        </w:tc>
        <w:tc>
          <w:tcPr>
            <w:tcW w:w="102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68</w:t>
              </w:r>
            </w:hyperlink>
          </w:p>
        </w:tc>
      </w:tr>
      <w:tr>
        <w:trPr>
          <w:trHeight w:val="243"/>
        </w:trPr>
        <w:tc>
          <w:tcPr>
            <w:tcW w:w="10340" w:type="dxa"/>
            <w:vAlign w:val="bottom"/>
          </w:tcPr>
          <w:p>
            <w:pPr>
              <w:ind w:left="20"/>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Comprehensive Income for the Years Ended December 31, 2018, 2017 and 2016</w:t>
              </w:r>
            </w:hyperlink>
          </w:p>
        </w:tc>
        <w:tc>
          <w:tcPr>
            <w:tcW w:w="1020" w:type="dxa"/>
            <w:vAlign w:val="bottom"/>
          </w:tcPr>
          <w:p>
            <w:pPr>
              <w:jc w:val="center"/>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69</w:t>
              </w:r>
            </w:hyperlink>
          </w:p>
        </w:tc>
      </w:tr>
      <w:tr>
        <w:trPr>
          <w:trHeight w:val="27"/>
        </w:trPr>
        <w:tc>
          <w:tcPr>
            <w:tcW w:w="10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Changes in Stockholders’ Equity (Deficit) for the Years Ended December 31, 2018, 2017 and 2016</w:t>
              </w:r>
            </w:hyperlink>
          </w:p>
        </w:tc>
        <w:tc>
          <w:tcPr>
            <w:tcW w:w="102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70</w:t>
              </w:r>
            </w:hyperlink>
          </w:p>
        </w:tc>
      </w:tr>
      <w:tr>
        <w:trPr>
          <w:trHeight w:val="243"/>
        </w:trPr>
        <w:tc>
          <w:tcPr>
            <w:tcW w:w="10340" w:type="dxa"/>
            <w:vAlign w:val="bottom"/>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December 31, 2018, 2017 and 2016</w:t>
              </w:r>
            </w:hyperlink>
          </w:p>
        </w:tc>
        <w:tc>
          <w:tcPr>
            <w:tcW w:w="1020" w:type="dxa"/>
            <w:vAlign w:val="bottom"/>
          </w:tcPr>
          <w:p>
            <w:pPr>
              <w:jc w:val="center"/>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71</w:t>
              </w:r>
            </w:hyperlink>
          </w:p>
        </w:tc>
      </w:tr>
      <w:tr>
        <w:trPr>
          <w:trHeight w:val="27"/>
        </w:trPr>
        <w:tc>
          <w:tcPr>
            <w:tcW w:w="10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73</w:t>
              </w:r>
            </w:hyperlink>
          </w:p>
        </w:tc>
      </w:tr>
      <w:tr>
        <w:trPr>
          <w:trHeight w:val="675"/>
        </w:trPr>
        <w:tc>
          <w:tcPr>
            <w:tcW w:w="10340" w:type="dxa"/>
            <w:vAlign w:val="bottom"/>
          </w:tcPr>
          <w:p>
            <w:pPr>
              <w:ind w:left="5580"/>
              <w:spacing w:after="0"/>
              <w:rPr>
                <w:sz w:val="20"/>
                <w:szCs w:val="20"/>
                <w:color w:val="auto"/>
              </w:rPr>
            </w:pPr>
            <w:r>
              <w:rPr>
                <w:rFonts w:ascii="Arial" w:cs="Arial" w:eastAsia="Arial" w:hAnsi="Arial"/>
                <w:sz w:val="18"/>
                <w:szCs w:val="18"/>
                <w:color w:val="auto"/>
              </w:rPr>
              <w:t>65</w:t>
            </w: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have audited the accompanying consolidated balance sheets of Lantheus Holdings, Inc. and subsidiaries (the “Company”) as of December 31, 2018 and 2017, and the related consolidated statements of operations, comprehensive income,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7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(in thousands, except par value)</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43,753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107,888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30,232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439,831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Revolving line of credit</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32,050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1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52,755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263,709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120" w:type="dxa"/>
            <w:vAlign w:val="bottom"/>
          </w:tcPr>
          <w:p>
            <w:pPr>
              <w:ind w:left="26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368,829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(see Note 15)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Preferred stock ($0.01 par value, 25,000 shares authorized; no shares issued and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4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w w:val="95"/>
              </w:rPr>
              <w:t>Common stock ($0.01 par value, 250,000 shares authorized; 38,466 and 37,765</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shares issued and outstanding, respectively)</w:t>
            </w: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232,960</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(168,140)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(209,013)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6120" w:type="dxa"/>
            <w:vAlign w:val="bottom"/>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71,002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439,831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620"/>
          </w:cols>
          <w:pgMar w:left="240" w:top="175" w:right="10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76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0"/>
              </w:rPr>
              <w:t>Lantheus Holdings, Inc.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5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54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(in thousands, except per share data)</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7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343,374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301,853</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168,489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169,243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164,073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3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174,885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137,780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36,542</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64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38,832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4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110,397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110,282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87,577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sales of assets</w:t>
            </w:r>
          </w:p>
        </w:tc>
        <w:tc>
          <w:tcPr>
            <w:tcW w:w="1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40" w:type="dxa"/>
            <w:vAlign w:val="bottom"/>
            <w:gridSpan w:val="2"/>
          </w:tcPr>
          <w:p>
            <w:pPr>
              <w:ind w:left="700"/>
              <w:spacing w:after="0"/>
              <w:rPr>
                <w:sz w:val="20"/>
                <w:szCs w:val="20"/>
                <w:color w:val="auto"/>
              </w:rPr>
            </w:pPr>
            <w:r>
              <w:rPr>
                <w:rFonts w:ascii="Arial" w:cs="Arial" w:eastAsia="Arial" w:hAnsi="Arial"/>
                <w:sz w:val="18"/>
                <w:szCs w:val="18"/>
                <w:color w:val="auto"/>
              </w:rPr>
              <w:t>Operating income</w:t>
            </w:r>
          </w:p>
        </w:tc>
        <w:tc>
          <w:tcPr>
            <w:tcW w:w="17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56,588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26,618</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Debt retirement costs</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3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Income before income taxes</w:t>
            </w:r>
          </w:p>
        </w:tc>
        <w:tc>
          <w:tcPr>
            <w:tcW w:w="17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28,294</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7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 w:type="dxa"/>
            <w:vAlign w:val="bottom"/>
          </w:tcPr>
          <w:p>
            <w:pPr>
              <w:spacing w:after="0"/>
              <w:rPr>
                <w:sz w:val="22"/>
                <w:szCs w:val="22"/>
                <w:color w:val="auto"/>
              </w:rPr>
            </w:pPr>
          </w:p>
        </w:tc>
        <w:tc>
          <w:tcPr>
            <w:tcW w:w="3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27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1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364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3640" w:type="dxa"/>
            <w:vAlign w:val="bottom"/>
            <w:gridSpan w:val="2"/>
            <w:vMerge w:val="continue"/>
          </w:tcPr>
          <w:p>
            <w:pPr>
              <w:spacing w:after="0"/>
              <w:rPr>
                <w:sz w:val="19"/>
                <w:szCs w:val="19"/>
                <w:color w:val="auto"/>
              </w:rPr>
            </w:pPr>
          </w:p>
        </w:tc>
        <w:tc>
          <w:tcPr>
            <w:tcW w:w="27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640" w:type="dxa"/>
            <w:vAlign w:val="bottom"/>
            <w:tcBorders>
              <w:bottom w:val="single" w:sz="8" w:color="CCEEFF"/>
            </w:tcBorders>
          </w:tcPr>
          <w:p>
            <w:pPr>
              <w:spacing w:after="0"/>
              <w:rPr>
                <w:sz w:val="5"/>
                <w:szCs w:val="5"/>
                <w:color w:val="auto"/>
              </w:rPr>
            </w:pPr>
          </w:p>
        </w:tc>
        <w:tc>
          <w:tcPr>
            <w:tcW w:w="17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Weighted-average common shares outstanding:</w:t>
            </w:r>
          </w:p>
        </w:tc>
        <w:tc>
          <w:tcPr>
            <w:tcW w:w="17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37,276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640" w:type="dxa"/>
            <w:vAlign w:val="bottom"/>
            <w:tcBorders>
              <w:bottom w:val="single" w:sz="8" w:color="CCEEFF"/>
            </w:tcBorders>
          </w:tcPr>
          <w:p>
            <w:pPr>
              <w:spacing w:after="0"/>
              <w:rPr>
                <w:sz w:val="5"/>
                <w:szCs w:val="5"/>
                <w:color w:val="auto"/>
              </w:rPr>
            </w:pPr>
          </w:p>
        </w:tc>
        <w:tc>
          <w:tcPr>
            <w:tcW w:w="17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Diluted</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240" w:top="162" w:right="5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31"/>
        </w:trPr>
        <w:tc>
          <w:tcPr>
            <w:tcW w:w="13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0"/>
              </w:rPr>
              <w:t>Lantheus Holdings,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00" w:type="dxa"/>
            <w:vAlign w:val="bottom"/>
            <w:gridSpan w:val="2"/>
          </w:tcPr>
          <w:p>
            <w:pPr>
              <w:jc w:val="center"/>
              <w:ind w:left="1230"/>
              <w:spacing w:after="0"/>
              <w:rPr>
                <w:sz w:val="20"/>
                <w:szCs w:val="20"/>
                <w:color w:val="auto"/>
              </w:rPr>
            </w:pPr>
            <w:r>
              <w:rPr>
                <w:rFonts w:ascii="Arial" w:cs="Arial" w:eastAsia="Arial" w:hAnsi="Arial"/>
                <w:sz w:val="18"/>
                <w:szCs w:val="18"/>
                <w:color w:val="auto"/>
                <w:w w:val="89"/>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13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7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26,762</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2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64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Reclassification adjustment for gains on sales of assets included in net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w:t>
            </w:r>
          </w:p>
        </w:tc>
        <w:tc>
          <w:tcPr>
            <w:tcW w:w="2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w:t>
            </w:r>
          </w:p>
        </w:tc>
        <w:tc>
          <w:tcPr>
            <w:tcW w:w="2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13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w w:val="91"/>
              </w:rPr>
              <w:t>Total other comprehensive (loss) income</w:t>
            </w:r>
          </w:p>
        </w:tc>
        <w:tc>
          <w:tcPr>
            <w:tcW w:w="2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3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23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123,298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27,800</w:t>
            </w:r>
          </w:p>
        </w:tc>
      </w:tr>
      <w:tr>
        <w:trPr>
          <w:trHeight w:val="27"/>
        </w:trPr>
        <w:tc>
          <w:tcPr>
            <w:tcW w:w="1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40"/>
          </w:cols>
          <w:pgMar w:left="240" w:top="162" w:right="9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04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204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5"/>
                <w:szCs w:val="15"/>
                <w:color w:val="auto"/>
              </w:rPr>
            </w:pPr>
          </w:p>
        </w:tc>
        <w:tc>
          <w:tcPr>
            <w:tcW w:w="118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2016</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(185,289)</w:t>
            </w:r>
          </w:p>
        </w:tc>
        <w:tc>
          <w:tcPr>
            <w:tcW w:w="0" w:type="dxa"/>
            <w:vAlign w:val="bottom"/>
          </w:tcPr>
          <w:p>
            <w:pPr>
              <w:spacing w:after="0"/>
              <w:rPr>
                <w:sz w:val="1"/>
                <w:szCs w:val="1"/>
                <w:color w:val="auto"/>
              </w:rPr>
            </w:pPr>
          </w:p>
        </w:tc>
      </w:tr>
      <w:tr>
        <w:trPr>
          <w:trHeight w:val="220"/>
        </w:trPr>
        <w:tc>
          <w:tcPr>
            <w:tcW w:w="3500" w:type="dxa"/>
            <w:vAlign w:val="bottom"/>
          </w:tcPr>
          <w:p>
            <w:pPr>
              <w:ind w:left="160"/>
              <w:spacing w:after="0"/>
              <w:rPr>
                <w:sz w:val="20"/>
                <w:szCs w:val="20"/>
                <w:color w:val="auto"/>
              </w:rPr>
            </w:pPr>
            <w:r>
              <w:rPr>
                <w:rFonts w:ascii="Arial" w:cs="Arial" w:eastAsia="Arial" w:hAnsi="Arial"/>
                <w:sz w:val="16"/>
                <w:szCs w:val="16"/>
                <w:color w:val="auto"/>
              </w:rPr>
              <w:t>Issuance of common stock, net of $2,080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160"/>
              <w:spacing w:after="0"/>
              <w:rPr>
                <w:sz w:val="20"/>
                <w:szCs w:val="20"/>
                <w:color w:val="auto"/>
              </w:rPr>
            </w:pPr>
            <w:r>
              <w:rPr>
                <w:rFonts w:ascii="Arial" w:cs="Arial" w:eastAsia="Arial" w:hAnsi="Arial"/>
                <w:sz w:val="16"/>
                <w:szCs w:val="16"/>
                <w:color w:val="auto"/>
              </w:rPr>
              <w:t>issuance costs</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48,758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48,820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26,762</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Vesting of restricted stock awards</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Shares withheld to cover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2016</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(106,516)</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123,385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123,385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loss</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0"/>
        </w:trPr>
        <w:tc>
          <w:tcPr>
            <w:tcW w:w="3500" w:type="dxa"/>
            <w:vAlign w:val="bottom"/>
          </w:tcPr>
          <w:p>
            <w:pPr>
              <w:ind w:left="160"/>
              <w:spacing w:after="0"/>
              <w:rPr>
                <w:sz w:val="20"/>
                <w:szCs w:val="20"/>
                <w:color w:val="auto"/>
              </w:rPr>
            </w:pPr>
            <w:r>
              <w:rPr>
                <w:rFonts w:ascii="Arial" w:cs="Arial" w:eastAsia="Arial" w:hAnsi="Arial"/>
                <w:sz w:val="16"/>
                <w:szCs w:val="16"/>
                <w:color w:val="auto"/>
                <w:w w:val="97"/>
              </w:rPr>
              <w:t>Stock option exercises and employee stock plan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160"/>
              <w:spacing w:after="0"/>
              <w:rPr>
                <w:sz w:val="20"/>
                <w:szCs w:val="20"/>
                <w:color w:val="auto"/>
              </w:rPr>
            </w:pPr>
            <w:r>
              <w:rPr>
                <w:rFonts w:ascii="Arial" w:cs="Arial" w:eastAsia="Arial" w:hAnsi="Arial"/>
                <w:sz w:val="16"/>
                <w:szCs w:val="16"/>
                <w:color w:val="auto"/>
              </w:rPr>
              <w:t>purchases</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Vesting of restricted stock awards</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Shares withheld to cover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5,928</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Balance, December 31, 2017</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37,765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232,960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(209,013)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23,291</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40,518</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Forfeiture of dividend equivalent right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loss</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0"/>
        </w:trPr>
        <w:tc>
          <w:tcPr>
            <w:tcW w:w="3500" w:type="dxa"/>
            <w:vAlign w:val="bottom"/>
          </w:tcPr>
          <w:p>
            <w:pPr>
              <w:ind w:left="160"/>
              <w:spacing w:after="0"/>
              <w:rPr>
                <w:sz w:val="20"/>
                <w:szCs w:val="20"/>
                <w:color w:val="auto"/>
              </w:rPr>
            </w:pPr>
            <w:r>
              <w:rPr>
                <w:rFonts w:ascii="Arial" w:cs="Arial" w:eastAsia="Arial" w:hAnsi="Arial"/>
                <w:sz w:val="16"/>
                <w:szCs w:val="16"/>
                <w:color w:val="auto"/>
                <w:w w:val="97"/>
              </w:rPr>
              <w:t>Stock option exercises and employee stock plan</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06"/>
        </w:trPr>
        <w:tc>
          <w:tcPr>
            <w:tcW w:w="3500" w:type="dxa"/>
            <w:vAlign w:val="bottom"/>
          </w:tcPr>
          <w:p>
            <w:pPr>
              <w:ind w:left="160"/>
              <w:spacing w:after="0"/>
              <w:rPr>
                <w:sz w:val="20"/>
                <w:szCs w:val="20"/>
                <w:color w:val="auto"/>
              </w:rPr>
            </w:pPr>
            <w:r>
              <w:rPr>
                <w:rFonts w:ascii="Arial" w:cs="Arial" w:eastAsia="Arial" w:hAnsi="Arial"/>
                <w:sz w:val="16"/>
                <w:szCs w:val="16"/>
                <w:color w:val="auto"/>
              </w:rPr>
              <w:t>purchases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Vesting of restricted stock awards</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Shares withheld to cover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Balance, December 31, 2018</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38,466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239,865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(168,140)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71,002</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175"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13335</wp:posOffset>
            </wp:positionV>
            <wp:extent cx="2804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40,518</w:t>
            </w:r>
          </w:p>
        </w:tc>
        <w:tc>
          <w:tcPr>
            <w:tcW w:w="120" w:type="dxa"/>
            <w:vAlign w:val="bottom"/>
          </w:tcPr>
          <w:p>
            <w:pPr>
              <w:spacing w:after="0"/>
              <w:rPr>
                <w:sz w:val="16"/>
                <w:szCs w:val="16"/>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123,385</w:t>
            </w:r>
          </w:p>
        </w:tc>
        <w:tc>
          <w:tcPr>
            <w:tcW w:w="120" w:type="dxa"/>
            <w:vAlign w:val="bottom"/>
          </w:tcPr>
          <w:p>
            <w:pPr>
              <w:spacing w:after="0"/>
              <w:rPr>
                <w:sz w:val="16"/>
                <w:szCs w:val="16"/>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26,762</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Depreciation, amortization and accretion</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13,929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19,231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18,263</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related costs</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Provision for bad debt</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Provision for excess and obsolete inventory</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8,718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5,928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Gain on sales of assets</w:t>
            </w: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Loss on impairment of land</w:t>
            </w:r>
          </w:p>
        </w:tc>
        <w:tc>
          <w:tcPr>
            <w:tcW w:w="32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on extinguishment of debt and debt retirement costs</w:t>
            </w: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5,762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(86,946)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Long-term income tax receivable</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Long-term income tax payable and other long-term liabilities</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3,219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Increases (decreases) in cash from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Inventory</w:t>
            </w:r>
          </w:p>
        </w:tc>
        <w:tc>
          <w:tcPr>
            <w:tcW w:w="32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(8,690)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(9,620)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assets</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(2,886)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5,700</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14"/>
                <w:szCs w:val="14"/>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61,193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54,777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49,642</w:t>
            </w:r>
          </w:p>
        </w:tc>
        <w:tc>
          <w:tcPr>
            <w:tcW w:w="0" w:type="dxa"/>
            <w:vAlign w:val="bottom"/>
          </w:tcPr>
          <w:p>
            <w:pPr>
              <w:spacing w:after="0"/>
              <w:rPr>
                <w:sz w:val="1"/>
                <w:szCs w:val="1"/>
                <w:color w:val="auto"/>
              </w:rPr>
            </w:pPr>
          </w:p>
        </w:tc>
      </w:tr>
      <w:tr>
        <w:trPr>
          <w:trHeight w:val="74"/>
        </w:trPr>
        <w:tc>
          <w:tcPr>
            <w:tcW w:w="63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(20,132)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(17,543)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assets</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10,605</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cash (used in) provided by investing activities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(19,132)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(16,309)</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3,281</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50,900</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Payments for public offering costs</w:t>
            </w:r>
          </w:p>
        </w:tc>
        <w:tc>
          <w:tcPr>
            <w:tcW w:w="32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274,313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Payments on long-term debt</w:t>
            </w:r>
          </w:p>
        </w:tc>
        <w:tc>
          <w:tcPr>
            <w:tcW w:w="32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(2,862)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(286,694)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(78,729)</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financing costs</w:t>
            </w: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Proceeds from stock option exercises</w:t>
            </w:r>
          </w:p>
        </w:tc>
        <w:tc>
          <w:tcPr>
            <w:tcW w:w="3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minimum statutory tax withholding related to net share settlement of equity awards</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48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Pr>
          <w:p>
            <w:pPr>
              <w:spacing w:after="0"/>
              <w:rPr>
                <w:sz w:val="14"/>
                <w:szCs w:val="14"/>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(4,668)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(13,450)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(30,217)</w:t>
            </w:r>
          </w:p>
        </w:tc>
        <w:tc>
          <w:tcPr>
            <w:tcW w:w="0" w:type="dxa"/>
            <w:vAlign w:val="bottom"/>
          </w:tcPr>
          <w:p>
            <w:pPr>
              <w:spacing w:after="0"/>
              <w:rPr>
                <w:sz w:val="1"/>
                <w:szCs w:val="1"/>
                <w:color w:val="auto"/>
              </w:rPr>
            </w:pPr>
          </w:p>
        </w:tc>
      </w:tr>
      <w:tr>
        <w:trPr>
          <w:trHeight w:val="74"/>
        </w:trPr>
        <w:tc>
          <w:tcPr>
            <w:tcW w:w="63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14"/>
                <w:szCs w:val="14"/>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37,111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25,112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22,582</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76,290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51,178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28,596</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20"/>
              <w:spacing w:after="0"/>
              <w:rPr>
                <w:sz w:val="20"/>
                <w:szCs w:val="20"/>
                <w:color w:val="auto"/>
              </w:rPr>
            </w:pPr>
            <w:r>
              <w:rPr>
                <w:rFonts w:ascii="Arial" w:cs="Arial" w:eastAsia="Arial" w:hAnsi="Arial"/>
                <w:sz w:val="14"/>
                <w:szCs w:val="14"/>
                <w:color w:val="auto"/>
              </w:rPr>
              <w:t>Cash and cash equivalents, end of year</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113,401</w:t>
            </w:r>
          </w:p>
        </w:tc>
        <w:tc>
          <w:tcPr>
            <w:tcW w:w="120" w:type="dxa"/>
            <w:vAlign w:val="bottom"/>
          </w:tcPr>
          <w:p>
            <w:pPr>
              <w:spacing w:after="0"/>
              <w:rPr>
                <w:sz w:val="14"/>
                <w:szCs w:val="14"/>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76,290</w:t>
            </w:r>
          </w:p>
        </w:tc>
        <w:tc>
          <w:tcPr>
            <w:tcW w:w="120" w:type="dxa"/>
            <w:vAlign w:val="bottom"/>
          </w:tcPr>
          <w:p>
            <w:pPr>
              <w:spacing w:after="0"/>
              <w:rPr>
                <w:sz w:val="14"/>
                <w:szCs w:val="14"/>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51,178</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175" w:right="559" w:bottom="1440" w:gutter="0" w:footer="0" w:header="0"/>
        </w:sect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00"/>
          </w:cols>
          <w:pgMar w:left="240" w:top="175" w:right="5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13335</wp:posOffset>
            </wp:positionV>
            <wp:extent cx="2804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0"/>
              <w:spacing w:after="0"/>
              <w:rPr>
                <w:sz w:val="20"/>
                <w:szCs w:val="20"/>
                <w:color w:val="auto"/>
              </w:rPr>
            </w:pPr>
            <w:r>
              <w:rPr>
                <w:rFonts w:ascii="Arial" w:cs="Arial" w:eastAsia="Arial" w:hAnsi="Arial"/>
                <w:sz w:val="14"/>
                <w:szCs w:val="14"/>
                <w:color w:val="auto"/>
              </w:rPr>
              <w:t>Cash paid during the period for:</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15,869</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16,653</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24,441</w:t>
            </w:r>
          </w:p>
        </w:tc>
        <w:tc>
          <w:tcPr>
            <w:tcW w:w="0" w:type="dxa"/>
            <w:vAlign w:val="bottom"/>
          </w:tcPr>
          <w:p>
            <w:pPr>
              <w:spacing w:after="0"/>
              <w:rPr>
                <w:sz w:val="1"/>
                <w:szCs w:val="1"/>
                <w:color w:val="auto"/>
              </w:rPr>
            </w:pPr>
          </w:p>
        </w:tc>
      </w:tr>
      <w:tr>
        <w:trPr>
          <w:trHeight w:val="60"/>
        </w:trPr>
        <w:tc>
          <w:tcPr>
            <w:tcW w:w="63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60"/>
              <w:spacing w:after="0"/>
              <w:rPr>
                <w:sz w:val="20"/>
                <w:szCs w:val="20"/>
                <w:color w:val="auto"/>
              </w:rPr>
            </w:pPr>
            <w:r>
              <w:rPr>
                <w:rFonts w:ascii="Arial" w:cs="Arial" w:eastAsia="Arial" w:hAnsi="Arial"/>
                <w:sz w:val="14"/>
                <w:szCs w:val="14"/>
                <w:color w:val="auto"/>
              </w:rPr>
              <w:t>Income taxes, net of refunds of $35, $17 and $82, respectively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60" w:type="dxa"/>
            <w:vAlign w:val="bottom"/>
            <w:vMerge w:val="continue"/>
          </w:tcPr>
          <w:p>
            <w:pPr>
              <w:spacing w:after="0"/>
              <w:rPr>
                <w:sz w:val="13"/>
                <w:szCs w:val="13"/>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3"/>
                <w:szCs w:val="13"/>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3"/>
                <w:szCs w:val="13"/>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00"/>
        </w:trPr>
        <w:tc>
          <w:tcPr>
            <w:tcW w:w="6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Schedule of non-cash investing and financing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Arial" w:cs="Arial" w:eastAsia="Arial" w:hAnsi="Arial"/>
                <w:sz w:val="14"/>
                <w:szCs w:val="14"/>
                <w:color w:val="auto"/>
              </w:rPr>
              <w:t>Additions of property, plant and equipment included in liabilities</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7,395</w:t>
            </w:r>
          </w:p>
        </w:tc>
        <w:tc>
          <w:tcPr>
            <w:tcW w:w="120" w:type="dxa"/>
            <w:vAlign w:val="bottom"/>
          </w:tcPr>
          <w:p>
            <w:pPr>
              <w:spacing w:after="0"/>
              <w:rPr>
                <w:sz w:val="16"/>
                <w:szCs w:val="16"/>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2,738</w:t>
            </w:r>
          </w:p>
        </w:tc>
        <w:tc>
          <w:tcPr>
            <w:tcW w:w="120" w:type="dxa"/>
            <w:vAlign w:val="bottom"/>
          </w:tcPr>
          <w:p>
            <w:pPr>
              <w:spacing w:after="0"/>
              <w:rPr>
                <w:sz w:val="16"/>
                <w:szCs w:val="16"/>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00"/>
        </w:trPr>
        <w:tc>
          <w:tcPr>
            <w:tcW w:w="6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360" w:type="dxa"/>
            <w:vAlign w:val="bottom"/>
            <w:shd w:val="clear" w:color="auto" w:fill="CCEEFF"/>
          </w:tcPr>
          <w:p>
            <w:pPr>
              <w:ind w:left="260"/>
              <w:spacing w:after="0" w:line="150" w:lineRule="exact"/>
              <w:rPr>
                <w:sz w:val="20"/>
                <w:szCs w:val="20"/>
                <w:color w:val="auto"/>
              </w:rPr>
            </w:pPr>
            <w:r>
              <w:rPr>
                <w:rFonts w:ascii="Arial" w:cs="Arial" w:eastAsia="Arial" w:hAnsi="Arial"/>
                <w:sz w:val="14"/>
                <w:szCs w:val="14"/>
                <w:color w:val="auto"/>
              </w:rPr>
              <w:t>Receivable in connection with sale of Australian subsidiary</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60"/>
        </w:trPr>
        <w:tc>
          <w:tcPr>
            <w:tcW w:w="63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240" w:top="175"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Lantheus Holdings, Inc., a Delaware corporation, is the parent company of Lantheus Medical Imaging, Inc. (“LMI”), also a Delaware corporation.</w:t>
      </w:r>
    </w:p>
    <w:p>
      <w:pPr>
        <w:spacing w:after="0" w:line="23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 is a global leader in the development, manufacture and commercialization of innovative diagnostic medical imaging agents and other products that assist clinicians in the diagnosis and treatment of cardiovascular and other diseases.</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Company’s commercial products are used by cardiologists, nuclear physicians, radiologists, internal medicine physicians, technologists and sonographers working in a variety of clinical settings. The Company sells its products to radiopharmacies, integrated delivery networks, hospitals, clinics and group practices.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sells its products globally and have operations in the U.S., Puerto Rico and Canada and third-party distribution relationships in Europe, Canada, Australia, Asia-Pacific and Latin America.</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Company’s product portfolio includes an ultrasound contrast agent and nuclear imaging products. The Company’s principal products include the following:</w:t>
      </w:r>
    </w:p>
    <w:p>
      <w:pPr>
        <w:spacing w:after="0" w:line="62" w:lineRule="exact"/>
        <w:rPr>
          <w:sz w:val="20"/>
          <w:szCs w:val="20"/>
          <w:color w:val="auto"/>
        </w:rPr>
      </w:pPr>
    </w:p>
    <w:p>
      <w:pPr>
        <w:ind w:left="660" w:right="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DEFINITY is a microbubble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w:t>
      </w:r>
    </w:p>
    <w:p>
      <w:pPr>
        <w:spacing w:after="0" w:line="73"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TechneLite is a Technetium generator that provides the essential nuclear material used by radiopharmacies to radiolabel Cardiolite, Neurolite and other Technetium-based radiopharmaceuticals used in nuclear medicine procedures. TechneLite uses Moly as its active ingredient.</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Sales of the Company’s microbubble contrast agent, DEFINITY, are made in the U.S. and Canada through a DEFINITY direct sales team. In the U.S., the Company’s nuclear imaging products, including TechneLite, Xenon, Neurolite and Cardiolite, are primarily distributed through commercial radiopharmacies, the majority of which are controlled by or associated with Cardinal, UPPI, GE Healthcare and Triad. A small portion of the Company’s nuclear imaging product sales in the U.S. are made through the Company’s direct sales force to hospitals and clinics that maintain their own in-house radiopharmaceutical preparation capabilities. The Company owns one radiopharmacy in Puerto Rico where they sell their own products as well as products of third parties to end-users.</w:t>
      </w:r>
    </w:p>
    <w:p>
      <w:pPr>
        <w:spacing w:after="0" w:line="19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also maintains its own direct sales force in Canada for certain customers so that they can control the importation, marketing, distribution and sale of its imaging agents in Canada in this sales channel. In Europe, Australia, Asia-Pacific and Latin America, the Company relies on third-party distributors to market, sell and distribute its nuclear imaging and contrast agent products, either on a country-by-country basis or on a multi-country regional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U.S. GAAP. The consolidated financial statements include the accounts of the Company and its direct and indirect wholly-owned subsidiaries. All intercompany accounts and transactions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Certain immaterial reclassifications in the prior period consolidated statement of cash flows have been reclassified to conform to the current year period financial statement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goodwill, tangible and intangible asset valuation, inventory valuation, asset retirement obligations, income tax liabilities and related indemnification receivable, deferred tax assets and liabilities and accrued expenses. Actual results could materially differ from those estimates or assumptions.</w:t>
      </w:r>
    </w:p>
    <w:p>
      <w:pPr>
        <w:sectPr>
          <w:pgSz w:w="11900" w:h="16838" w:orient="portrait"/>
          <w:cols w:equalWidth="0" w:num="1">
            <w:col w:w="11400"/>
          </w:cols>
          <w:pgMar w:left="240" w:top="175" w:right="25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75"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3, “Revenue from Contracts with Customers” for further discussion on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jc w:val="both"/>
        <w:ind w:right="520" w:firstLine="405"/>
        <w:spacing w:after="0" w:line="312" w:lineRule="auto"/>
        <w:rPr>
          <w:sz w:val="20"/>
          <w:szCs w:val="20"/>
          <w:color w:val="auto"/>
        </w:rPr>
      </w:pPr>
      <w:r>
        <w:rPr>
          <w:rFonts w:ascii="Arial" w:cs="Arial" w:eastAsia="Arial" w:hAnsi="Arial"/>
          <w:sz w:val="16"/>
          <w:szCs w:val="16"/>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the Company becomes aware of any specific collection issues.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Also included in accounts receivable are miscellaneous receivables of $0.3 million and $0.8 million as of December 31,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accounts for income taxes using an asset and liability approach. Income tax expense (benefit)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15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The Company recognizes deferred tax assets to the extent that the Company believes that these assets are more-likely-than-not to be realized. Valuation allowances are recorded to reduce deferred tax assets when it is more-likely-than-not that the future tax benefit will not be realized. The assessment of whether or not a valuation allowance is required involves weighing both positive and negative evidence, including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prudent and feasible tax planning strategies. Adjustments to the deferred tax valuation allowances are made in the period when those assessments are made.</w:t>
      </w:r>
    </w:p>
    <w:p>
      <w:pPr>
        <w:spacing w:after="0" w:line="17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accounts for uncertain tax positions using a 2-step recognition threshold and measurement analysis method to determine the financial statement impact of uncertain tax positions taken or expected to be taken in a tax return. Differences between tax positions taken in a tax return and amounts recognized in the financial statements are recorded as adjustments to other long-term assets and liabilities, or adjustments to deferred taxes, or both. The Company records the related interest and penalties to income tax expense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Cash and cash equivalents include savings deposits, certificates of deposit and money market funds that have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 and Limited Suppliers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large national distributors, which in turn, resell the Company’s products.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75"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December 31, 2018 and 2017, one customer accounted for approximately 11% and 15%, respectively, of accounts receivable, net. No customer accounted for greater than 10% of revenues for the year ended December 31, 2018. Three customers accounted for approximately 12%, 10% and 10% of revenues for the year ended December 31, 2017. Two customers accounted for approximately 11% and 10% of revenues for the year ended December 31, 2016.</w:t>
      </w:r>
    </w:p>
    <w:p>
      <w:pPr>
        <w:spacing w:after="0" w:line="187" w:lineRule="exact"/>
        <w:rPr>
          <w:sz w:val="20"/>
          <w:szCs w:val="20"/>
          <w:color w:val="auto"/>
        </w:rPr>
      </w:pPr>
    </w:p>
    <w:p>
      <w:pPr>
        <w:jc w:val="both"/>
        <w:ind w:right="320" w:firstLine="405"/>
        <w:spacing w:after="0" w:line="302" w:lineRule="auto"/>
        <w:rPr>
          <w:sz w:val="20"/>
          <w:szCs w:val="20"/>
          <w:color w:val="auto"/>
        </w:rPr>
      </w:pPr>
      <w:r>
        <w:rPr>
          <w:rFonts w:ascii="Arial" w:cs="Arial" w:eastAsia="Arial" w:hAnsi="Arial"/>
          <w:sz w:val="16"/>
          <w:szCs w:val="16"/>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would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15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Company has Moly supply agreements with IRE of Belgium, running through December 31, 2019, and renewable by us on a year-to-year basis thereafter, and NTP of South Africa, for itself and on behalf of its subcontractor ANSTO of Australia, running through December 31, 2020. The Company also has a Xenon supply agreement with IRE which runs through June 30, 2019, also subject to extensions. The Company currently relies on IRE as the sole supplier of bulk-unprocessed Xenon which the Company processes and finishes for its customers. The Company currently relies on JHS as its sole source manufacturer of DEFINITY, Neurolite, Cardiolite and evacuation vials for TechneLite.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revenues for each of the Company’s products representing 10% or more of revenues:</w:t>
      </w:r>
    </w:p>
    <w:p>
      <w:pPr>
        <w:spacing w:after="0" w:line="167"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22860</wp:posOffset>
            </wp:positionV>
            <wp:extent cx="274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2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43.6%</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TechneLite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28.8%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31.6%</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Inventory includes material, direct labor and related manufacturing overhead and is stated at the lower of cost or market on a first-in, first-out basis.</w:t>
      </w:r>
    </w:p>
    <w:p>
      <w:pPr>
        <w:spacing w:after="0" w:line="24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Company assesses the recoverability of inventory to determine whether adjustments for excess and obsolete inventory are required. Inventory that is in excess of future requirements is written down to its estimated net realizable value based on product shelf life, forecasted demand and other factors.</w:t>
      </w:r>
    </w:p>
    <w:p>
      <w:pPr>
        <w:spacing w:after="0" w:line="1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as incurred. At December 31, 2018 and 2017, the Company had no capitalized inventories associated with product that did not have regulatory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Property, plant &amp; equipment are stated at cost. Replacements of major units of property are capitalized, and replaced properties are retired. Replacements of minor components of property and repair and maintenance costs are charged to expense as incurred. Certain costs to obtain or develop computer software are capitalized and amortized over the estimated useful life of the software. Depreciation and amortization is computed on a straight-line basis over the estimated useful lives of the related assets. The estimated useful lives of the major classes of depreciable assets are as follows:</w:t>
      </w:r>
    </w:p>
    <w:p>
      <w:pPr>
        <w:spacing w:after="0" w:line="204" w:lineRule="exact"/>
        <w:rPr>
          <w:sz w:val="20"/>
          <w:szCs w:val="20"/>
          <w:color w:val="auto"/>
        </w:rPr>
      </w:pPr>
    </w:p>
    <w:tbl>
      <w:tblPr>
        <w:tblLayout w:type="fixed"/>
        <w:tblInd w:w="2720" w:type="dxa"/>
        <w:tblCellMar>
          <w:top w:w="0" w:type="dxa"/>
          <w:left w:w="0" w:type="dxa"/>
          <w:bottom w:w="0" w:type="dxa"/>
          <w:right w:w="0" w:type="dxa"/>
        </w:tblCellMar>
      </w:tblPr>
      <w:tr>
        <w:trPr>
          <w:trHeight w:val="234"/>
        </w:trPr>
        <w:tc>
          <w:tcPr>
            <w:tcW w:w="2940" w:type="dxa"/>
            <w:vAlign w:val="bottom"/>
            <w:gridSpan w:val="2"/>
          </w:tcPr>
          <w:p>
            <w:pPr>
              <w:ind w:left="1200"/>
              <w:spacing w:after="0"/>
              <w:rPr>
                <w:sz w:val="20"/>
                <w:szCs w:val="20"/>
                <w:color w:val="auto"/>
              </w:rPr>
            </w:pPr>
            <w:r>
              <w:rPr>
                <w:rFonts w:ascii="Arial" w:cs="Arial" w:eastAsia="Arial" w:hAnsi="Arial"/>
                <w:sz w:val="18"/>
                <w:szCs w:val="18"/>
                <w:b w:val="1"/>
                <w:bCs w:val="1"/>
                <w:color w:val="auto"/>
              </w:rPr>
              <w:t>Class</w:t>
            </w:r>
          </w:p>
        </w:tc>
        <w:tc>
          <w:tcPr>
            <w:tcW w:w="3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Range of Estimated Useful Lives</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- 50 years</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Land improvements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800" w:type="dxa"/>
            <w:vAlign w:val="bottom"/>
          </w:tcPr>
          <w:p>
            <w:pPr>
              <w:ind w:left="20"/>
              <w:spacing w:after="0"/>
              <w:rPr>
                <w:sz w:val="20"/>
                <w:szCs w:val="20"/>
                <w:color w:val="auto"/>
              </w:rPr>
            </w:pPr>
            <w:r>
              <w:rPr>
                <w:rFonts w:ascii="Arial" w:cs="Arial" w:eastAsia="Arial" w:hAnsi="Arial"/>
                <w:sz w:val="18"/>
                <w:szCs w:val="18"/>
                <w:color w:val="auto"/>
              </w:rPr>
              <w:t>- 40 years</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3 - 15 years</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060" w:type="dxa"/>
            <w:vAlign w:val="bottom"/>
            <w:gridSpan w:val="2"/>
          </w:tcPr>
          <w:p>
            <w:pPr>
              <w:jc w:val="center"/>
              <w:spacing w:after="0"/>
              <w:rPr>
                <w:sz w:val="20"/>
                <w:szCs w:val="20"/>
                <w:color w:val="auto"/>
              </w:rPr>
            </w:pPr>
            <w:r>
              <w:rPr>
                <w:rFonts w:ascii="Arial" w:cs="Arial" w:eastAsia="Arial" w:hAnsi="Arial"/>
                <w:sz w:val="18"/>
                <w:szCs w:val="18"/>
                <w:color w:val="auto"/>
                <w:w w:val="86"/>
              </w:rPr>
              <w:t>15 years</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Lesser of lease term or 15 years</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Computer 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800" w:type="dxa"/>
            <w:vAlign w:val="bottom"/>
          </w:tcPr>
          <w:p>
            <w:pPr>
              <w:ind w:left="20"/>
              <w:spacing w:after="0"/>
              <w:rPr>
                <w:sz w:val="20"/>
                <w:szCs w:val="20"/>
                <w:color w:val="auto"/>
              </w:rPr>
            </w:pPr>
            <w:r>
              <w:rPr>
                <w:rFonts w:ascii="Arial" w:cs="Arial" w:eastAsia="Arial" w:hAnsi="Arial"/>
                <w:sz w:val="18"/>
                <w:szCs w:val="18"/>
                <w:color w:val="auto"/>
              </w:rPr>
              <w:t>- 5 years</w:t>
            </w:r>
          </w:p>
        </w:tc>
      </w:tr>
    </w:tbl>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Upon retirement or other disposal of property, plant &amp; equipment, the cost and related amount of accumulated depreciation are removed from the asset and accumulated depreciation accounts, respectively. The difference, if any, between the net asset value and the proceeds is included in operating income.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175"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Included within machinery, equipment and fixtures are spare parts. Spare parts include replacement parts relating to plant &amp; equipment and are either recognized as an expense when consumed or reclassified and capitalized as part of the related asset and depreciated over the remaining useful life of the related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Goodwill is not amortized but is instead tested for impairment at least annually and whenever events or circumstances indicate that it is more likely-than-not that they may be impaired. The Company has elected to perform the annual test for goodwill impairment as of October 31 of each year. All goodwill has been allocated to the U.S. reporting unit.</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performing the Company’s annual assessment, the Company is permitted to first perform a qualitative test and if necessary, perform a quantitative test. If the Company is required to perform the quantitative impairment test of goodwill, the Company compares the fair value of a reporting unit to its carrying value. If the reporting unit’s carrying value exceeds its fair value, the Company would record an impairment loss to the extent that the carrying value of goodwill exceeds its implied fair value. The Company estimates the fair value of its reporting unit using discounted cash flow or other valuation models, such as comparative transactions and market multiples. The Company did not recognize any goodwill impairment charges during the years ended December 31, 2018, 2017 or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7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Intangible assets, consisting of patents, trademarks and customer relationships related to the Company’s products are amortized in a method equivalent to the estimated utilization of the economic benefit of the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117"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The estimated fair values of the Company’s financial instruments, including its cash and cash equivalents, accounts receivable, accounts payable and accrued expenses approximate the carrying values of these instruments due to their short term nature. The estimated fair value of the Company’s long term debt approximates its carrying values as the applicable interest rates are subject to change with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Advertising and promotion costs are expensed as incurred. During the years ended December 31, 2018, 2017 and 2016, the Company incurred $4.0 million, $4.4 million and $3.6 million, respectively in advertising and promotion costs, which are included in sales and marketing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75"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consolidated statements of operations of the Company’s foreign subsidiaries are translated into U.S. Dollars using weighted-average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loss in the consolidated balance sheets.</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Remeasurement of the Company’s foreign currency denominated transactions are included in net income. Transaction gains and losses are reported as a component of other income,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stock price volatility, the expected life of options or awards, a risk-free interest rate and dividend yield.</w:t>
      </w:r>
    </w:p>
    <w:p>
      <w:pPr>
        <w:spacing w:after="0" w:line="19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5620" w:type="dxa"/>
            <w:vAlign w:val="bottom"/>
            <w:gridSpan w:val="2"/>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1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 Ended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130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30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losses (gains)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130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Tax indemnification income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13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130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13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Comprehensive income (loss) consists of net income and other gains and losses affecting stockholders’ equity that, under U.S. GAAP, are excluded from net income. For the Company, other comprehensive income (loss) consists of foreign currency translation gains and losses. The accumulated other comprehensive loss balance consists entirely of foreign currency translation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probable and can be reasonably estimated. Accrual amounts are estimated based on currently available information, regulatory requirements, remediation strategies, historical experience, the relative shares of the total remediation costs and a relevant discount rate, when the time periods of estimated costs can be reasonably predicted. Changes in these assumptions could impact the Company’s future reported results. The Company has identified conditional asset retirement obligations related to the future removal and disposal of asbestos contained in certain of the buildings located on the Company’s North Billerica, Massachusetts campus. The asbestos is appropriately contained, and the Company believes it is compliant with all applicable environmental regulations. If these properties undergo major renovations or are demolished, certain environmental regulations are in place, which specify the manner in which asbestos must be handled and disposed. The Company is required to record the fair value of these conditional liabilities if they can be reasonably estimated. As of December 31, 2018 and 2017, sufficient information was not available to estimate a liability for such conditional asset retirement obligations as the obligations to remove the asbestos from these properties have indeterminable settlement dates. As such, no liability for conditional asset retirement obligations has been recorded in the accompanying consolidated balance sheets as of December 31, 2018 and 2017.</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75"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Company’s consolidated balance sheets at December 31, 2018 and 2017 include $0.6 million and $0.5 million of accrued liabilities associated with employee medical costs that are retained by the Company.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$0.1 million at both December 31, 2018 and 2017, and is included in other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8" w:lineRule="exact"/>
        <w:rPr>
          <w:sz w:val="20"/>
          <w:szCs w:val="20"/>
          <w:color w:val="auto"/>
        </w:rPr>
      </w:pPr>
    </w:p>
    <w:tbl>
      <w:tblPr>
        <w:tblLayout w:type="fixed"/>
        <w:tblInd w:w="190" w:type="dxa"/>
        <w:tblCellMar>
          <w:top w:w="0" w:type="dxa"/>
          <w:left w:w="0" w:type="dxa"/>
          <w:bottom w:w="0" w:type="dxa"/>
          <w:right w:w="0" w:type="dxa"/>
        </w:tblCellMar>
      </w:tblPr>
      <w:tr>
        <w:trPr>
          <w:trHeight w:val="166"/>
        </w:trPr>
        <w:tc>
          <w:tcPr>
            <w:tcW w:w="2340" w:type="dxa"/>
            <w:vAlign w:val="bottom"/>
            <w:tcBorders>
              <w:top w:val="single" w:sz="8" w:color="auto"/>
              <w:left w:val="single" w:sz="8" w:color="auto"/>
              <w:right w:val="single" w:sz="8" w:color="auto"/>
            </w:tcBorders>
          </w:tcPr>
          <w:p>
            <w:pPr>
              <w:spacing w:after="0"/>
              <w:rPr>
                <w:sz w:val="14"/>
                <w:szCs w:val="14"/>
                <w:color w:val="auto"/>
              </w:rPr>
            </w:pPr>
          </w:p>
        </w:tc>
        <w:tc>
          <w:tcPr>
            <w:tcW w:w="456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Effect on the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rPr>
              <w:t>Standard</w:t>
            </w:r>
          </w:p>
        </w:tc>
        <w:tc>
          <w:tcPr>
            <w:tcW w:w="4560" w:type="dxa"/>
            <w:vAlign w:val="bottom"/>
            <w:tcBorders>
              <w:right w:val="single" w:sz="8" w:color="auto"/>
            </w:tcBorders>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92"/>
        </w:trPr>
        <w:tc>
          <w:tcPr>
            <w:tcW w:w="23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4560" w:type="dxa"/>
            <w:vAlign w:val="bottom"/>
            <w:tcBorders>
              <w:bottom w:val="single" w:sz="8" w:color="auto"/>
              <w:right w:val="single" w:sz="8" w:color="auto"/>
            </w:tcBorders>
            <w:vMerge w:val="continue"/>
          </w:tcPr>
          <w:p>
            <w:pPr>
              <w:spacing w:after="0"/>
              <w:rPr>
                <w:sz w:val="16"/>
                <w:szCs w:val="16"/>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196"/>
        </w:trPr>
        <w:tc>
          <w:tcPr>
            <w:tcW w:w="6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Recently Issued Accounting Standards Not Yet Adopted</w:t>
            </w:r>
          </w:p>
        </w:tc>
        <w:tc>
          <w:tcPr>
            <w:tcW w:w="122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ASU 2016-02, Leases (Topic 842)</w:t>
            </w: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This ASU supersedes existing guidance on accounting for leases in Leases</w:t>
            </w:r>
          </w:p>
        </w:tc>
        <w:tc>
          <w:tcPr>
            <w:tcW w:w="12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January 1, 2019</w:t>
            </w:r>
          </w:p>
        </w:tc>
        <w:tc>
          <w:tcPr>
            <w:tcW w:w="29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The Company has completed its assessment on</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(Topic 840) and generally requires all leases to be recognized on the balance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the impact of the standard, including optional</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sheet. The provisions of ASU 2016-02 are effective for annual reporting</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practical expedients and transition methods that</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periods beginning after December 15, 2018; early adoption is permitted. In</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the Company will elect upon adoption. The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July 2018, an amendment was made that allows companies the option of</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implementation plan included identifying the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using the effective date of the new standard as the initial application date (at</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Company’s lease population, assessing significant</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the beginning of the period in which it is adopted, rather than at the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leases under the new guidance and identifying</w:t>
            </w:r>
          </w:p>
        </w:tc>
        <w:tc>
          <w:tcPr>
            <w:tcW w:w="0" w:type="dxa"/>
            <w:vAlign w:val="bottom"/>
          </w:tcPr>
          <w:p>
            <w:pPr>
              <w:spacing w:after="0"/>
              <w:rPr>
                <w:sz w:val="1"/>
                <w:szCs w:val="1"/>
                <w:color w:val="auto"/>
              </w:rPr>
            </w:pPr>
          </w:p>
        </w:tc>
      </w:tr>
      <w:tr>
        <w:trPr>
          <w:trHeight w:val="157"/>
        </w:trPr>
        <w:tc>
          <w:tcPr>
            <w:tcW w:w="2340" w:type="dxa"/>
            <w:vAlign w:val="bottom"/>
            <w:tcBorders>
              <w:left w:val="single" w:sz="8" w:color="auto"/>
              <w:right w:val="single" w:sz="8" w:color="auto"/>
            </w:tcBorders>
            <w:shd w:val="clear" w:color="auto" w:fill="CCEEFF"/>
          </w:tcPr>
          <w:p>
            <w:pPr>
              <w:spacing w:after="0"/>
              <w:rPr>
                <w:sz w:val="13"/>
                <w:szCs w:val="13"/>
                <w:color w:val="auto"/>
              </w:rPr>
            </w:pPr>
          </w:p>
        </w:tc>
        <w:tc>
          <w:tcPr>
            <w:tcW w:w="456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beginning of the earliest comparative period).</w:t>
            </w:r>
          </w:p>
        </w:tc>
        <w:tc>
          <w:tcPr>
            <w:tcW w:w="1220" w:type="dxa"/>
            <w:vAlign w:val="bottom"/>
            <w:tcBorders>
              <w:right w:val="single" w:sz="8" w:color="auto"/>
            </w:tcBorders>
            <w:shd w:val="clear" w:color="auto" w:fill="CCEEFF"/>
          </w:tcPr>
          <w:p>
            <w:pPr>
              <w:spacing w:after="0"/>
              <w:rPr>
                <w:sz w:val="13"/>
                <w:szCs w:val="13"/>
                <w:color w:val="auto"/>
              </w:rPr>
            </w:pPr>
          </w:p>
        </w:tc>
        <w:tc>
          <w:tcPr>
            <w:tcW w:w="29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w w:val="93"/>
              </w:rPr>
              <w:t>changes to processes and controls. The Company</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concluded that upon adoption of this standard</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there will not be a significant impact to its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Balance Sheet. The Company will utilize the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prospective approach of adopting this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standard. The Company has identified and</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implemented appropriate changes to its business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processes and controls to support recognition and</w:t>
            </w: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shd w:val="clear" w:color="auto" w:fill="CCEEFF"/>
          </w:tcPr>
          <w:p>
            <w:pPr>
              <w:spacing w:after="0"/>
              <w:rPr>
                <w:sz w:val="15"/>
                <w:szCs w:val="15"/>
                <w:color w:val="auto"/>
              </w:rPr>
            </w:pPr>
          </w:p>
        </w:tc>
        <w:tc>
          <w:tcPr>
            <w:tcW w:w="4560" w:type="dxa"/>
            <w:vAlign w:val="bottom"/>
            <w:tcBorders>
              <w:right w:val="single" w:sz="8" w:color="auto"/>
            </w:tcBorders>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29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disclosure under this standard.</w:t>
            </w:r>
          </w:p>
        </w:tc>
        <w:tc>
          <w:tcPr>
            <w:tcW w:w="0" w:type="dxa"/>
            <w:vAlign w:val="bottom"/>
          </w:tcPr>
          <w:p>
            <w:pPr>
              <w:spacing w:after="0"/>
              <w:rPr>
                <w:sz w:val="1"/>
                <w:szCs w:val="1"/>
                <w:color w:val="auto"/>
              </w:rPr>
            </w:pPr>
          </w:p>
        </w:tc>
      </w:tr>
      <w:tr>
        <w:trPr>
          <w:trHeight w:val="161"/>
        </w:trPr>
        <w:tc>
          <w:tcPr>
            <w:tcW w:w="234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4560" w:type="dxa"/>
            <w:vAlign w:val="bottom"/>
            <w:tcBorders>
              <w:bottom w:val="single" w:sz="8" w:color="auto"/>
              <w:right w:val="single" w:sz="8" w:color="auto"/>
            </w:tcBorders>
            <w:shd w:val="clear" w:color="auto" w:fill="CCEEFF"/>
          </w:tcPr>
          <w:p>
            <w:pPr>
              <w:spacing w:after="0"/>
              <w:rPr>
                <w:sz w:val="13"/>
                <w:szCs w:val="13"/>
                <w:color w:val="auto"/>
              </w:rPr>
            </w:pPr>
          </w:p>
        </w:tc>
        <w:tc>
          <w:tcPr>
            <w:tcW w:w="1220" w:type="dxa"/>
            <w:vAlign w:val="bottom"/>
            <w:tcBorders>
              <w:bottom w:val="single" w:sz="8" w:color="auto"/>
              <w:right w:val="single" w:sz="8" w:color="auto"/>
            </w:tcBorders>
            <w:shd w:val="clear" w:color="auto" w:fill="CCEEFF"/>
          </w:tcPr>
          <w:p>
            <w:pPr>
              <w:spacing w:after="0"/>
              <w:rPr>
                <w:sz w:val="13"/>
                <w:szCs w:val="13"/>
                <w:color w:val="auto"/>
              </w:rPr>
            </w:pPr>
          </w:p>
        </w:tc>
        <w:tc>
          <w:tcPr>
            <w:tcW w:w="29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tbl>
      <w:tblPr>
        <w:tblLayout w:type="fixed"/>
        <w:tblInd w:w="190" w:type="dxa"/>
        <w:tblCellMar>
          <w:top w:w="0" w:type="dxa"/>
          <w:left w:w="0" w:type="dxa"/>
          <w:bottom w:w="0" w:type="dxa"/>
          <w:right w:w="0" w:type="dxa"/>
        </w:tblCellMar>
      </w:tblPr>
      <w:tr>
        <w:trPr>
          <w:trHeight w:val="166"/>
        </w:trPr>
        <w:tc>
          <w:tcPr>
            <w:tcW w:w="2340" w:type="dxa"/>
            <w:vAlign w:val="bottom"/>
            <w:tcBorders>
              <w:top w:val="single" w:sz="8" w:color="auto"/>
              <w:left w:val="single" w:sz="8" w:color="auto"/>
              <w:right w:val="single" w:sz="8" w:color="auto"/>
            </w:tcBorders>
          </w:tcPr>
          <w:p>
            <w:pPr>
              <w:spacing w:after="0"/>
              <w:rPr>
                <w:sz w:val="14"/>
                <w:szCs w:val="14"/>
                <w:color w:val="auto"/>
              </w:rPr>
            </w:pPr>
          </w:p>
        </w:tc>
        <w:tc>
          <w:tcPr>
            <w:tcW w:w="456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Effect on the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rPr>
              <w:t>Standard</w:t>
            </w:r>
          </w:p>
        </w:tc>
        <w:tc>
          <w:tcPr>
            <w:tcW w:w="4560" w:type="dxa"/>
            <w:vAlign w:val="bottom"/>
            <w:tcBorders>
              <w:right w:val="single" w:sz="8" w:color="auto"/>
            </w:tcBorders>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92"/>
        </w:trPr>
        <w:tc>
          <w:tcPr>
            <w:tcW w:w="23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4560" w:type="dxa"/>
            <w:vAlign w:val="bottom"/>
            <w:tcBorders>
              <w:bottom w:val="single" w:sz="8" w:color="auto"/>
              <w:right w:val="single" w:sz="8" w:color="auto"/>
            </w:tcBorders>
            <w:vMerge w:val="continue"/>
          </w:tcPr>
          <w:p>
            <w:pPr>
              <w:spacing w:after="0"/>
              <w:rPr>
                <w:sz w:val="16"/>
                <w:szCs w:val="16"/>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196"/>
        </w:trPr>
        <w:tc>
          <w:tcPr>
            <w:tcW w:w="6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Accounting Standards Adopted During the Year Ended December 31, 2018</w:t>
            </w:r>
          </w:p>
        </w:tc>
        <w:tc>
          <w:tcPr>
            <w:tcW w:w="122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Borders>
              <w:left w:val="single" w:sz="8" w:color="auto"/>
              <w:right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7"/>
              </w:rPr>
              <w:t>ASU 2017-09, Compensation—Stock</w:t>
            </w:r>
          </w:p>
        </w:tc>
        <w:tc>
          <w:tcPr>
            <w:tcW w:w="456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This ASU clarifies when to account for a change to the terms or conditions of</w:t>
            </w:r>
          </w:p>
        </w:tc>
        <w:tc>
          <w:tcPr>
            <w:tcW w:w="1220" w:type="dxa"/>
            <w:vAlign w:val="bottom"/>
            <w:tcBorders>
              <w:right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January 1, 2018</w:t>
            </w:r>
          </w:p>
        </w:tc>
        <w:tc>
          <w:tcPr>
            <w:tcW w:w="29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Compensation (Topic 718): Scope of</w:t>
            </w: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a share-based payment award as a modification. Under the new guidance,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material impact on the Company’s consolidated</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Modification Accounting</w:t>
            </w: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modification accounting is required only if the fair value, vesting conditions</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or classification of the award (as equity or liability) changes as a result of the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shd w:val="clear" w:color="auto" w:fill="CCEEFF"/>
          </w:tcPr>
          <w:p>
            <w:pPr>
              <w:spacing w:after="0"/>
              <w:rPr>
                <w:sz w:val="15"/>
                <w:szCs w:val="15"/>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 in terms or conditions.</w:t>
            </w:r>
          </w:p>
        </w:tc>
        <w:tc>
          <w:tcPr>
            <w:tcW w:w="1220" w:type="dxa"/>
            <w:vAlign w:val="bottom"/>
            <w:tcBorders>
              <w:right w:val="single" w:sz="8" w:color="auto"/>
            </w:tcBorders>
            <w:shd w:val="clear" w:color="auto" w:fill="CCEEFF"/>
          </w:tcPr>
          <w:p>
            <w:pPr>
              <w:spacing w:after="0"/>
              <w:rPr>
                <w:sz w:val="15"/>
                <w:szCs w:val="15"/>
                <w:color w:val="auto"/>
              </w:rPr>
            </w:pPr>
          </w:p>
        </w:tc>
        <w:tc>
          <w:tcPr>
            <w:tcW w:w="29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40" w:type="dxa"/>
            <w:vAlign w:val="bottom"/>
            <w:tcBorders>
              <w:left w:val="single" w:sz="8" w:color="auto"/>
              <w:right w:val="single" w:sz="8" w:color="auto"/>
            </w:tcBorders>
            <w:shd w:val="clear" w:color="auto" w:fill="CCEEFF"/>
          </w:tcPr>
          <w:p>
            <w:pPr>
              <w:spacing w:after="0"/>
              <w:rPr>
                <w:sz w:val="22"/>
                <w:szCs w:val="22"/>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The new guidance will be applied prospectively to awards modified on or</w:t>
            </w:r>
          </w:p>
        </w:tc>
        <w:tc>
          <w:tcPr>
            <w:tcW w:w="1220" w:type="dxa"/>
            <w:vAlign w:val="bottom"/>
            <w:tcBorders>
              <w:right w:val="single" w:sz="8" w:color="auto"/>
            </w:tcBorders>
            <w:shd w:val="clear" w:color="auto" w:fill="CCEEFF"/>
          </w:tcPr>
          <w:p>
            <w:pPr>
              <w:spacing w:after="0"/>
              <w:rPr>
                <w:sz w:val="22"/>
                <w:szCs w:val="22"/>
                <w:color w:val="auto"/>
              </w:rPr>
            </w:pPr>
          </w:p>
        </w:tc>
        <w:tc>
          <w:tcPr>
            <w:tcW w:w="298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after the adoption date. The guidance is effective for annual periods, and</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interim periods within those annual periods, beginning after December 15,</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2017 for all entities.</w:t>
            </w:r>
          </w:p>
        </w:tc>
        <w:tc>
          <w:tcPr>
            <w:tcW w:w="1220" w:type="dxa"/>
            <w:vAlign w:val="bottom"/>
            <w:tcBorders>
              <w:bottom w:val="single" w:sz="8" w:color="auto"/>
              <w:right w:val="single" w:sz="8" w:color="auto"/>
            </w:tcBorders>
            <w:shd w:val="clear" w:color="auto" w:fill="CCEEFF"/>
          </w:tcPr>
          <w:p>
            <w:pPr>
              <w:spacing w:after="0"/>
              <w:rPr>
                <w:sz w:val="16"/>
                <w:szCs w:val="16"/>
                <w:color w:val="auto"/>
              </w:rPr>
            </w:pPr>
          </w:p>
        </w:tc>
        <w:tc>
          <w:tcPr>
            <w:tcW w:w="29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3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ASU 2014-09, Revenue from</w:t>
            </w:r>
          </w:p>
        </w:tc>
        <w:tc>
          <w:tcPr>
            <w:tcW w:w="45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This ASU and related amendments affect any entity that either enters into</w:t>
            </w:r>
          </w:p>
        </w:tc>
        <w:tc>
          <w:tcPr>
            <w:tcW w:w="12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9"/>
              </w:rPr>
              <w:t>January 1, 2018</w:t>
            </w:r>
          </w:p>
        </w:tc>
        <w:tc>
          <w:tcPr>
            <w:tcW w:w="29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Note 3, "Revenue from Contracts with</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Contracts with Customers (Topic 606)</w:t>
            </w: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3"/>
              </w:rPr>
              <w:t>contracts with customers to transfer goods or services or enters into contracts</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Customers" for the required disclosures related to</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related amendments</w:t>
            </w: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for the transfer of nonfinancial assets, unless those contracts are within the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the impact of adopting this standard.</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scope of other standards. The guidance in this ASU supersedes the revenue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recognition requirements in Topic 605, Revenue Recognition and most</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industry-specific guidance. The core principle of the guidance is that an</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material impact on the Company’s consolidated</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entity should recognize revenue upon the transfer of promised goods or</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balance sheets and statements of operations.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services to customers in an amount that reflects the consideration to which</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entity expects to be entitled in exchange for those goods or services.</w:t>
            </w:r>
          </w:p>
        </w:tc>
        <w:tc>
          <w:tcPr>
            <w:tcW w:w="1220" w:type="dxa"/>
            <w:vAlign w:val="bottom"/>
            <w:tcBorders>
              <w:bottom w:val="single" w:sz="8" w:color="auto"/>
              <w:right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175"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For the Company’s accounting policy for revenue recognition under ASC 605, refer to Item 8 of the Annual Report on Form 10-K for the year ended December 31, 2017. The adoption of ASC 606 did not have a material impact on the Company’s consolidated balance sheet, results of operations, equity or cash flows as of the adoption date or for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revenue by revenue source and reportable segment as follows:</w:t>
      </w:r>
    </w:p>
    <w:p>
      <w:pPr>
        <w:spacing w:after="0" w:line="16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 2018</w:t>
            </w:r>
          </w:p>
        </w:tc>
        <w:tc>
          <w:tcPr>
            <w:tcW w:w="980" w:type="dxa"/>
            <w:vAlign w:val="bottom"/>
          </w:tcPr>
          <w:p>
            <w:pPr>
              <w:spacing w:after="0"/>
              <w:rPr>
                <w:sz w:val="20"/>
                <w:szCs w:val="20"/>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Major Products/Service Lines (in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International</w:t>
            </w:r>
          </w:p>
        </w:tc>
        <w:tc>
          <w:tcPr>
            <w:tcW w:w="4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2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Product revenue, net</w:t>
            </w:r>
            <w:r>
              <w:rPr>
                <w:rFonts w:ascii="Arial" w:cs="Arial" w:eastAsia="Arial" w:hAnsi="Arial"/>
                <w:sz w:val="25"/>
                <w:szCs w:val="25"/>
                <w:color w:val="auto"/>
                <w:vertAlign w:val="superscript"/>
              </w:rPr>
              <w:t>(1)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341,136</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License and royalty revenues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2,238</w:t>
            </w:r>
          </w:p>
        </w:tc>
      </w:tr>
      <w:tr>
        <w:trPr>
          <w:trHeight w:val="27"/>
        </w:trPr>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343,374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ind w:left="400"/>
        <w:spacing w:after="0"/>
        <w:rPr>
          <w:sz w:val="20"/>
          <w:szCs w:val="20"/>
          <w:color w:val="auto"/>
        </w:rPr>
      </w:pPr>
      <w:r>
        <w:rPr>
          <w:rFonts w:ascii="Arial" w:cs="Arial" w:eastAsia="Arial" w:hAnsi="Arial"/>
          <w:sz w:val="18"/>
          <w:szCs w:val="18"/>
          <w:color w:val="auto"/>
        </w:rPr>
        <w:t>______________________________</w:t>
      </w:r>
    </w:p>
    <w:p>
      <w:pPr>
        <w:spacing w:after="0" w:line="2" w:lineRule="exact"/>
        <w:rPr>
          <w:sz w:val="20"/>
          <w:szCs w:val="20"/>
          <w:color w:val="auto"/>
        </w:rPr>
      </w:pPr>
    </w:p>
    <w:p>
      <w:pPr>
        <w:ind w:left="660" w:right="120" w:hanging="652"/>
        <w:spacing w:after="0" w:line="255"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Company’s principal products include DEFINITY and TechneLite and are categorized within product revenue, net. The Company applies the same revenue recognition policies and judgments for all of its principal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Company sells its products principally to hospitals and clinics, radiopharmacies and distributors. The Company considers customer purchase orders, which in some cases are governed by master sales or group purchasing organization agreements, to be the contracts with a customer.</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60 days from invoicing, the Company has elected to use the significant financing component practical expedient under ASC 606-10-32-18.</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Frequently, the Company receives orders for products to be delivered over multiple dates that may extend across several reporting periods. The</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Company invoices for each delivery upon shipment and recognizes revenues for each distinct product delivered, assuming transfer of control has occurred.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75"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60" w:firstLine="405"/>
        <w:spacing w:after="0" w:line="264" w:lineRule="auto"/>
        <w:rPr>
          <w:sz w:val="20"/>
          <w:szCs w:val="20"/>
          <w:color w:val="auto"/>
        </w:rPr>
      </w:pPr>
      <w:r>
        <w:rPr>
          <w:rFonts w:ascii="Arial" w:cs="Arial" w:eastAsia="Arial" w:hAnsi="Arial"/>
          <w:sz w:val="18"/>
          <w:szCs w:val="18"/>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product revenue and earnings in the period such variances become known.</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Rebates and Allowances</w:t>
      </w:r>
      <w:r>
        <w:rPr>
          <w:rFonts w:ascii="Arial" w:cs="Arial" w:eastAsia="Arial" w:hAnsi="Arial"/>
          <w:sz w:val="17"/>
          <w:szCs w:val="17"/>
          <w:color w:val="auto"/>
        </w:rPr>
        <w:t>: The Company provides certain customers with rebates and allowances that are explicitly stated in the Company’s contracts and</w:t>
      </w:r>
      <w:r>
        <w:rPr>
          <w:rFonts w:ascii="Arial" w:cs="Arial" w:eastAsia="Arial" w:hAnsi="Arial"/>
          <w:sz w:val="17"/>
          <w:szCs w:val="17"/>
          <w:i w:val="1"/>
          <w:iCs w:val="1"/>
          <w:color w:val="auto"/>
        </w:rPr>
        <w:t xml:space="preserve"> </w:t>
      </w:r>
      <w:r>
        <w:rPr>
          <w:rFonts w:ascii="Arial" w:cs="Arial" w:eastAsia="Arial" w:hAnsi="Arial"/>
          <w:sz w:val="17"/>
          <w:szCs w:val="17"/>
          <w:color w:val="auto"/>
        </w:rPr>
        <w:t>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Product Returns</w:t>
      </w:r>
      <w:r>
        <w:rPr>
          <w:rFonts w:ascii="Arial" w:cs="Arial" w:eastAsia="Arial" w:hAnsi="Arial"/>
          <w:sz w:val="17"/>
          <w:szCs w:val="17"/>
          <w:color w:val="auto"/>
        </w:rPr>
        <w:t>: The Company generally offers customers a limited right of return due to non-conforming product. The Company estimates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17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activity for reserves relating to rebate and allowances (including group purchasing organization administrative fees and returns) for the year ended December 31, 2018:</w:t>
      </w:r>
    </w:p>
    <w:p>
      <w:pPr>
        <w:spacing w:after="0" w:line="1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Rebates and</w:t>
            </w: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Allowances</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2018</w:t>
            </w:r>
          </w:p>
        </w:tc>
        <w:tc>
          <w:tcPr>
            <w:tcW w:w="26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Provision related to current period revenues</w:t>
            </w:r>
          </w:p>
        </w:tc>
        <w:tc>
          <w:tcPr>
            <w:tcW w:w="260" w:type="dxa"/>
            <w:vAlign w:val="bottom"/>
          </w:tcPr>
          <w:p>
            <w:pPr>
              <w:spacing w:after="0"/>
              <w:rPr>
                <w:sz w:val="21"/>
                <w:szCs w:val="21"/>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13,202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relating to prior period revenues</w:t>
            </w:r>
          </w:p>
        </w:tc>
        <w:tc>
          <w:tcPr>
            <w:tcW w:w="26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Payments or credits made during the period</w:t>
            </w:r>
          </w:p>
        </w:tc>
        <w:tc>
          <w:tcPr>
            <w:tcW w:w="260" w:type="dxa"/>
            <w:vAlign w:val="bottom"/>
          </w:tcPr>
          <w:p>
            <w:pPr>
              <w:spacing w:after="0"/>
              <w:rPr>
                <w:sz w:val="21"/>
                <w:szCs w:val="2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(11,047)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Revenues</w:t>
      </w:r>
    </w:p>
    <w:p>
      <w:pPr>
        <w:spacing w:after="0" w:line="11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The Company has entered into licensing agreements, which are within the scope of ASC 606,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w:t>
      </w:r>
    </w:p>
    <w:p>
      <w:pPr>
        <w:sectPr>
          <w:pgSz w:w="11900" w:h="16838" w:orient="portrait"/>
          <w:cols w:equalWidth="0" w:num="1">
            <w:col w:w="11420"/>
          </w:cols>
          <w:pgMar w:left="240" w:top="175"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75"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contract. The Company uses key assumptions to determine the stand-alone selling price, which may include market conditions, reimbursement rates for personnel costs, development timelines and probabilities of regulatory success.</w:t>
      </w:r>
    </w:p>
    <w:p>
      <w:pPr>
        <w:spacing w:after="0" w:line="17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Licenses of intellectual property</w:t>
      </w:r>
      <w:r>
        <w:rPr>
          <w:rFonts w:ascii="Arial" w:cs="Arial" w:eastAsia="Arial" w:hAnsi="Arial"/>
          <w:sz w:val="18"/>
          <w:szCs w:val="18"/>
          <w:color w:val="auto"/>
        </w:rPr>
        <w:t>: 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i w:val="1"/>
          <w:iCs w:val="1"/>
          <w:color w:val="auto"/>
        </w:rPr>
        <w:t>Milestone Payments</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and royalty revenues and earnings in the period of adjustment. At December 31, 2018, the Company is constraining variable consideration related to milestone payments requiring regulatory approvals.</w:t>
      </w:r>
    </w:p>
    <w:p>
      <w:pPr>
        <w:spacing w:after="0" w:line="17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Royalty Revenues</w:t>
      </w:r>
      <w:r>
        <w:rPr>
          <w:rFonts w:ascii="Arial" w:cs="Arial" w:eastAsia="Arial" w:hAnsi="Arial"/>
          <w:sz w:val="17"/>
          <w:szCs w:val="17"/>
          <w:color w:val="auto"/>
        </w:rPr>
        <w:t>: For arrangements that include sales-based royalties, including milestone payments based on the level of sales, and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The Company recognized certain revenues as follows:</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Year Ended December</w:t>
            </w:r>
          </w:p>
        </w:tc>
      </w:tr>
      <w:tr>
        <w:trPr>
          <w:trHeight w:val="194"/>
        </w:trPr>
        <w:tc>
          <w:tcPr>
            <w:tcW w:w="760" w:type="dxa"/>
            <w:vAlign w:val="bottom"/>
          </w:tcPr>
          <w:p>
            <w:pPr>
              <w:spacing w:after="0"/>
              <w:rPr>
                <w:sz w:val="16"/>
                <w:szCs w:val="16"/>
                <w:color w:val="auto"/>
              </w:rPr>
            </w:pPr>
          </w:p>
        </w:tc>
        <w:tc>
          <w:tcPr>
            <w:tcW w:w="70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6"/>
                <w:szCs w:val="16"/>
                <w:color w:val="auto"/>
              </w:rPr>
            </w:pPr>
          </w:p>
        </w:tc>
        <w:tc>
          <w:tcPr>
            <w:tcW w:w="1880" w:type="dxa"/>
            <w:vAlign w:val="bottom"/>
          </w:tcPr>
          <w:p>
            <w:pPr>
              <w:jc w:val="right"/>
              <w:ind w:right="590"/>
              <w:spacing w:after="0" w:line="194" w:lineRule="exact"/>
              <w:rPr>
                <w:sz w:val="20"/>
                <w:szCs w:val="20"/>
                <w:color w:val="auto"/>
              </w:rPr>
            </w:pPr>
            <w:r>
              <w:rPr>
                <w:rFonts w:ascii="Arial" w:cs="Arial" w:eastAsia="Arial" w:hAnsi="Arial"/>
                <w:sz w:val="18"/>
                <w:szCs w:val="18"/>
                <w:b w:val="1"/>
                <w:bCs w:val="1"/>
                <w:color w:val="auto"/>
              </w:rPr>
              <w:t>31, 2018</w:t>
            </w:r>
          </w:p>
        </w:tc>
      </w:tr>
      <w:tr>
        <w:trPr>
          <w:trHeight w:val="48"/>
        </w:trPr>
        <w:tc>
          <w:tcPr>
            <w:tcW w:w="760" w:type="dxa"/>
            <w:vAlign w:val="bottom"/>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59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44"/>
        </w:trPr>
        <w:tc>
          <w:tcPr>
            <w:tcW w:w="760" w:type="dxa"/>
            <w:vAlign w:val="bottom"/>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60" w:type="dxa"/>
            <w:vAlign w:val="bottom"/>
          </w:tcPr>
          <w:p>
            <w:pPr>
              <w:spacing w:after="0"/>
              <w:rPr>
                <w:sz w:val="21"/>
                <w:szCs w:val="21"/>
                <w:color w:val="auto"/>
              </w:rPr>
            </w:pPr>
          </w:p>
        </w:tc>
        <w:tc>
          <w:tcPr>
            <w:tcW w:w="7060" w:type="dxa"/>
            <w:vAlign w:val="bottom"/>
            <w:gridSpan w:val="3"/>
          </w:tcPr>
          <w:p>
            <w:pPr>
              <w:ind w:left="40"/>
              <w:spacing w:after="0"/>
              <w:rPr>
                <w:sz w:val="20"/>
                <w:szCs w:val="20"/>
                <w:color w:val="auto"/>
              </w:rPr>
            </w:pPr>
            <w:r>
              <w:rPr>
                <w:rFonts w:ascii="Arial" w:cs="Arial" w:eastAsia="Arial" w:hAnsi="Arial"/>
                <w:sz w:val="18"/>
                <w:szCs w:val="18"/>
                <w:color w:val="auto"/>
              </w:rPr>
              <w:t>Performance obligations satisfied (or partially satisfied) in previous periods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Company’s performance obligations are typically part of contracts that have an original expected duration of one year or less. As such, under the optional exemption provided by ASC 606-10-50-14, the Company is not disclosing the aggregate amount of the transaction price allocated to performance obligations that are unsatisfied (or partially satisfied) as of the end of the reporting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39" w:lineRule="exact"/>
        <w:rPr>
          <w:sz w:val="20"/>
          <w:szCs w:val="20"/>
          <w:color w:val="auto"/>
        </w:rPr>
      </w:pPr>
    </w:p>
    <w:p>
      <w:pPr>
        <w:ind w:left="660" w:right="3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75"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right="80" w:hanging="328"/>
        <w:spacing w:after="0" w:line="31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a Company’s estimates about the assumptions that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 including its own data.</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financial assets measured at fair value on a recurring basis consist of money market funds. The Company invests excess cash from its operating cash accounts in overnight investments and reflects these amounts in cash and cash equivalents in the consolidated balance sheets at fair value using quoted prices in active markets for identical assets.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tables below present information about the Company’s assets and liabilities measured at fair value on a recurring basis:</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Total Fair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32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320" w:type="dxa"/>
            <w:vAlign w:val="bottom"/>
            <w:tcBorders>
              <w:bottom w:val="single" w:sz="8" w:color="CCEEFF"/>
            </w:tcBorders>
            <w:shd w:val="clear" w:color="auto" w:fill="CCEEFF"/>
          </w:tcPr>
          <w:p>
            <w:pPr>
              <w:jc w:val="center"/>
              <w:ind w:right="1130"/>
              <w:spacing w:after="0"/>
              <w:rPr>
                <w:sz w:val="20"/>
                <w:szCs w:val="20"/>
                <w:color w:val="auto"/>
              </w:rPr>
            </w:pPr>
            <w:r>
              <w:rPr>
                <w:rFonts w:ascii="Arial" w:cs="Arial" w:eastAsia="Arial" w:hAnsi="Arial"/>
                <w:sz w:val="18"/>
                <w:szCs w:val="18"/>
                <w:color w:val="auto"/>
                <w:w w:val="92"/>
              </w:rPr>
              <w:t>Money market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2320" w:type="dxa"/>
            <w:vAlign w:val="bottom"/>
          </w:tcPr>
          <w:p>
            <w:pPr>
              <w:jc w:val="center"/>
              <w:ind w:right="111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21"/>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Total Fair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32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320" w:type="dxa"/>
            <w:vAlign w:val="bottom"/>
            <w:tcBorders>
              <w:bottom w:val="single" w:sz="8" w:color="CCEEFF"/>
            </w:tcBorders>
            <w:shd w:val="clear" w:color="auto" w:fill="CCEEFF"/>
          </w:tcPr>
          <w:p>
            <w:pPr>
              <w:jc w:val="center"/>
              <w:ind w:right="1130"/>
              <w:spacing w:after="0"/>
              <w:rPr>
                <w:sz w:val="20"/>
                <w:szCs w:val="20"/>
                <w:color w:val="auto"/>
              </w:rPr>
            </w:pPr>
            <w:r>
              <w:rPr>
                <w:rFonts w:ascii="Arial" w:cs="Arial" w:eastAsia="Arial" w:hAnsi="Arial"/>
                <w:sz w:val="18"/>
                <w:szCs w:val="18"/>
                <w:color w:val="auto"/>
                <w:w w:val="92"/>
              </w:rPr>
              <w:t>Money market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2320" w:type="dxa"/>
            <w:vAlign w:val="bottom"/>
          </w:tcPr>
          <w:p>
            <w:pPr>
              <w:jc w:val="center"/>
              <w:ind w:right="111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As of December 31, 2017, the Company wrote down the value of land held for sale in the U.S. segment to its fair value, less estimated costs to sell, using level 3 inputs. See Note 8, “Property, Plant and Equipment, Net” for further discussion regarding land held for sale.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75"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before income taxes is summarized as follows: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46,945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23,736</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49,548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w w:val="98"/>
              </w:rPr>
              <w:t>The income tax expense (benefit) is summarized as follows: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income taxes at the U.S. federal statutory rate to the actual income taxes is as follows: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 of foreign tax and research credits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tax credits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Impact of rate change on deferred taxes</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True-up of prior year tax</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Benefit of windfall related to stock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indemnification deferred tax asset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75" w:right="1440"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219"/>
          </w:cols>
          <w:pgMar w:left="240" w:top="175" w:right="1440"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966"/>
        </w:trPr>
        <w:tc>
          <w:tcPr>
            <w:tcW w:w="7060" w:type="dxa"/>
            <w:vAlign w:val="bottom"/>
            <w:gridSpan w:val="3"/>
          </w:tcPr>
          <w:p>
            <w:pPr>
              <w:ind w:left="420"/>
              <w:spacing w:after="0"/>
              <w:rPr>
                <w:sz w:val="20"/>
                <w:szCs w:val="20"/>
                <w:color w:val="auto"/>
              </w:rPr>
            </w:pPr>
            <w:r>
              <w:rPr>
                <w:rFonts w:ascii="Arial" w:cs="Arial" w:eastAsia="Arial" w:hAnsi="Arial"/>
                <w:sz w:val="18"/>
                <w:szCs w:val="18"/>
                <w:color w:val="auto"/>
              </w:rPr>
              <w:t>The components of deferred income tax assets (liabilities) are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Federal benefit of state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accruals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Inventory obsolescence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9,941</w:t>
            </w: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Amortization of intangibles other than goodwill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3,903</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63,202</w:t>
            </w: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85,480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95,018</w:t>
            </w:r>
          </w:p>
        </w:tc>
      </w:tr>
      <w:tr>
        <w:trPr>
          <w:trHeight w:val="223"/>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accruals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81,449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87,010</w:t>
            </w:r>
          </w:p>
        </w:tc>
      </w:tr>
      <w:tr>
        <w:trPr>
          <w:trHeight w:val="67"/>
        </w:trPr>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Recorded in the accompanying consolidated balance sheets as: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81,449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87,010</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December 22, 2017, the United States enacted the Tax Cuts and Jobs Act of 2017 (the “Act”). The Act is significant and has wide-ranging effects.</w:t>
      </w:r>
    </w:p>
    <w:p>
      <w:pPr>
        <w:spacing w:after="0" w:line="24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has completed its study of the ramifications of the Act, and has confirmed the primary material impact of the Act to be the remeasurement of the Company’s deferred tax assets, which was recorded in fiscal 2017 as a result of the reduction in U.S. corporate tax rates from 35% to 21%. As of December 31, 2017, the Company determined it had no accumulated unrepatriated foreign earnings, and therefore recorded no liability for the repatriation transition tax.</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has also completed its evaluation of and accounting for all other relevant changes resulting from the Act, and has determined that through December 31, 2018, these changes do not materially impact the Company's effective tax rate.</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During the fourth quarter of fiscal year 2018, the Company's Canada subsidiary entered an accumulated three year period of profitability, removing a strong item of negative evidence previously supporting the recording of a full valuation allowance. Management has determined that the weight of the relevant positive evidence now outweighs the negative evidence, and has released the valuation allowance against its Canada subsidiary's net deferred tax assets, resulting in an income tax benefit of $4.0 million in fiscal 2018. The Company continues to record a valuation allowance of $1.2 million against the net deferred tax assets of its U.K. subsidiary.</w:t>
      </w:r>
    </w:p>
    <w:p>
      <w:pPr>
        <w:spacing w:after="0" w:line="178"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During the fourth quarter of 2017, the Company determined based on its consideration of the weight of positive and negative evidence that there was sufficient positive evidence that its U.S. federal and state deferred tax assets were more-likely-than-not realizable. The Company’s conclusion was primarily driven by the achievement of a sustained level of U.S. profitability, the expectation of sustained future profitability, and mitigating factors related to external supplier and customer risk sufficient to outweigh the available negative evidence. Accordingly, the Company released the valuation allowance previously recorded against its U.S. net deferred tax assets, resulting in a fiscal 2017 income tax benefit of $141.1 million.</w:t>
      </w:r>
    </w:p>
    <w:p>
      <w:pPr>
        <w:spacing w:after="0" w:line="173"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Company will continue to assess the level of the valuation allowance required. If the weight of negative evidence exists in future periods to again support the recording of a partial or full valuation allowance against the Company’s deferred tax assets, there would likely be a material negative impact on the Company’s results of operations in that future period.</w:t>
      </w:r>
    </w:p>
    <w:p>
      <w:pPr>
        <w:sectPr>
          <w:pgSz w:w="11900" w:h="16838" w:orient="portrait"/>
          <w:cols w:equalWidth="0" w:num="1">
            <w:col w:w="11400"/>
          </w:cols>
          <w:pgMar w:left="240" w:top="16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162" w:right="25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966"/>
        </w:trPr>
        <w:tc>
          <w:tcPr>
            <w:tcW w:w="7780" w:type="dxa"/>
            <w:vAlign w:val="bottom"/>
            <w:gridSpan w:val="3"/>
          </w:tcPr>
          <w:p>
            <w:pPr>
              <w:ind w:left="420"/>
              <w:spacing w:after="0"/>
              <w:rPr>
                <w:sz w:val="20"/>
                <w:szCs w:val="20"/>
                <w:color w:val="auto"/>
              </w:rPr>
            </w:pPr>
            <w:r>
              <w:rPr>
                <w:rFonts w:ascii="Arial" w:cs="Arial" w:eastAsia="Arial" w:hAnsi="Arial"/>
                <w:sz w:val="18"/>
                <w:szCs w:val="18"/>
                <w:color w:val="auto"/>
              </w:rPr>
              <w:t>A summary of the changes in the Company’s valuation allowance is summarized below:</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140,915</w:t>
            </w:r>
          </w:p>
        </w:tc>
      </w:tr>
      <w:tr>
        <w:trPr>
          <w:trHeight w:val="243"/>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Charged to income tax expense (benefit)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Adoption of ASU 2016-09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r>
      <w:tr>
        <w:trPr>
          <w:trHeight w:val="243"/>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 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(141,094)</w:t>
            </w:r>
          </w:p>
        </w:tc>
      </w:tr>
      <w:tr>
        <w:trPr>
          <w:trHeight w:val="237"/>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5,368</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 to 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 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r>
      <w:tr>
        <w:trPr>
          <w:trHeight w:val="237"/>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The Company’s U.S. federal income tax returns are subject to examination for three years. The state and foreign income tax returns are subject to examination for periods varying from three to four years depending on the specific jurisdictions’ statutes of limitation.</w:t>
      </w:r>
    </w:p>
    <w:p>
      <w:pPr>
        <w:spacing w:after="0" w:line="14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At December 31, 2018, the Company has U.S. federal net operating loss carryovers of $207.2 million, which will expire between 2032 and 2037, and U.S. federal research credits of $0.4 million which will begin to expire in 2037. The Company has Massachusetts state research credit carryforwards of $2.8 million, which will expire between 2024 and 2033. The Company has Massachusetts investment tax credit carryforwards of $1.4 million, of which $0.6 million have no expiration date, and the remainder of which will begin to expire in 2019 and fully expire in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changes in uncertain tax positions for 2018 and 2017 is as follows:</w:t>
      </w:r>
    </w:p>
    <w:p>
      <w:pPr>
        <w:spacing w:after="0" w:line="383" w:lineRule="exact"/>
        <w:rPr>
          <w:sz w:val="20"/>
          <w:szCs w:val="20"/>
          <w:color w:val="auto"/>
        </w:rPr>
      </w:pPr>
    </w:p>
    <w:tbl>
      <w:tblPr>
        <w:tblLayout w:type="fixed"/>
        <w:tblInd w:w="2440" w:type="dxa"/>
        <w:tblCellMar>
          <w:top w:w="0" w:type="dxa"/>
          <w:left w:w="0" w:type="dxa"/>
          <w:bottom w:w="0" w:type="dxa"/>
          <w:right w:w="0" w:type="dxa"/>
        </w:tblCellMar>
      </w:tblPr>
      <w:tr>
        <w:trPr>
          <w:trHeight w:val="234"/>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of uncertain tax positions as of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Additions related to current year tax positions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Reductions related to prior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Balance of uncertain tax positions as of December 31, 2017</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9,866</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related to current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Reductions related to prior year tax positions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of uncertain tax positions as of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December 31, 2018 and 2017, total liabilities for uncertain tax positions including interest and penalties were $40.2 million and $37.0 million, respectively, consisting of uncertain tax positions of $9.8 million and $9.9 million, interest accruals of $28.2 million and $24.9 million, and penalty accruals of $2.2 million and $2.2 million, respectively. As of December 31, 2018, all of the liabilities were included in other long-term liabilities, and as of December 31, 2017, $36.3 million were included in other long-term liabilities, while $0.7 million reduced the Company’s deferred tax assets. Included in the 2018, 2017 and 2016 tax provisions are $3.2 million, $3.1 million and $1.5 million, respectively, relating to interest and penalties, net of benefits for reversals of uncertain tax positions, interest and penalties, recognized upon settlements or lapses of relevant statutes of limitation.</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connection with the Company’s acquisition of the medical imaging business from BMS in 2008, the Company entered into a tax indemnification agreement with BMS. A long-term receivable is recorded to account for the expected value to the Company of future indemnification payments, net of actual tax benefits received. The tax indemnification receivable is recognized within other long-term assets. The total long-term asset related to the indemnification was $29.5 million and $26.3 million at December 31, 2018 and 2017, respectively. The changes in the tax indemnification asset are recognized within other income in the consolidated statement of operations. In accordance with the Company’s accounting policy, the change in the tax liability, penalties and interest associated with these obligations (net of any offsetting federal or state benefit) is recognized within income tax expense. Accordingly, as these reserves change, adjustments are included in income tax expense while the offsetting adjustment is included in other income.</w:t>
      </w:r>
    </w:p>
    <w:p>
      <w:pPr>
        <w:sectPr>
          <w:pgSz w:w="11900" w:h="16838" w:orient="portrait"/>
          <w:cols w:equalWidth="0" w:num="1">
            <w:col w:w="11380"/>
          </w:cols>
          <w:pgMar w:left="240" w:top="162" w:right="279" w:bottom="144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80"/>
          </w:cols>
          <w:pgMar w:left="240" w:top="162" w:right="27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Assuming that the receivable from BMS continues to be considered recoverable by the Company, there will be minimal effect on net income and no net cash outflows related to these liabilities.</w:t>
      </w:r>
    </w:p>
    <w:p>
      <w:pPr>
        <w:spacing w:after="0" w:line="1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During the year ended December 31, 2018 and 2017, BMS made no payments on behalf of the Company with respect to indemnified contingent tax liabilities. In 2016, BMS made payments on behalf of the Company totaling $0.7 million to several states in connection with prior year state income tax filings. The amount due from BMS as of December 31, 2018, increased by $3.3 million, due to the accrual of interest on the existing contingent liabilities. The amount due from BMS, included within other long-term assets, increased by $8.4 million in 2017, primarily due to the decrease in U.S. corporate tax rates effective January 1, 2018. In 2016, the amount due from BMS decreased by $1.3 million for the year ended December 31, 2016, which represented the release of asset balances associated with pre-acquisition year-related tax payments made by BMS.</w:t>
      </w:r>
    </w:p>
    <w:p>
      <w:pPr>
        <w:spacing w:after="0" w:line="17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Included in other income for the years ended December 31, 2018, 2017 and 2016, is tax indemnification income of $2.9 million, $8.4 million and $1.1 million, respectively. For the year ended December 31, 2017, $6.5 million of the tax indemnification income is related to the impact of the U.S. federal tax rate reduction, and the remainder arises from increases in the indemnified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Sales of Certain International Segment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Certain Canadian Assets</w:t>
      </w:r>
    </w:p>
    <w:p>
      <w:pPr>
        <w:spacing w:after="0" w:line="117"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During the fourth quarter of 2015, the Company committed to a plan to sell certain assets and liabilities associated with the Company’s Canadian operations in the International Segment. This event qualified for held for sale accounting and the Company determined that the fair value of the net assets being sold significantly exceeded the carrying value as of December 31, 2015. The transaction was finalized in the first quarter of 2016.</w:t>
      </w:r>
    </w:p>
    <w:p>
      <w:pPr>
        <w:spacing w:after="0" w:line="14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Effective January 7, 2016, the Canadian subsidiary of the Company entered into an asset purchase agreement (“Canadian Asset Purchase Agreement”) pursuant to which it would sell substantially all of the assets of its Canadian radiopharmacy businesses and Gludef manufacturing and distribution business to one of its existing Canadian radiopharmacy customers.</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purchase price for the asset sale was $9.0 million in cash and also included a working capital adjustment of $0.5 million, which was settled in the third quarter of 2016. The Canadian Asset Purchase Agreement contained customary representations, warranties and covenants by each of the parties. Subject to certain limitations, the buyer will be indemnified for damages resulting from breaches or inaccuracies of the Company’s representations, warranties and covenants in the Canadian Asset Purchase Agreement.</w:t>
      </w:r>
    </w:p>
    <w:p>
      <w:pPr>
        <w:spacing w:after="0" w:line="1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part of the transaction, the Company and the buyer also entered into a customary transition services agreement and a long-term supply contract under which the Company will supply the buyer with certain of the Company’s products on commercial terms and under which the buyer has agreed to certain product minimum purchase commitments.</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does not believe the sale of certain net assets in the international segment constituted a strategic shift that would have a major effect on its operations or financial results. As a result, this transaction is not classified as discontinued operations in the Company’s consolidated financial statements.</w:t>
      </w:r>
    </w:p>
    <w:p>
      <w:pPr>
        <w:spacing w:after="0" w:line="12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This sale of assets resulted in a pre-tax book gain of $5.9 million, which is recorded within gain on sales of assets in the accompanying consolidated statements of operations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Australian Radiopharmacy Servicing Subsidiary</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Effective August 11, 2016, the Company entered into a share purchase agreement (“Australian Share Purchase Agreement”) with one of its existing radiopharmacy customers under which it sold all of the stock of its Australian radiopharmacy servicing subsidiary.</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aggregate share sale price was AUD $2.0 million (approximately $1.5 million) in cash and also included a working capital adjustment of approximately AUD $2.0 million (approximately $1.5 million) for total proceeds of AUD $4.0 million (approximately $3.0 million) from the sale. As a result of this sale, the Company disposed of net assets of $2.2 million, primarily comprised of working capital accounts of $2.0 million.</w:t>
      </w:r>
    </w:p>
    <w:p>
      <w:pPr>
        <w:spacing w:after="0" w:line="16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This share sale resulted in an adjusted pre-tax book gain of $0.5 million, which is recorded within gain on sales of assets in the accompanying consolidated statements of operations for the year ended December 31, 2016. As a result of the sale of the Australian subsidiary, the Company reclassified $0.4 million from other comprehensive income to gain on sale of assets in the accompanying consolidated statements of operations for the year ended December 31, 2016.</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75"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Australian Share Purchase Agreement contains customary representations, warranties and covenants by each of the parties. Subject to certain limitations, the buyer will be indemnified for damages resulting from breaches or inaccuracies of the Company’s representations, warranties and covenants in the Australian Share Purchase Agreement.</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part of the transaction, the Company and the buyer also entered into a long-term supply and distribution contract under which the Company will supply the buyer and its subsidiaries with the Company’s products on commercial terms and under which the buyer has agreed to certain product minimum purchase commitments.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does not believe this sale of certain net assets in the international segment constituted a strategic shift that would have a major effect on its operations or financial results. As a result, this transaction is not classified as discontinued operations in the Company’s accompanying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7. Inventory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6220" w:type="dxa"/>
            <w:vAlign w:val="bottom"/>
            <w:gridSpan w:val="2"/>
          </w:tcPr>
          <w:p>
            <w:pPr>
              <w:ind w:left="420"/>
              <w:spacing w:after="0"/>
              <w:rPr>
                <w:sz w:val="20"/>
                <w:szCs w:val="20"/>
                <w:color w:val="auto"/>
              </w:rPr>
            </w:pPr>
            <w:r>
              <w:rPr>
                <w:rFonts w:ascii="Arial" w:cs="Arial" w:eastAsia="Arial" w:hAnsi="Arial"/>
                <w:sz w:val="18"/>
                <w:szCs w:val="18"/>
                <w:color w:val="auto"/>
              </w:rPr>
              <w:t>Inventory consisted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2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4"/>
                <w:szCs w:val="24"/>
                <w:color w:val="auto"/>
              </w:rPr>
            </w:pPr>
          </w:p>
        </w:tc>
      </w:tr>
      <w:tr>
        <w:trPr>
          <w:trHeight w:val="27"/>
        </w:trPr>
        <w:tc>
          <w:tcPr>
            <w:tcW w:w="2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30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30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43"/>
        </w:trPr>
        <w:tc>
          <w:tcPr>
            <w:tcW w:w="230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7"/>
        </w:trPr>
        <w:tc>
          <w:tcPr>
            <w:tcW w:w="2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30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7"/>
        </w:trPr>
        <w:tc>
          <w:tcPr>
            <w:tcW w:w="230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r>
      <w:tr>
        <w:trPr>
          <w:trHeight w:val="27"/>
        </w:trPr>
        <w:tc>
          <w:tcPr>
            <w:tcW w:w="2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December 31, 2017, the Company had $1.1 million of inventory classified within other long-term assets, which represent raw materials not expected to be used by the Company during the next twelve months. As of December 31, 2018, the Company had no inventory classified within other long-term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6860" w:type="dxa"/>
            <w:vAlign w:val="bottom"/>
            <w:gridSpan w:val="2"/>
          </w:tcPr>
          <w:p>
            <w:pPr>
              <w:ind w:left="420"/>
              <w:spacing w:after="0"/>
              <w:rPr>
                <w:sz w:val="20"/>
                <w:szCs w:val="20"/>
                <w:color w:val="auto"/>
              </w:rPr>
            </w:pPr>
            <w:r>
              <w:rPr>
                <w:rFonts w:ascii="Arial" w:cs="Arial" w:eastAsia="Arial" w:hAnsi="Arial"/>
                <w:sz w:val="18"/>
                <w:szCs w:val="18"/>
                <w:color w:val="auto"/>
              </w:rPr>
              <w:t>Property, plant and equipment, net, consisted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1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27"/>
        </w:trPr>
        <w:tc>
          <w:tcPr>
            <w:tcW w:w="15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58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58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r>
      <w:tr>
        <w:trPr>
          <w:trHeight w:val="243"/>
        </w:trPr>
        <w:tc>
          <w:tcPr>
            <w:tcW w:w="158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64,444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76,059</w:t>
            </w:r>
          </w:p>
        </w:tc>
      </w:tr>
      <w:tr>
        <w:trPr>
          <w:trHeight w:val="27"/>
        </w:trPr>
        <w:tc>
          <w:tcPr>
            <w:tcW w:w="15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58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71,870</w:t>
            </w:r>
          </w:p>
        </w:tc>
      </w:tr>
      <w:tr>
        <w:trPr>
          <w:trHeight w:val="243"/>
        </w:trPr>
        <w:tc>
          <w:tcPr>
            <w:tcW w:w="158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20,271</w:t>
            </w:r>
          </w:p>
        </w:tc>
      </w:tr>
      <w:tr>
        <w:trPr>
          <w:trHeight w:val="27"/>
        </w:trPr>
        <w:tc>
          <w:tcPr>
            <w:tcW w:w="15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58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7,622</w:t>
            </w:r>
          </w:p>
        </w:tc>
      </w:tr>
      <w:tr>
        <w:trPr>
          <w:trHeight w:val="237"/>
        </w:trPr>
        <w:tc>
          <w:tcPr>
            <w:tcW w:w="15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190,627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189,272</w:t>
            </w:r>
          </w:p>
        </w:tc>
      </w:tr>
      <w:tr>
        <w:trPr>
          <w:trHeight w:val="27"/>
        </w:trPr>
        <w:tc>
          <w:tcPr>
            <w:tcW w:w="15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58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(96,273)</w:t>
            </w:r>
          </w:p>
        </w:tc>
      </w:tr>
      <w:tr>
        <w:trPr>
          <w:trHeight w:val="237"/>
        </w:trPr>
        <w:tc>
          <w:tcPr>
            <w:tcW w:w="1580" w:type="dxa"/>
            <w:vAlign w:val="bottom"/>
          </w:tcPr>
          <w:p>
            <w:pPr>
              <w:spacing w:after="0"/>
              <w:rPr>
                <w:sz w:val="20"/>
                <w:szCs w:val="20"/>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107,888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92,999</w:t>
            </w:r>
          </w:p>
        </w:tc>
      </w:tr>
      <w:tr>
        <w:trPr>
          <w:trHeight w:val="27"/>
        </w:trPr>
        <w:tc>
          <w:tcPr>
            <w:tcW w:w="15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Depreciation and amortization expense related to property, plant &amp; equipment, net, was $10.1 million, $14.8 million and $12.1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During the fourth quarter of 2017, the Company committed to a plan to sell a portion of its land in the U.S. segment. This event qualified for held for sale accounting and the land was written down to its fair value, less estimated costs to sell, which is classified in other current assets at December 31, 2017. This resulted in a loss of $0.9 million, which is included within general and administrative expenses in the accompanying consolidated statement of operations. The fair value was estimated utilizing Level 3 inputs and using a market approach, based on available data for transactions in the region, discussions with real estate brokers and the asking price of comparable properties in its principal market. During the first quarter of 2018, the Company completed the sale of the land for proceeds of $1.0 million.</w:t>
      </w:r>
    </w:p>
    <w:p>
      <w:pPr>
        <w:sectPr>
          <w:pgSz w:w="11900" w:h="16838" w:orient="portrait"/>
          <w:cols w:equalWidth="0" w:num="1">
            <w:col w:w="11360"/>
          </w:cols>
          <w:pgMar w:left="240" w:top="175" w:right="299" w:bottom="1440" w:gutter="0" w:footer="0" w:header="0"/>
        </w:sect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60"/>
          </w:cols>
          <w:pgMar w:left="240" w:top="175" w:right="29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Retirement Obligations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81"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4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December 31, 2018,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gridSpan w:val="15"/>
          </w:tcPr>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60" w:type="dxa"/>
            <w:vAlign w:val="bottom"/>
            <w:gridSpan w:val="3"/>
          </w:tcPr>
          <w:p>
            <w:pPr>
              <w:ind w:left="380"/>
              <w:spacing w:after="0"/>
              <w:rPr>
                <w:sz w:val="20"/>
                <w:szCs w:val="20"/>
                <w:color w:val="auto"/>
              </w:rPr>
            </w:pPr>
            <w:r>
              <w:rPr>
                <w:rFonts w:ascii="Arial" w:cs="Arial" w:eastAsia="Arial" w:hAnsi="Arial"/>
                <w:sz w:val="18"/>
                <w:szCs w:val="18"/>
                <w:color w:val="auto"/>
              </w:rPr>
              <w:t>Accretion expense</w:t>
            </w: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Balance, December 31, 2018</w:t>
            </w: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Intangibles, Net</w:t>
            </w:r>
          </w:p>
        </w:tc>
        <w:tc>
          <w:tcPr>
            <w:tcW w:w="216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540" w:type="dxa"/>
            <w:vAlign w:val="bottom"/>
            <w:gridSpan w:val="2"/>
            <w:vMerge w:val="continue"/>
          </w:tcPr>
          <w:p>
            <w:pPr>
              <w:spacing w:after="0"/>
              <w:rPr>
                <w:sz w:val="24"/>
                <w:szCs w:val="24"/>
                <w:color w:val="auto"/>
              </w:rPr>
            </w:pPr>
          </w:p>
        </w:tc>
        <w:tc>
          <w:tcPr>
            <w:tcW w:w="216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gridSpan w:val="5"/>
          </w:tcPr>
          <w:p>
            <w:pPr>
              <w:ind w:left="420"/>
              <w:spacing w:after="0"/>
              <w:rPr>
                <w:sz w:val="20"/>
                <w:szCs w:val="20"/>
                <w:color w:val="auto"/>
              </w:rPr>
            </w:pPr>
            <w:r>
              <w:rPr>
                <w:rFonts w:ascii="Arial" w:cs="Arial" w:eastAsia="Arial" w:hAnsi="Arial"/>
                <w:sz w:val="18"/>
                <w:szCs w:val="18"/>
                <w:color w:val="auto"/>
              </w:rPr>
              <w:t>Intangibles, net, consisted of the following:</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Method</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3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4"/>
              </w:rPr>
              <w:t>Straight-Line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360" w:type="dxa"/>
            <w:vAlign w:val="bottom"/>
            <w:gridSpan w:val="4"/>
          </w:tcPr>
          <w:p>
            <w:pPr>
              <w:ind w:left="20"/>
              <w:spacing w:after="0"/>
              <w:rPr>
                <w:sz w:val="20"/>
                <w:szCs w:val="20"/>
                <w:color w:val="auto"/>
              </w:rPr>
            </w:pPr>
            <w:r>
              <w:rPr>
                <w:rFonts w:ascii="Arial" w:cs="Arial" w:eastAsia="Arial" w:hAnsi="Arial"/>
                <w:sz w:val="18"/>
                <w:szCs w:val="18"/>
                <w:color w:val="auto"/>
              </w:rPr>
              <w:t>Customer relationships</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Accelerated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Pr>
          <w:p>
            <w:pPr>
              <w:spacing w:after="0"/>
              <w:rPr>
                <w:sz w:val="23"/>
                <w:szCs w:val="23"/>
                <w:color w:val="auto"/>
              </w:rPr>
            </w:pPr>
          </w:p>
        </w:tc>
        <w:tc>
          <w:tcPr>
            <w:tcW w:w="3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80" w:type="dxa"/>
            <w:vAlign w:val="bottom"/>
            <w:tcBorders>
              <w:bottom w:val="single" w:sz="8" w:color="CCEEFF"/>
            </w:tcBorders>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4"/>
              </w:rPr>
              <w:t>Straight-Line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336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119,022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(109,889)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December 31, 2017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360" w:type="dxa"/>
            <w:vAlign w:val="bottom"/>
            <w:gridSpan w:val="4"/>
          </w:tcPr>
          <w:p>
            <w:pPr>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Method</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40" w:type="dxa"/>
            <w:vAlign w:val="bottom"/>
            <w:tcBorders>
              <w:right w:val="single" w:sz="8" w:color="CCEEFF"/>
            </w:tcBorders>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center"/>
              <w:ind w:right="300"/>
              <w:spacing w:after="0"/>
              <w:rPr>
                <w:sz w:val="20"/>
                <w:szCs w:val="20"/>
                <w:color w:val="auto"/>
              </w:rPr>
            </w:pPr>
            <w:r>
              <w:rPr>
                <w:rFonts w:ascii="Arial" w:cs="Arial" w:eastAsia="Arial" w:hAnsi="Arial"/>
                <w:sz w:val="18"/>
                <w:szCs w:val="18"/>
                <w:color w:val="auto"/>
                <w:w w:val="94"/>
              </w:rPr>
              <w:t>Straight-Line</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Accelerated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Patents</w:t>
            </w:r>
          </w:p>
        </w:tc>
        <w:tc>
          <w:tcPr>
            <w:tcW w:w="136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4"/>
              </w:rPr>
              <w:t>Straight-Line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336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(143,655)</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recorded amortization expense for its intangible assets of $2.6 million, $3.3 million and $5.1 million for the years ended December 31, 2018, 2017 and 2016, respectively.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75"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below table summarizes the estimated aggregate amortization expense expected to be recognized on the above intangible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352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1,568</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35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579</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2,701</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11. Accrued Expenses and Other Liabilities</w:t>
            </w:r>
          </w:p>
        </w:tc>
        <w:tc>
          <w:tcPr>
            <w:tcW w:w="27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500" w:type="dxa"/>
            <w:vAlign w:val="bottom"/>
            <w:gridSpan w:val="2"/>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420"/>
              <w:spacing w:after="0"/>
              <w:rPr>
                <w:sz w:val="20"/>
                <w:szCs w:val="20"/>
                <w:color w:val="auto"/>
              </w:rPr>
            </w:pPr>
            <w:r>
              <w:rPr>
                <w:rFonts w:ascii="Arial" w:cs="Arial" w:eastAsia="Arial" w:hAnsi="Arial"/>
                <w:sz w:val="18"/>
                <w:szCs w:val="18"/>
                <w:color w:val="auto"/>
              </w:rPr>
              <w:t>Accrued expenses are comprised of the following: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5"/>
          </w:tcPr>
          <w:p>
            <w:pPr>
              <w:ind w:left="52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Freight, distribution and operations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rebates, discounts and chargebacks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accrued expenses and other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 million five-year asset based loan facility (the “ABL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 million, plus additional amounts, in certain circumstances.</w:t>
      </w:r>
    </w:p>
    <w:p>
      <w:pPr>
        <w:spacing w:after="0" w:line="179"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16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November 29, 2017, the Company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 The Company accounted for the Repricing Amendment as both a debt extinguishment and debt modification by evaluating the refinancing on a creditor by creditor basis.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75"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Facility</w:t>
      </w:r>
    </w:p>
    <w:p>
      <w:pPr>
        <w:spacing w:after="0" w:line="11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Term Loans under the 2017 Term Facility bear interest, with pricing based from time to time at the Company’s election at (i) LIBOR plus a spread of 3.75% or (ii) the Base Rate (as defined in the Credit Agreement) plus a spread of 2.75%. Interest is payable (i) with respect to LIBOR Term Loans, at the end of each Interest Period (as defined in the Credit Agreement) and (ii) with respect to Base Rate Term Loans, at the end of each quarter. At December 31, 2018, the Company’s interest rate under the 2017 Term Facility was 6.3%.</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2017 Term Facility are as follows as of December 31, 2018:</w:t>
      </w:r>
    </w:p>
    <w:p>
      <w:pPr>
        <w:spacing w:after="0" w:line="16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Amount</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261,937</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principal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270,187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37"/>
        </w:trPr>
        <w:tc>
          <w:tcPr>
            <w:tcW w:w="520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266,459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7"/>
        </w:trPr>
        <w:tc>
          <w:tcPr>
            <w:tcW w:w="520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263,709</w:t>
            </w:r>
          </w:p>
        </w:tc>
      </w:tr>
      <w:tr>
        <w:trPr>
          <w:trHeight w:val="27"/>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Revolving Facility</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the Company’s election at (i) LIBOR plus a spread of 3.00% or (ii) the Base Rate (as defined in the Credit Agreement) plus a spread of 2.00%. The 2017 Revolving Facility also includes an unused line fee, which is set at 0.38% while the Company’s secured leverage ratio (as defined in the Credit Agreement) is greater than 3.00 to 1.00 and 0.25% when the Company’s secured leverage ratio is less than or equal to 3.00 to 1.00.</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December 31, 2018, there were no outstanding borrowings under the 2017 Revolving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Facility Covenants</w:t>
      </w:r>
    </w:p>
    <w:p>
      <w:pPr>
        <w:spacing w:after="0" w:line="11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Facility Financial Covenant</w:t>
      </w:r>
    </w:p>
    <w:p>
      <w:pPr>
        <w:spacing w:after="0" w:line="90"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1920" w:type="dxa"/>
            <w:vAlign w:val="bottom"/>
          </w:tcPr>
          <w:p>
            <w:pPr>
              <w:ind w:left="880"/>
              <w:spacing w:after="0"/>
              <w:rPr>
                <w:sz w:val="20"/>
                <w:szCs w:val="20"/>
                <w:color w:val="auto"/>
              </w:rPr>
            </w:pPr>
            <w:r>
              <w:rPr>
                <w:rFonts w:ascii="Arial" w:cs="Arial" w:eastAsia="Arial" w:hAnsi="Arial"/>
                <w:sz w:val="18"/>
                <w:szCs w:val="18"/>
                <w:b w:val="1"/>
                <w:bCs w:val="1"/>
                <w:color w:val="auto"/>
              </w:rPr>
              <w:t>Period</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Leverage Ratio</w:t>
            </w:r>
          </w:p>
        </w:tc>
      </w:tr>
      <w:tr>
        <w:trPr>
          <w:trHeight w:val="27"/>
        </w:trPr>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Q1 2019</w:t>
            </w:r>
          </w:p>
        </w:tc>
        <w:tc>
          <w:tcPr>
            <w:tcW w:w="19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0"/>
              </w:rPr>
              <w:t>4.75 to 1.00</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960" w:type="dxa"/>
            <w:vAlign w:val="bottom"/>
          </w:tcPr>
          <w:p>
            <w:pPr>
              <w:jc w:val="center"/>
              <w:ind w:left="250"/>
              <w:spacing w:after="0"/>
              <w:rPr>
                <w:sz w:val="20"/>
                <w:szCs w:val="20"/>
                <w:color w:val="auto"/>
              </w:rPr>
            </w:pPr>
            <w:r>
              <w:rPr>
                <w:rFonts w:ascii="Arial" w:cs="Arial" w:eastAsia="Arial" w:hAnsi="Arial"/>
                <w:sz w:val="18"/>
                <w:szCs w:val="18"/>
                <w:color w:val="auto"/>
                <w:w w:val="90"/>
              </w:rPr>
              <w:t>4.50 to 1.00</w:t>
            </w:r>
          </w:p>
        </w:tc>
      </w:tr>
    </w:tbl>
    <w:p>
      <w:pPr>
        <w:spacing w:after="0" w:line="200" w:lineRule="exact"/>
        <w:rPr>
          <w:sz w:val="20"/>
          <w:szCs w:val="20"/>
          <w:color w:val="auto"/>
        </w:rPr>
      </w:pPr>
    </w:p>
    <w:p>
      <w:pPr>
        <w:sectPr>
          <w:pgSz w:w="11900" w:h="16838" w:orient="portrait"/>
          <w:cols w:equalWidth="0" w:num="1">
            <w:col w:w="11400"/>
          </w:cols>
          <w:pgMar w:left="240" w:top="175"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75" w:right="2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Facility contains usual and customary restrictions on the ability of the Company and its subsidiaries to: (i) incur additional indebtedness</w:t>
      </w:r>
    </w:p>
    <w:p>
      <w:pPr>
        <w:spacing w:after="0" w:line="35" w:lineRule="exact"/>
        <w:rPr>
          <w:sz w:val="20"/>
          <w:szCs w:val="20"/>
          <w:color w:val="auto"/>
        </w:rPr>
      </w:pPr>
    </w:p>
    <w:p>
      <w:pPr>
        <w:ind w:right="600" w:firstLine="8"/>
        <w:spacing w:after="0" w:line="255"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and obligations under the 2017 Facility are generally secured by first priority liens over substantially all of the assets of each of LMI, Holdings and Lantheus MI Real Estate, LLC (subject to customary exclusions set forth in the transaction documents) owned as of March 30, 2017 or thereafter acquired.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As of December 31, 2018, the Company’s approved equity incentive plans included the 2015 Equity Incentive Plan (“2015 Plan”), the 2013 Equity Incentive Plan (“2013 Plan”), and the 2008 Equity Incentive Plan (“2008 Plan”). These plans are administered by the Board of Directors and permit the granting of stock options, stock appreciation rights, restricted stock, restricted stock units and dividend equivalent rights (“DERs”) to employees, officers, directors and consultants of the Company.</w:t>
      </w:r>
    </w:p>
    <w:p>
      <w:pPr>
        <w:spacing w:after="0" w:line="187"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The Company has certain stock option and restricted stock awards outstanding under each of its equity incentive plans but, upon adoption of the 2015 Plan, no longer grants new equity awards under its 2008 and 2013 Plans. The Company adopted its 2015 Plan in June 2015 and subsequently amended the plan in April 2017 to increase the common stock reserved for issuance under the plan to an aggregate 5,755,277 shares.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recognized in the consolidated statements of operations is summarized below:</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Stock option awards under the 2015 Plan are granted with an exercise price equal to the fair value of the Company’s common stock at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option awards have a ten-year contractual term.</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A summary of option activity for 2018 is presented below:</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Term</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565,425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 exercised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Options cancelled and expired</w:t>
            </w:r>
          </w:p>
        </w:tc>
        <w:tc>
          <w:tcPr>
            <w:tcW w:w="1180" w:type="dxa"/>
            <w:vAlign w:val="bottom"/>
          </w:tcPr>
          <w:p>
            <w:pPr>
              <w:jc w:val="right"/>
              <w:spacing w:after="0"/>
              <w:rPr>
                <w:sz w:val="20"/>
                <w:szCs w:val="20"/>
                <w:color w:val="auto"/>
              </w:rPr>
            </w:pPr>
            <w:r>
              <w:rPr>
                <w:rFonts w:ascii="Arial" w:cs="Arial" w:eastAsia="Arial" w:hAnsi="Arial"/>
                <w:sz w:val="18"/>
                <w:szCs w:val="18"/>
                <w:color w:val="auto"/>
              </w:rPr>
              <w:t>(15,800)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357,075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535,427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December 31, 2018</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4600" w:type="dxa"/>
            <w:vAlign w:val="bottom"/>
            <w:tcBorders>
              <w:bottom w:val="single" w:sz="8" w:color="CCEEFF"/>
            </w:tcBorders>
            <w:vMerge w:val="continue"/>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357,075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535,427</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2018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353,049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522,423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7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75"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years ended December 31, 2018, 2017 and 2016, 192,550, 465,232 and 40,976 options were exercised having aggregate intrinsic values of $2.4 million, $5.1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restricted stock awards and restricted stock units activity for 2018 is presented below:</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Date Fair Value Per</w:t>
            </w:r>
          </w:p>
        </w:tc>
      </w:tr>
      <w:tr>
        <w:trPr>
          <w:trHeight w:val="234"/>
        </w:trPr>
        <w:tc>
          <w:tcPr>
            <w:tcW w:w="6420" w:type="dxa"/>
            <w:vAlign w:val="bottom"/>
          </w:tcPr>
          <w:p>
            <w:pPr>
              <w:spacing w:after="0"/>
              <w:rPr>
                <w:sz w:val="20"/>
                <w:szCs w:val="20"/>
                <w:color w:val="auto"/>
              </w:rPr>
            </w:pP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6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January 1, 2018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647,850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15.46</w:t>
            </w:r>
          </w:p>
        </w:tc>
      </w:tr>
      <w:tr>
        <w:trPr>
          <w:trHeight w:val="27"/>
        </w:trPr>
        <w:tc>
          <w:tcPr>
            <w:tcW w:w="6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(672,345)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(232,228)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7"/>
        </w:trPr>
        <w:tc>
          <w:tcPr>
            <w:tcW w:w="6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r>
      <w:tr>
        <w:trPr>
          <w:trHeight w:val="20"/>
        </w:trPr>
        <w:tc>
          <w:tcPr>
            <w:tcW w:w="6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December 31, 2018, there was $9.5 million of unrecognized compensation expense related to outstanding restricted stock, which is expected to be recognized over a weighted-average period of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Awards</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Performance awards vest based on the requisite service period subject to the achievement of specific financial performance targets. The Company monitors the probability of achieving the performance targets on a quarterly basis and may adjust periodic stock compensation expense accordingly. The performance targets include the achievement of internal performance targets only.</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w w:val="94"/>
              </w:rPr>
              <w:t>A summary of performance restricted stock award activity for 2018 is presented below:</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0"/>
        </w:trPr>
        <w:tc>
          <w:tcPr>
            <w:tcW w:w="8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 Per</w:t>
            </w:r>
          </w:p>
        </w:tc>
      </w:tr>
      <w:tr>
        <w:trPr>
          <w:trHeight w:val="234"/>
        </w:trPr>
        <w:tc>
          <w:tcPr>
            <w:tcW w:w="8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800" w:type="dxa"/>
            <w:vAlign w:val="bottom"/>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0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January 1, 2018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43"/>
        </w:trPr>
        <w:tc>
          <w:tcPr>
            <w:tcW w:w="800" w:type="dxa"/>
            <w:vAlign w:val="bottom"/>
          </w:tcPr>
          <w:p>
            <w:pPr>
              <w:spacing w:after="0"/>
              <w:rPr>
                <w:sz w:val="21"/>
                <w:szCs w:val="21"/>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0" w:type="dxa"/>
            <w:vAlign w:val="bottom"/>
          </w:tcPr>
          <w:p>
            <w:pPr>
              <w:spacing w:after="0"/>
              <w:rPr>
                <w:sz w:val="21"/>
                <w:szCs w:val="21"/>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(49,292)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7"/>
        </w:trPr>
        <w:tc>
          <w:tcPr>
            <w:tcW w:w="800" w:type="dxa"/>
            <w:vAlign w:val="bottom"/>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800" w:type="dxa"/>
            <w:vAlign w:val="bottom"/>
          </w:tcPr>
          <w:p>
            <w:pPr>
              <w:spacing w:after="0"/>
              <w:rPr>
                <w:sz w:val="22"/>
                <w:szCs w:val="22"/>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2018</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241,880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r>
      <w:tr>
        <w:trPr>
          <w:trHeight w:val="20"/>
        </w:trPr>
        <w:tc>
          <w:tcPr>
            <w:tcW w:w="8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December 31, 2018, there was $2.9 million of unrecognized compensation expense related to outstanding performance restricted stock which is expected to be recognized over a weighted-average period of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Stockholder Return Restricted Stock Awards (“TSR Awards”)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the year ended December 31, 2018, the Company granted total stockholder return (“TSR”) Awards that include a three-year market condition where the performance measurement period is three years. Vesting of the TSR Awards is based on the Company’s level of attainment of specified TSR targets relative to the percentage appreciation of a specified index of companies for the respective three-year period and is also subject to the continued employment of the grantees. The number of shares that are earned over the performance period ranges from 0% to 200% of the initial award. The fair value of these awards are based on a Monte Carlo Simulation valuation model with the following assumptions:</w:t>
      </w:r>
    </w:p>
    <w:p>
      <w:pPr>
        <w:spacing w:after="0" w:line="331" w:lineRule="exact"/>
        <w:rPr>
          <w:sz w:val="20"/>
          <w:szCs w:val="20"/>
          <w:color w:val="auto"/>
        </w:rPr>
      </w:pPr>
    </w:p>
    <w:tbl>
      <w:tblPr>
        <w:tblLayout w:type="fixed"/>
        <w:tblInd w:w="35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28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2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8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80"/>
          </w:cols>
          <w:pgMar w:left="240" w:top="175" w:right="2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80"/>
          </w:cols>
          <w:pgMar w:left="240" w:top="175" w:right="27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966"/>
        </w:trPr>
        <w:tc>
          <w:tcPr>
            <w:tcW w:w="6940" w:type="dxa"/>
            <w:vAlign w:val="bottom"/>
            <w:gridSpan w:val="3"/>
          </w:tcPr>
          <w:p>
            <w:pPr>
              <w:ind w:left="420"/>
              <w:spacing w:after="0"/>
              <w:rPr>
                <w:sz w:val="20"/>
                <w:szCs w:val="20"/>
                <w:color w:val="auto"/>
              </w:rPr>
            </w:pPr>
            <w:r>
              <w:rPr>
                <w:rFonts w:ascii="Arial" w:cs="Arial" w:eastAsia="Arial" w:hAnsi="Arial"/>
                <w:sz w:val="18"/>
                <w:szCs w:val="18"/>
                <w:color w:val="auto"/>
              </w:rPr>
              <w:t>A summary of TSR Award activity for 2018 is presented below:</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68"/>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 Per</w:t>
            </w:r>
          </w:p>
        </w:tc>
      </w:tr>
      <w:tr>
        <w:trPr>
          <w:trHeight w:val="234"/>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122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220" w:type="dxa"/>
            <w:vAlign w:val="bottom"/>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balance at January 1, 2018</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206,896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(26,983)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7"/>
        </w:trPr>
        <w:tc>
          <w:tcPr>
            <w:tcW w:w="122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1220" w:type="dxa"/>
            <w:vAlign w:val="bottom"/>
          </w:tcPr>
          <w:p>
            <w:pPr>
              <w:spacing w:after="0"/>
              <w:rPr>
                <w:sz w:val="22"/>
                <w:szCs w:val="22"/>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2018</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December 31, 2018, there was $3.1 million of unrecognized compensation expense related to outstanding performance restricted stock which is expected to be recognized over a weighted-average period of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w:t>
      </w:r>
    </w:p>
    <w:p>
      <w:pPr>
        <w:spacing w:after="0" w:line="117"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During the years ended December 31, 2018 and 2017, the Company recognized approximately $0.3 million and $1.3 million, respectively, of stock-based compensation expense associated with the modification of awards. The modification of these awards affected the vesting terms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April 2017, the Company’s stockholders approved the 2017 Employee Stock Purchase Plan (“2017 ESPP”), which authorized the issuance of up to 250,000 shares of common stock thereunder. Under the terms of the 2017 ESPP, eligible U.S. employees can elect to acquire shares of the Company’s common stock through periodic payroll deductions during a series of six month offering periods, which will generally begin in March and September of each year. Purchases under the 2017 ESPP are effected on the last business day of each offering period at a 15% discount to the closing price on that day. The 2017 ESPP was implemented, subject to stockholder approval, on March 10, 2017, and the first purchases thereunder were made on September 13,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14. Net Income Per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80" w:type="dxa"/>
            <w:vAlign w:val="bottom"/>
          </w:tcPr>
          <w:p>
            <w:pPr>
              <w:ind w:left="420"/>
              <w:spacing w:after="0"/>
              <w:rPr>
                <w:sz w:val="20"/>
                <w:szCs w:val="20"/>
                <w:color w:val="auto"/>
              </w:rPr>
            </w:pPr>
            <w:r>
              <w:rPr>
                <w:rFonts w:ascii="Arial" w:cs="Arial" w:eastAsia="Arial" w:hAnsi="Arial"/>
                <w:sz w:val="18"/>
                <w:szCs w:val="18"/>
                <w:color w:val="auto"/>
              </w:rPr>
              <w:t>A summary of net income per common share is presented below:</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(in thousands, except per share amounts)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restricted stock</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32,656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Antidilutive securities excluded from diluted net income per common share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15. Commitments and Contingencies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Leases and Purchase Commitments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Company leases certain buildings, hardware and office space under operating leases and equipment under capital leases. In addition, the Company has entered into purchasing arrangements in which minimum quantities of goods or services have been committed to be purchased on an annual basis.</w:t>
      </w:r>
    </w:p>
    <w:p>
      <w:pPr>
        <w:sectPr>
          <w:pgSz w:w="11900" w:h="16838" w:orient="portrait"/>
          <w:cols w:equalWidth="0" w:num="1">
            <w:col w:w="11420"/>
          </w:cols>
          <w:pgMar w:left="240" w:top="16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62"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future payments required under noncancelable lease agreements and purchase commitments are as follows:</w:t>
      </w:r>
    </w:p>
    <w:p>
      <w:pPr>
        <w:spacing w:after="0" w:line="167" w:lineRule="exact"/>
        <w:rPr>
          <w:sz w:val="20"/>
          <w:szCs w:val="20"/>
          <w:color w:val="auto"/>
        </w:rPr>
      </w:pPr>
    </w:p>
    <w:tbl>
      <w:tblPr>
        <w:tblLayout w:type="fixed"/>
        <w:tblInd w:w="3120" w:type="dxa"/>
        <w:tblCellMar>
          <w:top w:w="0" w:type="dxa"/>
          <w:left w:w="0" w:type="dxa"/>
          <w:bottom w:w="0" w:type="dxa"/>
          <w:right w:w="0" w:type="dxa"/>
        </w:tblCellMar>
      </w:tblPr>
      <w:tr>
        <w:trPr>
          <w:trHeight w:val="234"/>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 expense was $0.3 million, $0.3 million and $0.4 million for the years ended December 31, 2018, 2017 and 2016, respectively.</w:t>
      </w:r>
    </w:p>
    <w:p>
      <w:pPr>
        <w:spacing w:after="0" w:line="22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Company has entered into agreements which contain certain percentage volume purchase requirements. The Company has excluded these future purchase commitments from the table above since there are no minimum purchase commitments or payments under these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7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is currently in arbitration with Pharmalucence in connection with a Manufacturing and Supply Agreement dated November 12, 2013, under which Pharmalucence agreed to manufacture and supply DEFINITY for the Company. The commercial arrangement contemplated by that agreement was repeatedly delayed and ultimately never successfully realized. After extended settlement discussions between Sun Pharma, the ultimate parent of Pharmalucence, and the Company, which did not lead to a mutually acceptable outcome, on November 10, 2017, the Company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The Company is seeking monetary damages but cannot predict the outcome of this dispute resolution proceeding and whether the Company will be able to obtain any financial recovery as a result of this proceeding.</w:t>
      </w:r>
    </w:p>
    <w:p>
      <w:pPr>
        <w:spacing w:after="0" w:line="179"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As of December 31, 2018, except as disclosed above the Company had no material ongoing litigation in which the Company was a party. In addition, the Company had no material ongoing regulatory or other proceedings and no knowledge of any investigations by government or regulatory authorities in which the Company is a target, in either case that the Company believes could have a material and adverse effect on its current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Plan</w:t>
      </w:r>
    </w:p>
    <w:p>
      <w:pPr>
        <w:spacing w:after="0" w:line="229"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8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Expense recognized by the Company for matching contributions made to the 401(k) Plan was $1.8 million, $1.8 million and $1.6 million for the years ended December 31, 2018, 2017 and 2016, respectively.</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175"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information regarding the Company’s segments are provided as follows: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 from external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288,580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290,002</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257,420</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41,376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44,433</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Total revenues from external customers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343,374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331,378</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301,853</w:t>
            </w:r>
          </w:p>
        </w:tc>
        <w:tc>
          <w:tcPr>
            <w:tcW w:w="40" w:type="dxa"/>
            <w:vAlign w:val="bottom"/>
            <w:tcBorders>
              <w:top w:val="single" w:sz="8" w:color="auto"/>
            </w:tcBorders>
          </w:tcPr>
          <w:p>
            <w:pPr>
              <w:spacing w:after="0"/>
              <w:rPr>
                <w:sz w:val="20"/>
                <w:szCs w:val="20"/>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264"/>
        </w:trPr>
        <w:tc>
          <w:tcPr>
            <w:tcW w:w="20" w:type="dxa"/>
            <w:vAlign w:val="bottom"/>
            <w:shd w:val="clear" w:color="auto" w:fill="CCEEFF"/>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Revenues by product</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TechneLite</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98,858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104,644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99,217</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69,466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343,374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331,378</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301,853</w:t>
            </w:r>
          </w:p>
        </w:tc>
        <w:tc>
          <w:tcPr>
            <w:tcW w:w="40" w:type="dxa"/>
            <w:vAlign w:val="bottom"/>
            <w:tcBorders>
              <w:top w:val="single" w:sz="8" w:color="auto"/>
            </w:tcBorders>
          </w:tcPr>
          <w:p>
            <w:pPr>
              <w:spacing w:after="0"/>
              <w:rPr>
                <w:sz w:val="20"/>
                <w:szCs w:val="20"/>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264"/>
        </w:trPr>
        <w:tc>
          <w:tcPr>
            <w:tcW w:w="20" w:type="dxa"/>
            <w:vAlign w:val="bottom"/>
            <w:shd w:val="clear" w:color="auto" w:fill="CCEEFF"/>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Geographical revenues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257,420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54,794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41,376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44,433</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343,374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301,853</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56,327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49,239</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46,909</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64,488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51,853</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56,588</w:t>
            </w:r>
          </w:p>
        </w:tc>
        <w:tc>
          <w:tcPr>
            <w:tcW w:w="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Debt retirement costs</w:t>
            </w: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1,896</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28,294</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15,995</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Total depreciation and amortization</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18,189</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17,330</w:t>
            </w:r>
          </w:p>
        </w:tc>
        <w:tc>
          <w:tcPr>
            <w:tcW w:w="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7"/>
          </w:tcPr>
          <w:p>
            <w:pPr>
              <w:ind w:left="74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106,755</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91,537</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4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380"/>
              <w:spacing w:after="0"/>
              <w:rPr>
                <w:sz w:val="20"/>
                <w:szCs w:val="20"/>
                <w:color w:val="auto"/>
              </w:rPr>
            </w:pPr>
            <w:r>
              <w:rPr>
                <w:rFonts w:ascii="Arial" w:cs="Arial" w:eastAsia="Arial" w:hAnsi="Arial"/>
                <w:sz w:val="18"/>
                <w:szCs w:val="18"/>
                <w:color w:val="auto"/>
              </w:rPr>
              <w:t>Total long-lived assets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107,888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92,999</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75" w:right="399" w:bottom="1440" w:gutter="0" w:footer="0" w:header="0"/>
        </w:sectPr>
      </w:pP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0"/>
          </w:cols>
          <w:pgMar w:left="240" w:top="175" w:right="39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6"/>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18. Valuation and Qualifying Accounts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0"/>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Beginning of</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 to</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Balance at</w:t>
            </w:r>
          </w:p>
        </w:tc>
      </w:tr>
      <w:tr>
        <w:trPr>
          <w:trHeight w:val="261"/>
        </w:trPr>
        <w:tc>
          <w:tcPr>
            <w:tcW w:w="540" w:type="dxa"/>
            <w:vAlign w:val="bottom"/>
          </w:tcPr>
          <w:p>
            <w:pPr>
              <w:spacing w:after="0"/>
              <w:rPr>
                <w:sz w:val="22"/>
                <w:szCs w:val="22"/>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22"/>
                <w:szCs w:val="22"/>
                <w:color w:val="auto"/>
              </w:rPr>
            </w:pPr>
          </w:p>
        </w:tc>
        <w:tc>
          <w:tcPr>
            <w:tcW w:w="12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1"/>
              </w:rPr>
              <w:t>Reserves</w:t>
            </w:r>
            <w:r>
              <w:rPr>
                <w:rFonts w:ascii="Arial" w:cs="Arial" w:eastAsia="Arial" w:hAnsi="Arial"/>
                <w:sz w:val="25"/>
                <w:szCs w:val="25"/>
                <w:b w:val="1"/>
                <w:bCs w:val="1"/>
                <w:color w:val="auto"/>
                <w:w w:val="81"/>
                <w:vertAlign w:val="superscript"/>
              </w:rPr>
              <w:t>(1)</w:t>
            </w:r>
          </w:p>
        </w:tc>
        <w:tc>
          <w:tcPr>
            <w:tcW w:w="10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End of Year</w:t>
            </w:r>
          </w:p>
        </w:tc>
      </w:tr>
      <w:tr>
        <w:trPr>
          <w:trHeight w:val="230"/>
        </w:trPr>
        <w:tc>
          <w:tcPr>
            <w:tcW w:w="540" w:type="dxa"/>
            <w:vAlign w:val="bottom"/>
          </w:tcPr>
          <w:p>
            <w:pPr>
              <w:spacing w:after="0"/>
              <w:rPr>
                <w:sz w:val="20"/>
                <w:szCs w:val="20"/>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4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43"/>
        </w:trPr>
        <w:tc>
          <w:tcPr>
            <w:tcW w:w="54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40" w:type="dxa"/>
            <w:vAlign w:val="bottom"/>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4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Rebates and allowances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r>
      <w:tr>
        <w:trPr>
          <w:trHeight w:val="243"/>
        </w:trPr>
        <w:tc>
          <w:tcPr>
            <w:tcW w:w="54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2,860</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r>
      <w:tr>
        <w:trPr>
          <w:trHeight w:val="209"/>
        </w:trPr>
        <w:tc>
          <w:tcPr>
            <w:tcW w:w="5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1380" w:hanging="319"/>
        <w:spacing w:after="0"/>
        <w:tabs>
          <w:tab w:leader="none" w:pos="13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Amounts charged to deductions from allowance for doubtful accounts represent the write-off of uncollectible balances and represent payments for rebates and allowances.</w:t>
      </w:r>
    </w:p>
    <w:p>
      <w:pPr>
        <w:spacing w:after="0" w:line="379" w:lineRule="exact"/>
        <w:rPr>
          <w:rFonts w:ascii="Arial" w:cs="Arial" w:eastAsia="Arial" w:hAnsi="Arial"/>
          <w:sz w:val="13"/>
          <w:szCs w:val="13"/>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quarterly consolidated financial data is presented below:</w:t>
      </w:r>
    </w:p>
    <w:p>
      <w:pPr>
        <w:spacing w:after="0" w:line="167"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Quarterly Periods During the Year Ended</w:t>
      </w:r>
    </w:p>
    <w:p>
      <w:pPr>
        <w:spacing w:after="0" w:line="27" w:lineRule="exact"/>
        <w:rPr>
          <w:sz w:val="20"/>
          <w:szCs w:val="20"/>
          <w:color w:val="auto"/>
        </w:rPr>
      </w:pPr>
    </w:p>
    <w:p>
      <w:pPr>
        <w:jc w:val="center"/>
        <w:ind w:left="410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22860</wp:posOffset>
            </wp:positionV>
            <wp:extent cx="3773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Q1</w:t>
            </w:r>
          </w:p>
        </w:tc>
        <w:tc>
          <w:tcPr>
            <w:tcW w:w="5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Q2</w:t>
            </w:r>
          </w:p>
        </w:tc>
        <w:tc>
          <w:tcPr>
            <w:tcW w:w="4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Q3</w:t>
            </w:r>
          </w:p>
        </w:tc>
        <w:tc>
          <w:tcPr>
            <w:tcW w:w="40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Q4</w:t>
            </w: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6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88,900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86,271</w:t>
            </w:r>
          </w:p>
        </w:tc>
      </w:tr>
      <w:tr>
        <w:trPr>
          <w:trHeight w:val="243"/>
        </w:trPr>
        <w:tc>
          <w:tcPr>
            <w:tcW w:w="6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42,309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43,846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44,885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43,845</w:t>
            </w: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9,269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13,293</w:t>
            </w:r>
          </w:p>
        </w:tc>
      </w:tr>
      <w:tr>
        <w:trPr>
          <w:trHeight w:val="270"/>
        </w:trPr>
        <w:tc>
          <w:tcPr>
            <w:tcW w:w="60" w:type="dxa"/>
            <w:vAlign w:val="bottom"/>
          </w:tcPr>
          <w:p>
            <w:pPr>
              <w:spacing w:after="0"/>
              <w:rPr>
                <w:sz w:val="23"/>
                <w:szCs w:val="23"/>
                <w:color w:val="auto"/>
              </w:rPr>
            </w:pPr>
          </w:p>
        </w:tc>
        <w:tc>
          <w:tcPr>
            <w:tcW w:w="4060" w:type="dxa"/>
            <w:vAlign w:val="bottom"/>
          </w:tcPr>
          <w:p>
            <w:pPr>
              <w:ind w:left="20"/>
              <w:spacing w:after="0" w:line="270" w:lineRule="exact"/>
              <w:rPr>
                <w:sz w:val="20"/>
                <w:szCs w:val="20"/>
                <w:color w:val="auto"/>
              </w:rPr>
            </w:pPr>
            <w:r>
              <w:rPr>
                <w:rFonts w:ascii="Arial" w:cs="Arial" w:eastAsia="Arial" w:hAnsi="Arial"/>
                <w:sz w:val="18"/>
                <w:szCs w:val="18"/>
                <w:color w:val="auto"/>
              </w:rPr>
              <w:t>Basic income per weighted-average share</w:t>
            </w:r>
            <w:r>
              <w:rPr>
                <w:rFonts w:ascii="Arial" w:cs="Arial" w:eastAsia="Arial" w:hAnsi="Arial"/>
                <w:sz w:val="25"/>
                <w:szCs w:val="25"/>
                <w:color w:val="auto"/>
                <w:vertAlign w:val="superscript"/>
              </w:rPr>
              <w:t>(b)</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0"/>
        </w:trPr>
        <w:tc>
          <w:tcPr>
            <w:tcW w:w="60" w:type="dxa"/>
            <w:vAlign w:val="bottom"/>
          </w:tcPr>
          <w:p>
            <w:pPr>
              <w:spacing w:after="0"/>
              <w:rPr>
                <w:sz w:val="23"/>
                <w:szCs w:val="23"/>
                <w:color w:val="auto"/>
              </w:rPr>
            </w:pPr>
          </w:p>
        </w:tc>
        <w:tc>
          <w:tcPr>
            <w:tcW w:w="4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per weighted-average share</w:t>
            </w:r>
            <w:r>
              <w:rPr>
                <w:rFonts w:ascii="Arial" w:cs="Arial" w:eastAsia="Arial" w:hAnsi="Arial"/>
                <w:sz w:val="25"/>
                <w:szCs w:val="25"/>
                <w:color w:val="auto"/>
                <w:vertAlign w:val="superscript"/>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346"/>
        </w:trPr>
        <w:tc>
          <w:tcPr>
            <w:tcW w:w="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1"/>
              </w:rPr>
              <w:t>Quarterly Periods During the Year Ended</w:t>
            </w:r>
          </w:p>
        </w:tc>
        <w:tc>
          <w:tcPr>
            <w:tcW w:w="10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2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0"/>
              </w:rPr>
              <w:t>December 31, 2017</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Q1</w:t>
            </w:r>
          </w:p>
        </w:tc>
        <w:tc>
          <w:tcPr>
            <w:tcW w:w="5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Q2</w:t>
            </w:r>
          </w:p>
        </w:tc>
        <w:tc>
          <w:tcPr>
            <w:tcW w:w="4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Q3</w:t>
            </w:r>
          </w:p>
        </w:tc>
        <w:tc>
          <w:tcPr>
            <w:tcW w:w="40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Q4</w:t>
            </w: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6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81,359</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79,941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81,241</w:t>
            </w:r>
          </w:p>
        </w:tc>
      </w:tr>
      <w:tr>
        <w:trPr>
          <w:trHeight w:val="243"/>
        </w:trPr>
        <w:tc>
          <w:tcPr>
            <w:tcW w:w="6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39,762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45,947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38,527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37,899</w:t>
            </w:r>
          </w:p>
        </w:tc>
      </w:tr>
      <w:tr>
        <w:trPr>
          <w:trHeight w:val="27"/>
        </w:trPr>
        <w:tc>
          <w:tcPr>
            <w:tcW w:w="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8,526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97,126</w:t>
            </w:r>
          </w:p>
        </w:tc>
      </w:tr>
      <w:tr>
        <w:trPr>
          <w:trHeight w:val="270"/>
        </w:trPr>
        <w:tc>
          <w:tcPr>
            <w:tcW w:w="60" w:type="dxa"/>
            <w:vAlign w:val="bottom"/>
          </w:tcPr>
          <w:p>
            <w:pPr>
              <w:spacing w:after="0"/>
              <w:rPr>
                <w:sz w:val="23"/>
                <w:szCs w:val="23"/>
                <w:color w:val="auto"/>
              </w:rPr>
            </w:pPr>
          </w:p>
        </w:tc>
        <w:tc>
          <w:tcPr>
            <w:tcW w:w="4060" w:type="dxa"/>
            <w:vAlign w:val="bottom"/>
          </w:tcPr>
          <w:p>
            <w:pPr>
              <w:ind w:left="20"/>
              <w:spacing w:after="0" w:line="270" w:lineRule="exact"/>
              <w:rPr>
                <w:sz w:val="20"/>
                <w:szCs w:val="20"/>
                <w:color w:val="auto"/>
              </w:rPr>
            </w:pPr>
            <w:r>
              <w:rPr>
                <w:rFonts w:ascii="Arial" w:cs="Arial" w:eastAsia="Arial" w:hAnsi="Arial"/>
                <w:sz w:val="18"/>
                <w:szCs w:val="18"/>
                <w:color w:val="auto"/>
              </w:rPr>
              <w:t>Basic income per weighted-average share</w:t>
            </w:r>
            <w:r>
              <w:rPr>
                <w:rFonts w:ascii="Arial" w:cs="Arial" w:eastAsia="Arial" w:hAnsi="Arial"/>
                <w:sz w:val="25"/>
                <w:szCs w:val="25"/>
                <w:color w:val="auto"/>
                <w:vertAlign w:val="superscript"/>
              </w:rPr>
              <w:t>(b)</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0.23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0"/>
        </w:trPr>
        <w:tc>
          <w:tcPr>
            <w:tcW w:w="60" w:type="dxa"/>
            <w:vAlign w:val="bottom"/>
          </w:tcPr>
          <w:p>
            <w:pPr>
              <w:spacing w:after="0"/>
              <w:rPr>
                <w:sz w:val="23"/>
                <w:szCs w:val="23"/>
                <w:color w:val="auto"/>
              </w:rPr>
            </w:pPr>
          </w:p>
        </w:tc>
        <w:tc>
          <w:tcPr>
            <w:tcW w:w="4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per weighted-average share</w:t>
            </w:r>
            <w:r>
              <w:rPr>
                <w:rFonts w:ascii="Arial" w:cs="Arial" w:eastAsia="Arial" w:hAnsi="Arial"/>
                <w:sz w:val="25"/>
                <w:szCs w:val="25"/>
                <w:color w:val="auto"/>
                <w:vertAlign w:val="superscript"/>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18"/>
        </w:trPr>
        <w:tc>
          <w:tcPr>
            <w:tcW w:w="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1300" w:hanging="644"/>
        <w:spacing w:after="0" w:line="249"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income for the fourth quarter of 2017 reflects the income tax benefit due to the release of the Company’s valuation allowance of $141.1 million against its deferred tax assets offset by a provision of $45.1 million for remeasuring the Company’s deferred tax assets for the change in tax rates enacted under the Tax Cuts and Jobs Act of 2017.</w:t>
      </w:r>
    </w:p>
    <w:p>
      <w:pPr>
        <w:spacing w:after="0" w:line="2" w:lineRule="exact"/>
        <w:rPr>
          <w:rFonts w:ascii="Arial" w:cs="Arial" w:eastAsia="Arial" w:hAnsi="Arial"/>
          <w:sz w:val="18"/>
          <w:szCs w:val="18"/>
          <w:color w:val="auto"/>
        </w:rPr>
      </w:pPr>
    </w:p>
    <w:p>
      <w:pPr>
        <w:ind w:left="1300" w:right="26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Quarterly and annual computations are prepared independently. Accordingly, the sum of each quarter may not necessarily total the fiscal year period amounts noted elsewhere within this Annual Report on Form 10-K.</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62"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management, with the participation of our CEO and CFO,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166" w:lineRule="exact"/>
        <w:rPr>
          <w:sz w:val="20"/>
          <w:szCs w:val="20"/>
          <w:color w:val="auto"/>
        </w:rPr>
      </w:pPr>
    </w:p>
    <w:p>
      <w:pPr>
        <w:ind w:right="540" w:firstLine="405"/>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2018. In making its assessment of internal control over financial reporting, our management used the criteria set forth by the Committee of Sponsoring Organizations of the Treadway Commission in Internal Control—Integrated Framework (2013). Based on this assessment, management concluded that, as of December 31, 2018, our internal control over financial reporting was effective.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do not include an attestation report of our independent registered public accounting firm regarding internal control over financial reporting in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pursuant to the Jumpstart Our Business Startups Act of 2012, as amended (the “JOBS Act”). As a company with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revenue during our last fiscal year, we qualify as an “emerging growth company,” as defined in the JOBS Act. An emerging growth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take advantage of specified reduced reporting and other regulatory requirements or up to five years that are otherwise applicable generally to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These provisions include, among other matters:</w:t>
      </w:r>
    </w:p>
    <w:p>
      <w:pPr>
        <w:spacing w:after="0" w:line="10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w:t>
      </w:r>
    </w:p>
    <w:p>
      <w:pPr>
        <w:spacing w:after="0" w:line="11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Exemption from the requirement to seek non-binding advisory votes on executive compensation and golden parachute arrangements;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will remain an emerging growth company until December 31, 2020 unless, prior to that time, we have (i) more than $1.07 billion in annual revenue,</w:t>
      </w:r>
    </w:p>
    <w:p>
      <w:pPr>
        <w:spacing w:after="0" w:line="46" w:lineRule="exact"/>
        <w:rPr>
          <w:sz w:val="20"/>
          <w:szCs w:val="20"/>
          <w:color w:val="auto"/>
        </w:rPr>
      </w:pPr>
    </w:p>
    <w:p>
      <w:pPr>
        <w:ind w:firstLine="8"/>
        <w:spacing w:after="0" w:line="281"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Exchange Act, or</w:t>
      </w:r>
    </w:p>
    <w:p>
      <w:pPr>
        <w:spacing w:after="0" w:line="1" w:lineRule="exact"/>
        <w:rPr>
          <w:rFonts w:ascii="Arial" w:cs="Arial" w:eastAsia="Arial" w:hAnsi="Arial"/>
          <w:sz w:val="16"/>
          <w:szCs w:val="16"/>
          <w:color w:val="auto"/>
        </w:rPr>
      </w:pPr>
    </w:p>
    <w:p>
      <w:pPr>
        <w:ind w:right="200" w:firstLine="8"/>
        <w:spacing w:after="0" w:line="261"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more than $1 billion of non-convertible debt over a three-year period. As a result, we were not required to have our independent registered public accounting firm attest to, and report on,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2018 that have materially affected, or are reasonably likely to materially affect, our internal control over financial reporting. There were no significant changes to our internal control over financial reporting due to the adoption of ASC 606.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75"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Pursuant to Section 406 of the Sarbanes-Oxley Act of 2002, we have adopted a code of conduct and ethics (our “Code of Conduct”) for all of our employees, including our CEO, CFO and other senior financial officers, or persons performing similar functions, and each of the non-employee directors on our Board of Directors. Our Code of Conduct is currently available on our website, www.lantheus.com. The information on our web site is not part of, and is not incorporated into, this Annual Report on Form 10-K. We intend to provide any required disclosure of any amendment to or waiver from such code that applies to our CEO, CFO and other senior financial officers, or persons performing similar functions, in a Current Report on Form 8-K filed with the SEC.</w:t>
      </w:r>
    </w:p>
    <w:p>
      <w:pPr>
        <w:spacing w:after="0" w:line="15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additional information required with respect to this item is incorporated herein by reference to our Definitive Proxy Statement for our 2019 Annual Meeting of Stockholders to be filed with the SEC no later than 120 days after the close of our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with respect to this item is incorporated herein by reference to our Definitive Proxy Statement for our 2019 Annual Meeting of Stockholders to be filed with the SEC no later than 120 days after the close of our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with respect to this item is incorporated herein by reference to our Definitive Proxy Statement for our 2019 Annual Meeting of Stockholders to be filed with the SEC no later than 120 days after the close of our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with respect to this item is incorporated herein by reference to our Definitive Proxy Statement for our 2019 Annual Meeting of Stockholders to be filed with the SEC no later than 120 days after the close of our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with respect to this item is incorporated herein by reference to our Definitive Proxy Statement for our 2019 Annual Meeting of Stockholders to be filed with the SEC no later than 120 days after the close of our year ended December 31, 2018.</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75"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(a)(1)</w:t>
        <w:tab/>
        <w:t>Financial Statements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consolidated financial statements of Lantheus Holdings, Inc. are filed as part of this Annual Report on Form 10-K under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10240" w:type="dxa"/>
            <w:vAlign w:val="bottom"/>
            <w:vMerge w:val="restart"/>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240" w:type="dxa"/>
            <w:vAlign w:val="bottom"/>
            <w:vMerge w:val="continue"/>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66</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as of December 31, 2018 and 2017</w:t>
              </w:r>
            </w:hyperlink>
          </w:p>
        </w:tc>
        <w:tc>
          <w:tcPr>
            <w:tcW w:w="1140" w:type="dxa"/>
            <w:vAlign w:val="bottom"/>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67</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2018, 2017 and 2016</w:t>
              </w:r>
            </w:hyperlink>
          </w:p>
        </w:tc>
        <w:tc>
          <w:tcPr>
            <w:tcW w:w="1140" w:type="dxa"/>
            <w:vAlign w:val="bottom"/>
          </w:tcPr>
          <w:p>
            <w:pPr>
              <w:jc w:val="cente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68</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Comprehensive Income for the Years Ended December 31, 2018, 2017 and 2016</w:t>
              </w:r>
            </w:hyperlink>
          </w:p>
        </w:tc>
        <w:tc>
          <w:tcPr>
            <w:tcW w:w="1140" w:type="dxa"/>
            <w:vAlign w:val="bottom"/>
          </w:tcPr>
          <w:p>
            <w:pPr>
              <w:jc w:val="center"/>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69</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Changes in Stockholders’ Equity (Deficit) for the Years Ended December 31, 2018, 2017 and 2016</w:t>
              </w:r>
            </w:hyperlink>
          </w:p>
        </w:tc>
        <w:tc>
          <w:tcPr>
            <w:tcW w:w="114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70</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December 31, 2018, 2017 and 2016</w:t>
              </w:r>
            </w:hyperlink>
          </w:p>
        </w:tc>
        <w:tc>
          <w:tcPr>
            <w:tcW w:w="1140" w:type="dxa"/>
            <w:vAlign w:val="bottom"/>
          </w:tcPr>
          <w:p>
            <w:pPr>
              <w:jc w:val="center"/>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71</w:t>
              </w:r>
            </w:hyperlink>
          </w:p>
        </w:tc>
        <w:tc>
          <w:tcPr>
            <w:tcW w:w="0" w:type="dxa"/>
            <w:vAlign w:val="bottom"/>
          </w:tcPr>
          <w:p>
            <w:pPr>
              <w:spacing w:after="0"/>
              <w:rPr>
                <w:sz w:val="1"/>
                <w:szCs w:val="1"/>
                <w:color w:val="auto"/>
              </w:rPr>
            </w:pPr>
          </w:p>
        </w:tc>
      </w:tr>
      <w:tr>
        <w:trPr>
          <w:trHeight w:val="270"/>
        </w:trPr>
        <w:tc>
          <w:tcPr>
            <w:tcW w:w="10240" w:type="dxa"/>
            <w:vAlign w:val="bottom"/>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1140" w:type="dxa"/>
            <w:vAlign w:val="bottom"/>
          </w:tcPr>
          <w:p>
            <w:pPr>
              <w:jc w:val="center"/>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73</w:t>
              </w:r>
            </w:hyperlink>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Schedules</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because the required information is included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12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6"/>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0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2.1†</w:t>
            </w:r>
          </w:p>
        </w:tc>
        <w:tc>
          <w:tcPr>
            <w:tcW w:w="5200" w:type="dxa"/>
            <w:vAlign w:val="bottom"/>
            <w:gridSpan w:val="20"/>
            <w:shd w:val="clear" w:color="auto" w:fill="CCEEFF"/>
          </w:tcPr>
          <w:p>
            <w:pPr>
              <w:spacing w:after="0"/>
              <w:rPr>
                <w:rFonts w:ascii="Arial" w:cs="Arial" w:eastAsia="Arial" w:hAnsi="Arial"/>
                <w:sz w:val="14"/>
                <w:szCs w:val="14"/>
                <w:color w:val="0000FF"/>
                <w:w w:val="96"/>
              </w:rPr>
            </w:pPr>
            <w:hyperlink r:id="rId26">
              <w:r>
                <w:rPr>
                  <w:rFonts w:ascii="Arial" w:cs="Arial" w:eastAsia="Arial" w:hAnsi="Arial"/>
                  <w:sz w:val="14"/>
                  <w:szCs w:val="14"/>
                  <w:color w:val="0000FF"/>
                  <w:w w:val="96"/>
                </w:rPr>
                <w:t>Amended and Restated Asset Purchase Agreement, effective January 7, 2016, by and</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10-Q/A</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25, 2016</w:t>
            </w: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CCEEFF"/>
            </w:tcBorders>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020" w:type="dxa"/>
            <w:vAlign w:val="bottom"/>
            <w:tcBorders>
              <w:bottom w:val="single" w:sz="8" w:color="0000FF"/>
              <w:right w:val="single" w:sz="8" w:color="CCEEFF"/>
            </w:tcBorders>
            <w:gridSpan w:val="18"/>
            <w:shd w:val="clear" w:color="auto" w:fill="CCEEFF"/>
          </w:tcPr>
          <w:p>
            <w:pPr>
              <w:spacing w:after="0" w:line="129" w:lineRule="exact"/>
              <w:rPr>
                <w:rFonts w:ascii="Arial" w:cs="Arial" w:eastAsia="Arial" w:hAnsi="Arial"/>
                <w:sz w:val="14"/>
                <w:szCs w:val="14"/>
                <w:color w:val="0000FF"/>
                <w:w w:val="93"/>
              </w:rPr>
            </w:pPr>
            <w:hyperlink r:id="rId26">
              <w:r>
                <w:rPr>
                  <w:rFonts w:ascii="Arial" w:cs="Arial" w:eastAsia="Arial" w:hAnsi="Arial"/>
                  <w:sz w:val="14"/>
                  <w:szCs w:val="14"/>
                  <w:color w:val="0000FF"/>
                  <w:w w:val="93"/>
                </w:rPr>
                <w:t>between Lantheus MI Canada, Inc. and Isologic Innovative Radiopharmaceuticals Ltd.</w:t>
              </w:r>
            </w:hyperlink>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2.2†</w:t>
            </w:r>
          </w:p>
        </w:tc>
        <w:tc>
          <w:tcPr>
            <w:tcW w:w="5200" w:type="dxa"/>
            <w:vAlign w:val="bottom"/>
            <w:gridSpan w:val="20"/>
          </w:tcPr>
          <w:p>
            <w:pPr>
              <w:spacing w:after="0"/>
              <w:rPr>
                <w:rFonts w:ascii="Arial" w:cs="Arial" w:eastAsia="Arial" w:hAnsi="Arial"/>
                <w:sz w:val="14"/>
                <w:szCs w:val="14"/>
                <w:color w:val="0000FF"/>
              </w:rPr>
            </w:pPr>
            <w:hyperlink r:id="rId27">
              <w:r>
                <w:rPr>
                  <w:rFonts w:ascii="Arial" w:cs="Arial" w:eastAsia="Arial" w:hAnsi="Arial"/>
                  <w:sz w:val="14"/>
                  <w:szCs w:val="14"/>
                  <w:color w:val="0000FF"/>
                </w:rPr>
                <w:t>Share Purchase Agreement, effective August 11, 2016, by and between Lantheus</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November 1, 2016</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6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27">
              <w:r>
                <w:rPr>
                  <w:rFonts w:ascii="Arial" w:cs="Arial" w:eastAsia="Arial" w:hAnsi="Arial"/>
                  <w:sz w:val="14"/>
                  <w:szCs w:val="14"/>
                  <w:color w:val="0000FF"/>
                </w:rPr>
                <w:t>Medical Imaging, Inc. and Global Medical Solutions, Ltd.</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20"/>
            <w:shd w:val="clear" w:color="auto" w:fill="CCEEFF"/>
          </w:tcPr>
          <w:p>
            <w:pPr>
              <w:spacing w:after="0"/>
              <w:rPr>
                <w:rFonts w:ascii="Arial" w:cs="Arial" w:eastAsia="Arial" w:hAnsi="Arial"/>
                <w:sz w:val="14"/>
                <w:szCs w:val="14"/>
                <w:color w:val="0000FF"/>
              </w:rPr>
            </w:pPr>
            <w:hyperlink r:id="rId28">
              <w:r>
                <w:rPr>
                  <w:rFonts w:ascii="Arial" w:cs="Arial" w:eastAsia="Arial" w:hAnsi="Arial"/>
                  <w:sz w:val="14"/>
                  <w:szCs w:val="14"/>
                  <w:color w:val="0000FF"/>
                </w:rPr>
                <w:t>Amended and Restated Certificate of Incorporation of Lantheus Holdings, Inc.</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April 27, 2018</w:t>
            </w: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98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9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90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40" w:type="dxa"/>
            <w:vAlign w:val="bottom"/>
          </w:tcPr>
          <w:p>
            <w:pPr>
              <w:spacing w:after="0"/>
              <w:rPr>
                <w:sz w:val="14"/>
                <w:szCs w:val="14"/>
                <w:color w:val="auto"/>
              </w:rPr>
            </w:pPr>
          </w:p>
        </w:tc>
        <w:tc>
          <w:tcPr>
            <w:tcW w:w="5200" w:type="dxa"/>
            <w:vAlign w:val="bottom"/>
            <w:gridSpan w:val="20"/>
          </w:tcPr>
          <w:p>
            <w:pPr>
              <w:spacing w:after="0"/>
              <w:rPr>
                <w:rFonts w:ascii="Arial" w:cs="Arial" w:eastAsia="Arial" w:hAnsi="Arial"/>
                <w:sz w:val="14"/>
                <w:szCs w:val="14"/>
                <w:color w:val="0000FF"/>
              </w:rPr>
            </w:pPr>
            <w:hyperlink r:id="rId29">
              <w:r>
                <w:rPr>
                  <w:rFonts w:ascii="Arial" w:cs="Arial" w:eastAsia="Arial" w:hAnsi="Arial"/>
                  <w:sz w:val="14"/>
                  <w:szCs w:val="14"/>
                  <w:color w:val="0000FF"/>
                </w:rPr>
                <w:t>Amended and Restated Bylaws of Lantheus Holdings, Inc.</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April 27, 2018</w:t>
            </w: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98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9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20"/>
            <w:shd w:val="clear" w:color="auto" w:fill="CCEEFF"/>
          </w:tcPr>
          <w:p>
            <w:pPr>
              <w:spacing w:after="0"/>
              <w:rPr>
                <w:rFonts w:ascii="Arial" w:cs="Arial" w:eastAsia="Arial" w:hAnsi="Arial"/>
                <w:sz w:val="14"/>
                <w:szCs w:val="14"/>
                <w:color w:val="0000FF"/>
              </w:rPr>
            </w:pPr>
            <w:hyperlink r:id="rId30">
              <w:r>
                <w:rPr>
                  <w:rFonts w:ascii="Arial" w:cs="Arial" w:eastAsia="Arial" w:hAnsi="Arial"/>
                  <w:sz w:val="14"/>
                  <w:szCs w:val="14"/>
                  <w:color w:val="0000FF"/>
                </w:rPr>
                <w:t>Common Stock Certificate.</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98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10.4†</w:t>
            </w:r>
          </w:p>
        </w:tc>
        <w:tc>
          <w:tcPr>
            <w:tcW w:w="5200" w:type="dxa"/>
            <w:vAlign w:val="bottom"/>
            <w:gridSpan w:val="20"/>
          </w:tcPr>
          <w:p>
            <w:pPr>
              <w:spacing w:after="0"/>
              <w:rPr>
                <w:rFonts w:ascii="Arial" w:cs="Arial" w:eastAsia="Arial" w:hAnsi="Arial"/>
                <w:sz w:val="14"/>
                <w:szCs w:val="14"/>
                <w:color w:val="0000FF"/>
                <w:w w:val="98"/>
              </w:rPr>
            </w:pPr>
            <w:hyperlink r:id="rId31">
              <w:r>
                <w:rPr>
                  <w:rFonts w:ascii="Arial" w:cs="Arial" w:eastAsia="Arial" w:hAnsi="Arial"/>
                  <w:sz w:val="14"/>
                  <w:szCs w:val="14"/>
                  <w:color w:val="0000FF"/>
                  <w:w w:val="98"/>
                </w:rPr>
                <w:t>Sales Agreement, dated as of April 1, 2009, between Lantheus Medical Imaging, Inc.</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December 23, 2010</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1">
              <w:r>
                <w:rPr>
                  <w:rFonts w:ascii="Arial" w:cs="Arial" w:eastAsia="Arial" w:hAnsi="Arial"/>
                  <w:sz w:val="14"/>
                  <w:szCs w:val="14"/>
                  <w:color w:val="0000FF"/>
                </w:rPr>
                <w:t>and NTP Radioisotopes (Pty) Ltd.</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10.5†</w:t>
            </w:r>
          </w:p>
        </w:tc>
        <w:tc>
          <w:tcPr>
            <w:tcW w:w="5200" w:type="dxa"/>
            <w:vAlign w:val="bottom"/>
            <w:gridSpan w:val="20"/>
            <w:shd w:val="clear" w:color="auto" w:fill="CCEEFF"/>
          </w:tcPr>
          <w:p>
            <w:pPr>
              <w:spacing w:after="0"/>
              <w:rPr>
                <w:rFonts w:ascii="Arial" w:cs="Arial" w:eastAsia="Arial" w:hAnsi="Arial"/>
                <w:sz w:val="14"/>
                <w:szCs w:val="14"/>
                <w:color w:val="0000FF"/>
                <w:w w:val="95"/>
              </w:rPr>
            </w:pPr>
            <w:hyperlink r:id="rId32">
              <w:r>
                <w:rPr>
                  <w:rFonts w:ascii="Arial" w:cs="Arial" w:eastAsia="Arial" w:hAnsi="Arial"/>
                  <w:sz w:val="14"/>
                  <w:szCs w:val="14"/>
                  <w:color w:val="0000FF"/>
                  <w:w w:val="95"/>
                </w:rPr>
                <w:t>Amendment No. 1 to Sales Agreement, dated as of January 1, 2010, between Lantheus</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December 1, 2010</w:t>
            </w: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280" w:type="dxa"/>
            <w:vAlign w:val="bottom"/>
            <w:tcBorders>
              <w:top w:val="single" w:sz="8" w:color="0000FF"/>
              <w:bottom w:val="single" w:sz="8" w:color="0000FF"/>
            </w:tcBorders>
            <w:gridSpan w:val="7"/>
            <w:shd w:val="clear" w:color="auto" w:fill="CCEEFF"/>
          </w:tcPr>
          <w:p>
            <w:pPr>
              <w:spacing w:after="0" w:line="129" w:lineRule="exact"/>
              <w:rPr>
                <w:rFonts w:ascii="Arial" w:cs="Arial" w:eastAsia="Arial" w:hAnsi="Arial"/>
                <w:sz w:val="14"/>
                <w:szCs w:val="14"/>
                <w:color w:val="0000FF"/>
                <w:w w:val="94"/>
              </w:rPr>
            </w:pPr>
            <w:hyperlink r:id="rId32">
              <w:r>
                <w:rPr>
                  <w:rFonts w:ascii="Arial" w:cs="Arial" w:eastAsia="Arial" w:hAnsi="Arial"/>
                  <w:sz w:val="14"/>
                  <w:szCs w:val="14"/>
                  <w:color w:val="0000FF"/>
                  <w:w w:val="94"/>
                </w:rPr>
                <w:t>Medical Imaging, Inc. and NTP Radioisotopes (Pty) Ltd.</w:t>
              </w:r>
            </w:hyperlink>
          </w:p>
        </w:tc>
        <w:tc>
          <w:tcPr>
            <w:tcW w:w="1740" w:type="dxa"/>
            <w:vAlign w:val="bottom"/>
            <w:tcBorders>
              <w:top w:val="single" w:sz="8" w:color="0000FF"/>
              <w:bottom w:val="single" w:sz="8" w:color="CCEEFF"/>
              <w:right w:val="single" w:sz="8" w:color="CCEEFF"/>
            </w:tcBorders>
            <w:gridSpan w:val="11"/>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10.6†</w:t>
            </w:r>
          </w:p>
        </w:tc>
        <w:tc>
          <w:tcPr>
            <w:tcW w:w="5200" w:type="dxa"/>
            <w:vAlign w:val="bottom"/>
            <w:gridSpan w:val="20"/>
          </w:tcPr>
          <w:p>
            <w:pPr>
              <w:spacing w:after="0"/>
              <w:rPr>
                <w:rFonts w:ascii="Arial" w:cs="Arial" w:eastAsia="Arial" w:hAnsi="Arial"/>
                <w:sz w:val="14"/>
                <w:szCs w:val="14"/>
                <w:color w:val="0000FF"/>
                <w:w w:val="95"/>
              </w:rPr>
            </w:pPr>
            <w:hyperlink r:id="rId33">
              <w:r>
                <w:rPr>
                  <w:rFonts w:ascii="Arial" w:cs="Arial" w:eastAsia="Arial" w:hAnsi="Arial"/>
                  <w:sz w:val="14"/>
                  <w:szCs w:val="14"/>
                  <w:color w:val="0000FF"/>
                  <w:w w:val="95"/>
                </w:rPr>
                <w:t>Amendment No. 2 to Sales Agreement, dated as of January 1, 2010, between Lantheus</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May 13, 2011</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3">
              <w:r>
                <w:rPr>
                  <w:rFonts w:ascii="Arial" w:cs="Arial" w:eastAsia="Arial" w:hAnsi="Arial"/>
                  <w:sz w:val="14"/>
                  <w:szCs w:val="14"/>
                  <w:color w:val="0000FF"/>
                </w:rPr>
                <w:t>Medical Imaging, Inc. and NTP Radioisotopes (Pty) Ltd.</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bottom w:val="single" w:sz="8" w:color="CCEEFF"/>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10.9†</w:t>
            </w:r>
          </w:p>
        </w:tc>
        <w:tc>
          <w:tcPr>
            <w:tcW w:w="4780" w:type="dxa"/>
            <w:vAlign w:val="bottom"/>
            <w:tcBorders>
              <w:bottom w:val="single" w:sz="8" w:color="0000FF"/>
            </w:tcBorders>
            <w:gridSpan w:val="17"/>
            <w:shd w:val="clear" w:color="auto" w:fill="CCEEFF"/>
          </w:tcPr>
          <w:p>
            <w:pPr>
              <w:spacing w:after="0"/>
              <w:rPr>
                <w:rFonts w:ascii="Arial" w:cs="Arial" w:eastAsia="Arial" w:hAnsi="Arial"/>
                <w:sz w:val="14"/>
                <w:szCs w:val="14"/>
                <w:color w:val="0000FF"/>
                <w:w w:val="93"/>
              </w:rPr>
            </w:pPr>
            <w:hyperlink r:id="rId34">
              <w:r>
                <w:rPr>
                  <w:rFonts w:ascii="Arial" w:cs="Arial" w:eastAsia="Arial" w:hAnsi="Arial"/>
                  <w:sz w:val="14"/>
                  <w:szCs w:val="14"/>
                  <w:color w:val="0000FF"/>
                  <w:w w:val="93"/>
                </w:rPr>
                <w:t>Amendment No. 1 to the Amended and Restated Supply Agreement (Thallium and</w:t>
              </w:r>
            </w:hyperlink>
          </w:p>
        </w:tc>
        <w:tc>
          <w:tcPr>
            <w:tcW w:w="420" w:type="dxa"/>
            <w:vAlign w:val="bottom"/>
            <w:tcBorders>
              <w:bottom w:val="single" w:sz="8" w:color="CCEEFF"/>
            </w:tcBorders>
            <w:gridSpan w:val="3"/>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10.26</w:t>
            </w: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December 1, 2010</w:t>
            </w:r>
          </w:p>
        </w:tc>
        <w:tc>
          <w:tcPr>
            <w:tcW w:w="0" w:type="dxa"/>
            <w:vAlign w:val="bottom"/>
          </w:tcPr>
          <w:p>
            <w:pPr>
              <w:spacing w:after="0"/>
              <w:rPr>
                <w:sz w:val="1"/>
                <w:szCs w:val="1"/>
                <w:color w:val="auto"/>
              </w:rPr>
            </w:pPr>
          </w:p>
        </w:tc>
      </w:tr>
      <w:tr>
        <w:trPr>
          <w:trHeight w:val="129"/>
        </w:trPr>
        <w:tc>
          <w:tcPr>
            <w:tcW w:w="9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0" w:type="dxa"/>
            <w:vAlign w:val="bottom"/>
            <w:gridSpan w:val="20"/>
            <w:shd w:val="clear" w:color="auto" w:fill="CCEEFF"/>
          </w:tcPr>
          <w:p>
            <w:pPr>
              <w:spacing w:after="0" w:line="129" w:lineRule="exact"/>
              <w:rPr>
                <w:rFonts w:ascii="Arial" w:cs="Arial" w:eastAsia="Arial" w:hAnsi="Arial"/>
                <w:sz w:val="14"/>
                <w:szCs w:val="14"/>
                <w:color w:val="0000FF"/>
                <w:w w:val="97"/>
              </w:rPr>
            </w:pPr>
            <w:hyperlink r:id="rId34">
              <w:r>
                <w:rPr>
                  <w:rFonts w:ascii="Arial" w:cs="Arial" w:eastAsia="Arial" w:hAnsi="Arial"/>
                  <w:sz w:val="14"/>
                  <w:szCs w:val="14"/>
                  <w:color w:val="0000FF"/>
                  <w:w w:val="97"/>
                </w:rPr>
                <w:t>Generators), dated as of December 29, 2009 between Lantheus Medical Imaging, Inc.</w:t>
              </w:r>
            </w:hyperlink>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800" w:type="dxa"/>
            <w:vAlign w:val="bottom"/>
            <w:tcBorders>
              <w:top w:val="single" w:sz="8" w:color="0000FF"/>
              <w:bottom w:val="single" w:sz="8" w:color="0000FF"/>
            </w:tcBorders>
            <w:gridSpan w:val="3"/>
            <w:shd w:val="clear" w:color="auto" w:fill="CCEEFF"/>
          </w:tcPr>
          <w:p>
            <w:pPr>
              <w:spacing w:after="0" w:line="129"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and Cardinal Health 414, LLC.</w:t>
              </w:r>
            </w:hyperlink>
          </w:p>
        </w:tc>
        <w:tc>
          <w:tcPr>
            <w:tcW w:w="3220" w:type="dxa"/>
            <w:vAlign w:val="bottom"/>
            <w:tcBorders>
              <w:top w:val="single" w:sz="8" w:color="0000FF"/>
              <w:bottom w:val="single" w:sz="8" w:color="CCEEFF"/>
              <w:right w:val="single" w:sz="8" w:color="CCEEFF"/>
            </w:tcBorders>
            <w:gridSpan w:val="15"/>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10.10†</w:t>
            </w:r>
          </w:p>
        </w:tc>
        <w:tc>
          <w:tcPr>
            <w:tcW w:w="5200" w:type="dxa"/>
            <w:vAlign w:val="bottom"/>
            <w:gridSpan w:val="20"/>
          </w:tcPr>
          <w:p>
            <w:pPr>
              <w:spacing w:after="0"/>
              <w:rPr>
                <w:rFonts w:ascii="Arial" w:cs="Arial" w:eastAsia="Arial" w:hAnsi="Arial"/>
                <w:sz w:val="14"/>
                <w:szCs w:val="14"/>
                <w:color w:val="0000FF"/>
              </w:rPr>
            </w:pPr>
            <w:hyperlink r:id="rId35">
              <w:r>
                <w:rPr>
                  <w:rFonts w:ascii="Arial" w:cs="Arial" w:eastAsia="Arial" w:hAnsi="Arial"/>
                  <w:sz w:val="14"/>
                  <w:szCs w:val="14"/>
                  <w:color w:val="0000FF"/>
                </w:rPr>
                <w:t>Amended and Restated Supply Agreement (Thallium and Generators), dated</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December 23, 2010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gridSpan w:val="20"/>
          </w:tcPr>
          <w:p>
            <w:pPr>
              <w:spacing w:after="0" w:line="129" w:lineRule="exact"/>
              <w:rPr>
                <w:rFonts w:ascii="Arial" w:cs="Arial" w:eastAsia="Arial" w:hAnsi="Arial"/>
                <w:sz w:val="14"/>
                <w:szCs w:val="14"/>
                <w:color w:val="0000FF"/>
                <w:w w:val="97"/>
              </w:rPr>
            </w:pPr>
            <w:hyperlink r:id="rId35">
              <w:r>
                <w:rPr>
                  <w:rFonts w:ascii="Arial" w:cs="Arial" w:eastAsia="Arial" w:hAnsi="Arial"/>
                  <w:sz w:val="14"/>
                  <w:szCs w:val="14"/>
                  <w:color w:val="0000FF"/>
                  <w:w w:val="97"/>
                </w:rPr>
                <w:t>October 1, 2004, by and between Lantheus Medical Imaging, Inc. and Cardinal Health</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5">
              <w:r>
                <w:rPr>
                  <w:rFonts w:ascii="Arial" w:cs="Arial" w:eastAsia="Arial" w:hAnsi="Arial"/>
                  <w:sz w:val="14"/>
                  <w:szCs w:val="14"/>
                  <w:color w:val="0000FF"/>
                </w:rPr>
                <w:t>414, LLC.</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bottom w:val="single" w:sz="8" w:color="CCEEFF"/>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10.11†</w:t>
            </w:r>
          </w:p>
        </w:tc>
        <w:tc>
          <w:tcPr>
            <w:tcW w:w="502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4"/>
                <w:szCs w:val="14"/>
                <w:color w:val="0000FF"/>
                <w:w w:val="95"/>
              </w:rPr>
            </w:pPr>
            <w:hyperlink r:id="rId36">
              <w:r>
                <w:rPr>
                  <w:rFonts w:ascii="Arial" w:cs="Arial" w:eastAsia="Arial" w:hAnsi="Arial"/>
                  <w:sz w:val="14"/>
                  <w:szCs w:val="14"/>
                  <w:color w:val="0000FF"/>
                  <w:w w:val="95"/>
                </w:rPr>
                <w:t>Distribution Agreement, dated as of October 31, 2001, by and between Bristol-Myers</w:t>
              </w:r>
            </w:hyperlink>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10.16</w:t>
            </w: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December 29, 2010</w:t>
            </w:r>
          </w:p>
        </w:tc>
        <w:tc>
          <w:tcPr>
            <w:tcW w:w="0" w:type="dxa"/>
            <w:vAlign w:val="bottom"/>
          </w:tcPr>
          <w:p>
            <w:pPr>
              <w:spacing w:after="0"/>
              <w:rPr>
                <w:sz w:val="1"/>
                <w:szCs w:val="1"/>
                <w:color w:val="auto"/>
              </w:rPr>
            </w:pPr>
          </w:p>
        </w:tc>
      </w:tr>
      <w:tr>
        <w:trPr>
          <w:trHeight w:val="129"/>
        </w:trPr>
        <w:tc>
          <w:tcPr>
            <w:tcW w:w="9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0" w:type="dxa"/>
            <w:vAlign w:val="bottom"/>
            <w:gridSpan w:val="20"/>
            <w:shd w:val="clear" w:color="auto" w:fill="CCEEFF"/>
          </w:tcPr>
          <w:p>
            <w:pPr>
              <w:spacing w:after="0" w:line="129" w:lineRule="exact"/>
              <w:rPr>
                <w:rFonts w:ascii="Arial" w:cs="Arial" w:eastAsia="Arial" w:hAnsi="Arial"/>
                <w:sz w:val="14"/>
                <w:szCs w:val="14"/>
                <w:color w:val="0000FF"/>
                <w:w w:val="98"/>
              </w:rPr>
            </w:pPr>
            <w:hyperlink r:id="rId36">
              <w:r>
                <w:rPr>
                  <w:rFonts w:ascii="Arial" w:cs="Arial" w:eastAsia="Arial" w:hAnsi="Arial"/>
                  <w:sz w:val="14"/>
                  <w:szCs w:val="14"/>
                  <w:color w:val="0000FF"/>
                  <w:w w:val="98"/>
                </w:rPr>
                <w:t>Squibb Pharma Company (now known as Lantheus Medical Imaging, Inc.) and Medi-</w:t>
              </w:r>
            </w:hyperlink>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900" w:type="dxa"/>
            <w:vAlign w:val="bottom"/>
            <w:tcBorders>
              <w:top w:val="single" w:sz="8" w:color="0000FF"/>
              <w:bottom w:val="single" w:sz="8" w:color="0000FF"/>
            </w:tcBorders>
            <w:gridSpan w:val="5"/>
            <w:shd w:val="clear" w:color="auto" w:fill="CCEEFF"/>
          </w:tcPr>
          <w:p>
            <w:pPr>
              <w:spacing w:after="0" w:line="129" w:lineRule="exact"/>
              <w:rPr>
                <w:rFonts w:ascii="Arial" w:cs="Arial" w:eastAsia="Arial" w:hAnsi="Arial"/>
                <w:sz w:val="14"/>
                <w:szCs w:val="14"/>
                <w:color w:val="0000FF"/>
                <w:w w:val="91"/>
              </w:rPr>
            </w:pPr>
            <w:hyperlink r:id="rId36">
              <w:r>
                <w:rPr>
                  <w:rFonts w:ascii="Arial" w:cs="Arial" w:eastAsia="Arial" w:hAnsi="Arial"/>
                  <w:sz w:val="14"/>
                  <w:szCs w:val="14"/>
                  <w:color w:val="0000FF"/>
                  <w:w w:val="91"/>
                </w:rPr>
                <w:t>Physics Inc., doing business as Amersham Health.</w:t>
              </w:r>
            </w:hyperlink>
          </w:p>
        </w:tc>
        <w:tc>
          <w:tcPr>
            <w:tcW w:w="2120" w:type="dxa"/>
            <w:vAlign w:val="bottom"/>
            <w:tcBorders>
              <w:top w:val="single" w:sz="8" w:color="0000FF"/>
              <w:bottom w:val="single" w:sz="8" w:color="CCEEFF"/>
              <w:right w:val="single" w:sz="8" w:color="CCEEFF"/>
            </w:tcBorders>
            <w:gridSpan w:val="13"/>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10.12†</w:t>
            </w:r>
          </w:p>
        </w:tc>
        <w:tc>
          <w:tcPr>
            <w:tcW w:w="5200" w:type="dxa"/>
            <w:vAlign w:val="bottom"/>
            <w:gridSpan w:val="20"/>
          </w:tcPr>
          <w:p>
            <w:pPr>
              <w:spacing w:after="0"/>
              <w:rPr>
                <w:rFonts w:ascii="Arial" w:cs="Arial" w:eastAsia="Arial" w:hAnsi="Arial"/>
                <w:sz w:val="14"/>
                <w:szCs w:val="14"/>
                <w:color w:val="0000FF"/>
              </w:rPr>
            </w:pPr>
            <w:hyperlink r:id="rId37">
              <w:r>
                <w:rPr>
                  <w:rFonts w:ascii="Arial" w:cs="Arial" w:eastAsia="Arial" w:hAnsi="Arial"/>
                  <w:sz w:val="14"/>
                  <w:szCs w:val="14"/>
                  <w:color w:val="0000FF"/>
                </w:rPr>
                <w:t>First Amendment to Distribution Agreement, dated as of January 1, 2005, by and</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December 1, 2010</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80" w:type="dxa"/>
            <w:vAlign w:val="bottom"/>
            <w:tcBorders>
              <w:top w:val="single" w:sz="8" w:color="0000FF"/>
            </w:tcBorders>
            <w:gridSpan w:val="15"/>
          </w:tcPr>
          <w:p>
            <w:pPr>
              <w:spacing w:after="0" w:line="129" w:lineRule="exact"/>
              <w:rPr>
                <w:rFonts w:ascii="Arial" w:cs="Arial" w:eastAsia="Arial" w:hAnsi="Arial"/>
                <w:sz w:val="14"/>
                <w:szCs w:val="14"/>
                <w:color w:val="0000FF"/>
                <w:w w:val="95"/>
              </w:rPr>
            </w:pPr>
            <w:hyperlink r:id="rId37">
              <w:r>
                <w:rPr>
                  <w:rFonts w:ascii="Arial" w:cs="Arial" w:eastAsia="Arial" w:hAnsi="Arial"/>
                  <w:sz w:val="14"/>
                  <w:szCs w:val="14"/>
                  <w:color w:val="0000FF"/>
                  <w:w w:val="95"/>
                </w:rPr>
                <w:t>between Bristol-Myers Squibb Medical Imaging, Inc. (formerly known as Bristol</w:t>
              </w:r>
            </w:hyperlink>
          </w:p>
        </w:tc>
        <w:tc>
          <w:tcPr>
            <w:tcW w:w="340" w:type="dxa"/>
            <w:vAlign w:val="bottom"/>
            <w:gridSpan w:val="3"/>
          </w:tcPr>
          <w:p>
            <w:pPr>
              <w:jc w:val="right"/>
              <w:ind w:right="300"/>
              <w:spacing w:after="0"/>
              <w:rPr>
                <w:rFonts w:ascii="Arial" w:cs="Arial" w:eastAsia="Arial" w:hAnsi="Arial"/>
                <w:sz w:val="8"/>
                <w:szCs w:val="8"/>
                <w:color w:val="0000FF"/>
                <w:w w:val="73"/>
              </w:rPr>
            </w:pPr>
            <w:hyperlink r:id="rId37">
              <w:r>
                <w:rPr>
                  <w:rFonts w:ascii="Arial" w:cs="Arial" w:eastAsia="Arial" w:hAnsi="Arial"/>
                  <w:sz w:val="8"/>
                  <w:szCs w:val="8"/>
                  <w:color w:val="0000FF"/>
                  <w:w w:val="73"/>
                </w:rPr>
                <w:t>-</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gridSpan w:val="20"/>
          </w:tcPr>
          <w:p>
            <w:pPr>
              <w:spacing w:after="0" w:line="129" w:lineRule="exact"/>
              <w:rPr>
                <w:rFonts w:ascii="Arial" w:cs="Arial" w:eastAsia="Arial" w:hAnsi="Arial"/>
                <w:sz w:val="14"/>
                <w:szCs w:val="14"/>
                <w:color w:val="0000FF"/>
                <w:w w:val="98"/>
              </w:rPr>
            </w:pPr>
            <w:hyperlink r:id="rId37">
              <w:r>
                <w:rPr>
                  <w:rFonts w:ascii="Arial" w:cs="Arial" w:eastAsia="Arial" w:hAnsi="Arial"/>
                  <w:sz w:val="14"/>
                  <w:szCs w:val="14"/>
                  <w:color w:val="0000FF"/>
                  <w:w w:val="98"/>
                </w:rPr>
                <w:t>Myers Squibb Pharma Company and now known as Lantheus Medical Imaging, Inc.)</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2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7">
              <w:r>
                <w:rPr>
                  <w:rFonts w:ascii="Arial" w:cs="Arial" w:eastAsia="Arial" w:hAnsi="Arial"/>
                  <w:sz w:val="14"/>
                  <w:szCs w:val="14"/>
                  <w:color w:val="0000FF"/>
                </w:rPr>
                <w:t>and Medi-Physics Inc., doing business as G.E. Healthcare.</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10.13+</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20"/>
            <w:shd w:val="clear" w:color="auto" w:fill="CCEEFF"/>
          </w:tcPr>
          <w:p>
            <w:pPr>
              <w:spacing w:after="0"/>
              <w:rPr>
                <w:rFonts w:ascii="Arial" w:cs="Arial" w:eastAsia="Arial" w:hAnsi="Arial"/>
                <w:sz w:val="14"/>
                <w:szCs w:val="14"/>
                <w:color w:val="0000FF"/>
              </w:rPr>
            </w:pPr>
            <w:hyperlink r:id="rId38">
              <w:r>
                <w:rPr>
                  <w:rFonts w:ascii="Arial" w:cs="Arial" w:eastAsia="Arial" w:hAnsi="Arial"/>
                  <w:sz w:val="14"/>
                  <w:szCs w:val="14"/>
                  <w:color w:val="0000FF"/>
                </w:rPr>
                <w:t>Lantheus Holdings, Inc. 2008 Equity Incentive Plan.</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10.18</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6, 2010</w:t>
            </w: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98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9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10.14+</w:t>
            </w:r>
          </w:p>
        </w:tc>
        <w:tc>
          <w:tcPr>
            <w:tcW w:w="140" w:type="dxa"/>
            <w:vAlign w:val="bottom"/>
          </w:tcPr>
          <w:p>
            <w:pPr>
              <w:spacing w:after="0"/>
              <w:rPr>
                <w:sz w:val="14"/>
                <w:szCs w:val="14"/>
                <w:color w:val="auto"/>
              </w:rPr>
            </w:pPr>
          </w:p>
        </w:tc>
        <w:tc>
          <w:tcPr>
            <w:tcW w:w="4280" w:type="dxa"/>
            <w:vAlign w:val="bottom"/>
            <w:tcBorders>
              <w:bottom w:val="single" w:sz="8" w:color="0000FF"/>
            </w:tcBorders>
            <w:gridSpan w:val="11"/>
          </w:tcPr>
          <w:p>
            <w:pPr>
              <w:spacing w:after="0"/>
              <w:rPr>
                <w:rFonts w:ascii="Arial" w:cs="Arial" w:eastAsia="Arial" w:hAnsi="Arial"/>
                <w:sz w:val="14"/>
                <w:szCs w:val="14"/>
                <w:color w:val="0000FF"/>
                <w:w w:val="94"/>
              </w:rPr>
            </w:pPr>
            <w:hyperlink r:id="rId39">
              <w:r>
                <w:rPr>
                  <w:rFonts w:ascii="Arial" w:cs="Arial" w:eastAsia="Arial" w:hAnsi="Arial"/>
                  <w:sz w:val="14"/>
                  <w:szCs w:val="14"/>
                  <w:color w:val="0000FF"/>
                  <w:w w:val="94"/>
                </w:rPr>
                <w:t>Amendment No. 1 to Lantheus Holdings, Inc. 2008 Equity Incentive Plan.</w:t>
              </w:r>
            </w:hyperlink>
          </w:p>
        </w:tc>
        <w:tc>
          <w:tcPr>
            <w:tcW w:w="920" w:type="dxa"/>
            <w:vAlign w:val="bottom"/>
            <w:gridSpan w:val="9"/>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10.19</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October 6, 2010</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75"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2"/>
              </w:rPr>
              <w:t>Incorporated by Reference</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gridSpan w:val="42"/>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8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34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10.15+</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40">
              <w:r>
                <w:rPr>
                  <w:rFonts w:ascii="Arial" w:cs="Arial" w:eastAsia="Arial" w:hAnsi="Arial"/>
                  <w:sz w:val="14"/>
                  <w:szCs w:val="14"/>
                  <w:color w:val="0000FF"/>
                </w:rPr>
                <w:t>Amendment No. 2 to Lantheus Holdings, Inc. 2008 Equity Incentive Plan.</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1"/>
              </w:rPr>
              <w:t>October 6, 2010</w:t>
            </w:r>
          </w:p>
        </w:tc>
        <w:tc>
          <w:tcPr>
            <w:tcW w:w="0" w:type="dxa"/>
            <w:vAlign w:val="bottom"/>
          </w:tcPr>
          <w:p>
            <w:pPr>
              <w:spacing w:after="0"/>
              <w:rPr>
                <w:sz w:val="1"/>
                <w:szCs w:val="1"/>
                <w:color w:val="auto"/>
              </w:rPr>
            </w:pPr>
          </w:p>
        </w:tc>
      </w:tr>
      <w:tr>
        <w:trPr>
          <w:trHeight w:val="75"/>
        </w:trPr>
        <w:tc>
          <w:tcPr>
            <w:tcW w:w="110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4280" w:type="dxa"/>
            <w:vAlign w:val="bottom"/>
            <w:tcBorders>
              <w:top w:val="single" w:sz="8" w:color="0000FF"/>
            </w:tcBorders>
            <w:gridSpan w:val="22"/>
            <w:shd w:val="clear" w:color="auto" w:fill="CCEEFF"/>
          </w:tcPr>
          <w:p>
            <w:pPr>
              <w:spacing w:after="0"/>
              <w:rPr>
                <w:sz w:val="6"/>
                <w:szCs w:val="6"/>
                <w:color w:val="auto"/>
              </w:rPr>
            </w:pPr>
          </w:p>
        </w:tc>
        <w:tc>
          <w:tcPr>
            <w:tcW w:w="10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180" w:type="dxa"/>
            <w:vAlign w:val="bottom"/>
            <w:tcBorders>
              <w:top w:val="single" w:sz="8" w:color="CCEEFF"/>
              <w:right w:val="single" w:sz="8" w:color="CCEEFF"/>
            </w:tcBorders>
            <w:shd w:val="clear" w:color="auto" w:fill="CCEEFF"/>
          </w:tcPr>
          <w:p>
            <w:pPr>
              <w:spacing w:after="0"/>
              <w:rPr>
                <w:sz w:val="6"/>
                <w:szCs w:val="6"/>
                <w:color w:val="auto"/>
              </w:rPr>
            </w:pPr>
          </w:p>
        </w:tc>
        <w:tc>
          <w:tcPr>
            <w:tcW w:w="4980" w:type="dxa"/>
            <w:vAlign w:val="bottom"/>
            <w:tcBorders>
              <w:top w:val="single" w:sz="8" w:color="CCEEFF"/>
            </w:tcBorders>
            <w:gridSpan w:val="30"/>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10.16+</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41">
              <w:r>
                <w:rPr>
                  <w:rFonts w:ascii="Arial" w:cs="Arial" w:eastAsia="Arial" w:hAnsi="Arial"/>
                  <w:sz w:val="14"/>
                  <w:szCs w:val="14"/>
                  <w:color w:val="0000FF"/>
                </w:rPr>
                <w:t>Form of Option Grant Award Agreement.</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1"/>
              </w:rPr>
              <w:t>October 6, 2010</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2400" w:type="dxa"/>
            <w:vAlign w:val="bottom"/>
            <w:tcBorders>
              <w:top w:val="single" w:sz="8" w:color="0000FF"/>
            </w:tcBorders>
            <w:gridSpan w:val="7"/>
          </w:tcPr>
          <w:p>
            <w:pPr>
              <w:spacing w:after="0"/>
              <w:rPr>
                <w:sz w:val="7"/>
                <w:szCs w:val="7"/>
                <w:color w:val="auto"/>
              </w:rPr>
            </w:pPr>
          </w:p>
        </w:tc>
        <w:tc>
          <w:tcPr>
            <w:tcW w:w="7140" w:type="dxa"/>
            <w:vAlign w:val="bottom"/>
            <w:gridSpan w:val="48"/>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10.17+</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42">
              <w:r>
                <w:rPr>
                  <w:rFonts w:ascii="Arial" w:cs="Arial" w:eastAsia="Arial" w:hAnsi="Arial"/>
                  <w:sz w:val="14"/>
                  <w:szCs w:val="14"/>
                  <w:color w:val="0000FF"/>
                </w:rPr>
                <w:t>Lantheus Medical Imaging, Inc. Severance Plan Policy.</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1"/>
              </w:rPr>
              <w:t>October 6, 2010</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200" w:type="dxa"/>
            <w:vAlign w:val="bottom"/>
            <w:tcBorders>
              <w:top w:val="single" w:sz="8" w:color="0000FF"/>
            </w:tcBorders>
            <w:gridSpan w:val="11"/>
            <w:shd w:val="clear" w:color="auto" w:fill="CCEEFF"/>
          </w:tcPr>
          <w:p>
            <w:pPr>
              <w:spacing w:after="0"/>
              <w:rPr>
                <w:sz w:val="7"/>
                <w:szCs w:val="7"/>
                <w:color w:val="auto"/>
              </w:rPr>
            </w:pPr>
          </w:p>
        </w:tc>
        <w:tc>
          <w:tcPr>
            <w:tcW w:w="1180" w:type="dxa"/>
            <w:vAlign w:val="bottom"/>
            <w:tcBorders>
              <w:top w:val="single" w:sz="8" w:color="CCEEFF"/>
              <w:right w:val="single" w:sz="8" w:color="CCEEFF"/>
            </w:tcBorders>
            <w:gridSpan w:val="13"/>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980" w:type="dxa"/>
            <w:vAlign w:val="bottom"/>
            <w:tcBorders>
              <w:top w:val="single" w:sz="8" w:color="CCEEFF"/>
            </w:tcBorders>
            <w:gridSpan w:val="30"/>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10.18†</w:t>
            </w:r>
          </w:p>
        </w:tc>
        <w:tc>
          <w:tcPr>
            <w:tcW w:w="5200" w:type="dxa"/>
            <w:vAlign w:val="bottom"/>
            <w:gridSpan w:val="47"/>
          </w:tcPr>
          <w:p>
            <w:pPr>
              <w:spacing w:after="0"/>
              <w:rPr>
                <w:rFonts w:ascii="Arial" w:cs="Arial" w:eastAsia="Arial" w:hAnsi="Arial"/>
                <w:sz w:val="14"/>
                <w:szCs w:val="14"/>
                <w:color w:val="0000FF"/>
                <w:w w:val="99"/>
              </w:rPr>
            </w:pPr>
            <w:hyperlink r:id="rId43">
              <w:r>
                <w:rPr>
                  <w:rFonts w:ascii="Arial" w:cs="Arial" w:eastAsia="Arial" w:hAnsi="Arial"/>
                  <w:sz w:val="14"/>
                  <w:szCs w:val="14"/>
                  <w:color w:val="0000FF"/>
                  <w:w w:val="99"/>
                </w:rPr>
                <w:t>Second Amendment, effective as of January 1, 2012, to the Distribution Agreement,</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4"/>
              </w:rPr>
              <w:t>May 15, 2012</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60" w:type="dxa"/>
            <w:vAlign w:val="bottom"/>
            <w:tcBorders>
              <w:top w:val="single" w:sz="8" w:color="0000FF"/>
              <w:bottom w:val="single" w:sz="8" w:color="0000FF"/>
            </w:tcBorders>
            <w:gridSpan w:val="25"/>
          </w:tcPr>
          <w:p>
            <w:pPr>
              <w:spacing w:after="0" w:line="129" w:lineRule="exact"/>
              <w:rPr>
                <w:rFonts w:ascii="Arial" w:cs="Arial" w:eastAsia="Arial" w:hAnsi="Arial"/>
                <w:sz w:val="14"/>
                <w:szCs w:val="14"/>
                <w:color w:val="0000FF"/>
                <w:w w:val="92"/>
              </w:rPr>
            </w:pPr>
            <w:hyperlink r:id="rId43">
              <w:r>
                <w:rPr>
                  <w:rFonts w:ascii="Arial" w:cs="Arial" w:eastAsia="Arial" w:hAnsi="Arial"/>
                  <w:sz w:val="14"/>
                  <w:szCs w:val="14"/>
                  <w:color w:val="0000FF"/>
                  <w:w w:val="92"/>
                </w:rPr>
                <w:t>dated as of October 31, 2001, by and between Lantheus Medical Imaging, Inc.,</w:t>
              </w:r>
            </w:hyperlink>
          </w:p>
        </w:tc>
        <w:tc>
          <w:tcPr>
            <w:tcW w:w="34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gridSpan w:val="47"/>
          </w:tcPr>
          <w:p>
            <w:pPr>
              <w:spacing w:after="0" w:line="129" w:lineRule="exact"/>
              <w:rPr>
                <w:rFonts w:ascii="Arial" w:cs="Arial" w:eastAsia="Arial" w:hAnsi="Arial"/>
                <w:sz w:val="14"/>
                <w:szCs w:val="14"/>
                <w:color w:val="0000FF"/>
              </w:rPr>
            </w:pPr>
            <w:hyperlink r:id="rId43">
              <w:r>
                <w:rPr>
                  <w:rFonts w:ascii="Arial" w:cs="Arial" w:eastAsia="Arial" w:hAnsi="Arial"/>
                  <w:sz w:val="14"/>
                  <w:szCs w:val="14"/>
                  <w:color w:val="0000FF"/>
                </w:rPr>
                <w:t>formerly known as Bristol-Myers Squibb Medical Imaging, Inc., and Medi-Physics,</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4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43">
              <w:r>
                <w:rPr>
                  <w:rFonts w:ascii="Arial" w:cs="Arial" w:eastAsia="Arial" w:hAnsi="Arial"/>
                  <w:sz w:val="14"/>
                  <w:szCs w:val="14"/>
                  <w:color w:val="0000FF"/>
                </w:rPr>
                <w:t>Inc., doing business as G.E. Healthcare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2520" w:type="dxa"/>
            <w:vAlign w:val="bottom"/>
            <w:tcBorders>
              <w:top w:val="single" w:sz="8" w:color="0000FF"/>
            </w:tcBorders>
            <w:gridSpan w:val="8"/>
          </w:tcPr>
          <w:p>
            <w:pPr>
              <w:spacing w:after="0" w:line="20" w:lineRule="exact"/>
              <w:rPr>
                <w:sz w:val="1"/>
                <w:szCs w:val="1"/>
                <w:color w:val="auto"/>
              </w:rPr>
            </w:pPr>
          </w:p>
        </w:tc>
        <w:tc>
          <w:tcPr>
            <w:tcW w:w="702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10.19†</w:t>
            </w:r>
          </w:p>
        </w:tc>
        <w:tc>
          <w:tcPr>
            <w:tcW w:w="5200" w:type="dxa"/>
            <w:vAlign w:val="bottom"/>
            <w:gridSpan w:val="47"/>
            <w:shd w:val="clear" w:color="auto" w:fill="CCEEFF"/>
          </w:tcPr>
          <w:p>
            <w:pPr>
              <w:spacing w:after="0"/>
              <w:rPr>
                <w:rFonts w:ascii="Arial" w:cs="Arial" w:eastAsia="Arial" w:hAnsi="Arial"/>
                <w:sz w:val="14"/>
                <w:szCs w:val="14"/>
                <w:color w:val="0000FF"/>
              </w:rPr>
            </w:pPr>
            <w:hyperlink r:id="rId44">
              <w:r>
                <w:rPr>
                  <w:rFonts w:ascii="Arial" w:cs="Arial" w:eastAsia="Arial" w:hAnsi="Arial"/>
                  <w:sz w:val="14"/>
                  <w:szCs w:val="14"/>
                  <w:color w:val="0000FF"/>
                </w:rPr>
                <w:t>Manufacturing and Supply Agreement, dated as of February 1, 2012, for the</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4"/>
              </w:rPr>
              <w:t>May 15, 2012</w:t>
            </w: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0" w:type="dxa"/>
            <w:vAlign w:val="bottom"/>
            <w:gridSpan w:val="47"/>
            <w:shd w:val="clear" w:color="auto" w:fill="CCEEFF"/>
          </w:tcPr>
          <w:p>
            <w:pPr>
              <w:spacing w:after="0" w:line="129" w:lineRule="exact"/>
              <w:rPr>
                <w:rFonts w:ascii="Arial" w:cs="Arial" w:eastAsia="Arial" w:hAnsi="Arial"/>
                <w:sz w:val="14"/>
                <w:szCs w:val="14"/>
                <w:color w:val="0000FF"/>
              </w:rPr>
            </w:pPr>
            <w:hyperlink r:id="rId44">
              <w:r>
                <w:rPr>
                  <w:rFonts w:ascii="Arial" w:cs="Arial" w:eastAsia="Arial" w:hAnsi="Arial"/>
                  <w:sz w:val="14"/>
                  <w:szCs w:val="14"/>
                  <w:color w:val="0000FF"/>
                </w:rPr>
                <w:t>manufacture of DEFINITY® by and between Lantheus Medical Imaging, Inc. and</w:t>
              </w:r>
            </w:hyperlink>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620" w:type="dxa"/>
            <w:vAlign w:val="bottom"/>
            <w:tcBorders>
              <w:top w:val="single" w:sz="8" w:color="0000FF"/>
              <w:bottom w:val="single" w:sz="8" w:color="0000FF"/>
            </w:tcBorders>
            <w:gridSpan w:val="3"/>
            <w:shd w:val="clear" w:color="auto" w:fill="CCEEFF"/>
          </w:tcPr>
          <w:p>
            <w:pPr>
              <w:spacing w:after="0" w:line="129" w:lineRule="exact"/>
              <w:rPr>
                <w:rFonts w:ascii="Arial" w:cs="Arial" w:eastAsia="Arial" w:hAnsi="Arial"/>
                <w:sz w:val="14"/>
                <w:szCs w:val="14"/>
                <w:color w:val="0000FF"/>
                <w:w w:val="96"/>
              </w:rPr>
            </w:pPr>
            <w:hyperlink r:id="rId44">
              <w:r>
                <w:rPr>
                  <w:rFonts w:ascii="Arial" w:cs="Arial" w:eastAsia="Arial" w:hAnsi="Arial"/>
                  <w:sz w:val="14"/>
                  <w:szCs w:val="14"/>
                  <w:color w:val="0000FF"/>
                  <w:w w:val="96"/>
                </w:rPr>
                <w:t>Jubilant HollisterStier LLC.</w:t>
              </w:r>
            </w:hyperlink>
          </w:p>
        </w:tc>
        <w:tc>
          <w:tcPr>
            <w:tcW w:w="3120" w:type="dxa"/>
            <w:vAlign w:val="bottom"/>
            <w:tcBorders>
              <w:top w:val="single" w:sz="8" w:color="0000FF"/>
              <w:bottom w:val="single" w:sz="8" w:color="CCEEFF"/>
            </w:tcBorders>
            <w:gridSpan w:val="26"/>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10.20†</w:t>
            </w:r>
          </w:p>
        </w:tc>
        <w:tc>
          <w:tcPr>
            <w:tcW w:w="5200" w:type="dxa"/>
            <w:vAlign w:val="bottom"/>
            <w:gridSpan w:val="47"/>
          </w:tcPr>
          <w:p>
            <w:pPr>
              <w:spacing w:after="0"/>
              <w:rPr>
                <w:rFonts w:ascii="Arial" w:cs="Arial" w:eastAsia="Arial" w:hAnsi="Arial"/>
                <w:sz w:val="14"/>
                <w:szCs w:val="14"/>
                <w:color w:val="0000FF"/>
                <w:w w:val="99"/>
              </w:rPr>
            </w:pPr>
            <w:hyperlink r:id="rId45">
              <w:r>
                <w:rPr>
                  <w:rFonts w:ascii="Arial" w:cs="Arial" w:eastAsia="Arial" w:hAnsi="Arial"/>
                  <w:sz w:val="14"/>
                  <w:szCs w:val="14"/>
                  <w:color w:val="0000FF"/>
                  <w:w w:val="99"/>
                </w:rPr>
                <w:t>First Amendment to Manufacturing and Supply Agreement, dated as of May 3, 2012,</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4"/>
              </w:rPr>
              <w:t>August 14, 2012</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36"/>
          </w:tcPr>
          <w:p>
            <w:pPr>
              <w:spacing w:after="0" w:line="129" w:lineRule="exact"/>
              <w:rPr>
                <w:rFonts w:ascii="Arial" w:cs="Arial" w:eastAsia="Arial" w:hAnsi="Arial"/>
                <w:sz w:val="14"/>
                <w:szCs w:val="14"/>
                <w:color w:val="0000FF"/>
                <w:w w:val="95"/>
              </w:rPr>
            </w:pPr>
            <w:hyperlink r:id="rId45">
              <w:r>
                <w:rPr>
                  <w:rFonts w:ascii="Arial" w:cs="Arial" w:eastAsia="Arial" w:hAnsi="Arial"/>
                  <w:sz w:val="14"/>
                  <w:szCs w:val="14"/>
                  <w:color w:val="0000FF"/>
                  <w:w w:val="95"/>
                </w:rPr>
                <w:t>for the manufacture of DEFINITY® by and between Lantheus Medical Imaging, Inc.</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40" w:type="dxa"/>
            <w:vAlign w:val="bottom"/>
            <w:gridSpan w:val="37"/>
          </w:tcPr>
          <w:p>
            <w:pPr>
              <w:spacing w:after="0" w:line="129" w:lineRule="exact"/>
              <w:rPr>
                <w:rFonts w:ascii="Arial" w:cs="Arial" w:eastAsia="Arial" w:hAnsi="Arial"/>
                <w:sz w:val="14"/>
                <w:szCs w:val="14"/>
                <w:color w:val="0000FF"/>
              </w:rPr>
            </w:pPr>
            <w:hyperlink r:id="rId45">
              <w:r>
                <w:rPr>
                  <w:rFonts w:ascii="Arial" w:cs="Arial" w:eastAsia="Arial" w:hAnsi="Arial"/>
                  <w:sz w:val="14"/>
                  <w:szCs w:val="14"/>
                  <w:color w:val="0000FF"/>
                </w:rPr>
                <w:t>and Jubilant HollisterStier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1860" w:type="dxa"/>
            <w:vAlign w:val="bottom"/>
            <w:tcBorders>
              <w:top w:val="single" w:sz="8" w:color="0000FF"/>
            </w:tcBorders>
            <w:gridSpan w:val="5"/>
          </w:tcPr>
          <w:p>
            <w:pPr>
              <w:spacing w:after="0" w:line="20" w:lineRule="exact"/>
              <w:rPr>
                <w:sz w:val="1"/>
                <w:szCs w:val="1"/>
                <w:color w:val="auto"/>
              </w:rPr>
            </w:pPr>
          </w:p>
        </w:tc>
        <w:tc>
          <w:tcPr>
            <w:tcW w:w="7680" w:type="dxa"/>
            <w:vAlign w:val="bottom"/>
            <w:gridSpan w:val="5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10.22†</w:t>
            </w:r>
          </w:p>
        </w:tc>
        <w:tc>
          <w:tcPr>
            <w:tcW w:w="5200" w:type="dxa"/>
            <w:vAlign w:val="bottom"/>
            <w:gridSpan w:val="47"/>
            <w:shd w:val="clear" w:color="auto" w:fill="CCEEFF"/>
          </w:tcPr>
          <w:p>
            <w:pPr>
              <w:spacing w:after="0"/>
              <w:rPr>
                <w:rFonts w:ascii="Arial" w:cs="Arial" w:eastAsia="Arial" w:hAnsi="Arial"/>
                <w:sz w:val="14"/>
                <w:szCs w:val="14"/>
                <w:color w:val="0000FF"/>
              </w:rPr>
            </w:pPr>
            <w:hyperlink r:id="rId46">
              <w:r>
                <w:rPr>
                  <w:rFonts w:ascii="Arial" w:cs="Arial" w:eastAsia="Arial" w:hAnsi="Arial"/>
                  <w:sz w:val="14"/>
                  <w:szCs w:val="14"/>
                  <w:color w:val="0000FF"/>
                </w:rPr>
                <w:t>Amendment No. 3, effective as of October 1, 2012, to Sales Agreement between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3"/>
              </w:rPr>
              <w:t>May 2, 2018</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640" w:type="dxa"/>
            <w:vAlign w:val="bottom"/>
            <w:tcBorders>
              <w:top w:val="single" w:sz="8" w:color="0000FF"/>
            </w:tcBorders>
            <w:gridSpan w:val="26"/>
            <w:shd w:val="clear" w:color="auto" w:fill="CCEEFF"/>
          </w:tcPr>
          <w:p>
            <w:pPr>
              <w:spacing w:after="0" w:line="129" w:lineRule="exact"/>
              <w:rPr>
                <w:rFonts w:ascii="Arial" w:cs="Arial" w:eastAsia="Arial" w:hAnsi="Arial"/>
                <w:sz w:val="14"/>
                <w:szCs w:val="14"/>
                <w:color w:val="0000FF"/>
              </w:rPr>
            </w:pPr>
            <w:hyperlink r:id="rId46">
              <w:r>
                <w:rPr>
                  <w:rFonts w:ascii="Arial" w:cs="Arial" w:eastAsia="Arial" w:hAnsi="Arial"/>
                  <w:sz w:val="14"/>
                  <w:szCs w:val="14"/>
                  <w:color w:val="0000FF"/>
                </w:rPr>
                <w:t>Lantheus Medical Imaging, Inc. and NTP Radioisotopes (Pty) Ltd.</w:t>
              </w:r>
            </w:hyperlink>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3840" w:type="dxa"/>
            <w:vAlign w:val="bottom"/>
            <w:tcBorders>
              <w:top w:val="single" w:sz="8" w:color="0000FF"/>
            </w:tcBorders>
            <w:gridSpan w:val="16"/>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gridSpan w:val="8"/>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gridSpan w:val="3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10.23†</w:t>
            </w:r>
          </w:p>
        </w:tc>
        <w:tc>
          <w:tcPr>
            <w:tcW w:w="4920" w:type="dxa"/>
            <w:vAlign w:val="bottom"/>
            <w:tcBorders>
              <w:bottom w:val="single" w:sz="8" w:color="0000FF"/>
            </w:tcBorders>
            <w:gridSpan w:val="36"/>
          </w:tcPr>
          <w:p>
            <w:pPr>
              <w:spacing w:after="0"/>
              <w:rPr>
                <w:rFonts w:ascii="Arial" w:cs="Arial" w:eastAsia="Arial" w:hAnsi="Arial"/>
                <w:sz w:val="14"/>
                <w:szCs w:val="14"/>
                <w:color w:val="0000FF"/>
                <w:w w:val="92"/>
              </w:rPr>
            </w:pPr>
            <w:hyperlink r:id="rId47">
              <w:r>
                <w:rPr>
                  <w:rFonts w:ascii="Arial" w:cs="Arial" w:eastAsia="Arial" w:hAnsi="Arial"/>
                  <w:sz w:val="14"/>
                  <w:szCs w:val="14"/>
                  <w:color w:val="0000FF"/>
                  <w:w w:val="92"/>
                </w:rPr>
                <w:t>Amendment No. 2, effective as of December 27, 2012, to the Amended and Restated</w:t>
              </w:r>
            </w:hyperlink>
          </w:p>
        </w:tc>
        <w:tc>
          <w:tcPr>
            <w:tcW w:w="280" w:type="dxa"/>
            <w:vAlign w:val="bottom"/>
            <w:gridSpan w:val="11"/>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4"/>
              </w:rPr>
              <w:t>March 29, 2013</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gridSpan w:val="47"/>
          </w:tcPr>
          <w:p>
            <w:pPr>
              <w:spacing w:after="0" w:line="129" w:lineRule="exact"/>
              <w:rPr>
                <w:rFonts w:ascii="Arial" w:cs="Arial" w:eastAsia="Arial" w:hAnsi="Arial"/>
                <w:sz w:val="14"/>
                <w:szCs w:val="14"/>
                <w:color w:val="0000FF"/>
                <w:w w:val="96"/>
              </w:rPr>
            </w:pPr>
            <w:hyperlink r:id="rId47">
              <w:r>
                <w:rPr>
                  <w:rFonts w:ascii="Arial" w:cs="Arial" w:eastAsia="Arial" w:hAnsi="Arial"/>
                  <w:sz w:val="14"/>
                  <w:szCs w:val="14"/>
                  <w:color w:val="0000FF"/>
                  <w:w w:val="96"/>
                </w:rPr>
                <w:t>Supply Agreement (Thallium and Generators) between Lantheus Medical Imaging, Inc.</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0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and Cardinal Health 414, LLC.</w:t>
              </w:r>
            </w:hyperlink>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1800" w:type="dxa"/>
            <w:vAlign w:val="bottom"/>
            <w:tcBorders>
              <w:top w:val="single" w:sz="8" w:color="0000FF"/>
            </w:tcBorders>
            <w:gridSpan w:val="4"/>
          </w:tcPr>
          <w:p>
            <w:pPr>
              <w:spacing w:after="0" w:line="20" w:lineRule="exact"/>
              <w:rPr>
                <w:sz w:val="1"/>
                <w:szCs w:val="1"/>
                <w:color w:val="auto"/>
              </w:rPr>
            </w:pPr>
          </w:p>
        </w:tc>
        <w:tc>
          <w:tcPr>
            <w:tcW w:w="774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10.25†</w:t>
            </w:r>
          </w:p>
        </w:tc>
        <w:tc>
          <w:tcPr>
            <w:tcW w:w="5200" w:type="dxa"/>
            <w:vAlign w:val="bottom"/>
            <w:gridSpan w:val="47"/>
            <w:shd w:val="clear" w:color="auto" w:fill="CCEEFF"/>
          </w:tcPr>
          <w:p>
            <w:pPr>
              <w:spacing w:after="0"/>
              <w:rPr>
                <w:rFonts w:ascii="Arial" w:cs="Arial" w:eastAsia="Arial" w:hAnsi="Arial"/>
                <w:sz w:val="14"/>
                <w:szCs w:val="14"/>
                <w:color w:val="0000FF"/>
                <w:w w:val="96"/>
              </w:rPr>
            </w:pPr>
            <w:hyperlink r:id="rId48">
              <w:r>
                <w:rPr>
                  <w:rFonts w:ascii="Arial" w:cs="Arial" w:eastAsia="Arial" w:hAnsi="Arial"/>
                  <w:sz w:val="14"/>
                  <w:szCs w:val="14"/>
                  <w:color w:val="0000FF"/>
                  <w:w w:val="96"/>
                </w:rPr>
                <w:t>Fission Mo-99 Supply Agreement, effective January 1, 2013, by and between Lantheus</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4"/>
              </w:rPr>
              <w:t>May 10, 2013</w:t>
            </w: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060" w:type="dxa"/>
            <w:vAlign w:val="bottom"/>
            <w:tcBorders>
              <w:top w:val="single" w:sz="8" w:color="0000FF"/>
            </w:tcBorders>
            <w:gridSpan w:val="43"/>
            <w:shd w:val="clear" w:color="auto" w:fill="CCEEFF"/>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Medical Imaging, Inc. and the Institut National des Radioelements.</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10.26+</w:t>
            </w:r>
          </w:p>
        </w:tc>
        <w:tc>
          <w:tcPr>
            <w:tcW w:w="140" w:type="dxa"/>
            <w:vAlign w:val="bottom"/>
            <w:tcBorders>
              <w:top w:val="single" w:sz="8" w:color="CCEEFF"/>
            </w:tcBorders>
          </w:tcPr>
          <w:p>
            <w:pPr>
              <w:spacing w:after="0"/>
              <w:rPr>
                <w:sz w:val="14"/>
                <w:szCs w:val="14"/>
                <w:color w:val="auto"/>
              </w:rPr>
            </w:pPr>
          </w:p>
        </w:tc>
        <w:tc>
          <w:tcPr>
            <w:tcW w:w="3860" w:type="dxa"/>
            <w:vAlign w:val="bottom"/>
            <w:tcBorders>
              <w:top w:val="single" w:sz="8" w:color="0000FF"/>
            </w:tcBorders>
            <w:gridSpan w:val="17"/>
          </w:tcPr>
          <w:p>
            <w:pPr>
              <w:spacing w:after="0"/>
              <w:rPr>
                <w:rFonts w:ascii="Arial" w:cs="Arial" w:eastAsia="Arial" w:hAnsi="Arial"/>
                <w:sz w:val="14"/>
                <w:szCs w:val="14"/>
                <w:color w:val="0000FF"/>
              </w:rPr>
            </w:pPr>
            <w:hyperlink r:id="rId49">
              <w:r>
                <w:rPr>
                  <w:rFonts w:ascii="Arial" w:cs="Arial" w:eastAsia="Arial" w:hAnsi="Arial"/>
                  <w:sz w:val="14"/>
                  <w:szCs w:val="14"/>
                  <w:color w:val="0000FF"/>
                </w:rPr>
                <w:t>Lantheus Holdings, Inc. 2013 Equity Incentive Plan.</w:t>
              </w:r>
            </w:hyperlink>
          </w:p>
        </w:tc>
        <w:tc>
          <w:tcPr>
            <w:tcW w:w="1340" w:type="dxa"/>
            <w:vAlign w:val="bottom"/>
            <w:tcBorders>
              <w:top w:val="single" w:sz="8" w:color="CCEEFF"/>
            </w:tcBorders>
            <w:gridSpan w:val="30"/>
          </w:tcPr>
          <w:p>
            <w:pPr>
              <w:spacing w:after="0"/>
              <w:rPr>
                <w:sz w:val="14"/>
                <w:szCs w:val="14"/>
                <w:color w:val="auto"/>
              </w:rPr>
            </w:pPr>
          </w:p>
        </w:tc>
        <w:tc>
          <w:tcPr>
            <w:tcW w:w="840" w:type="dxa"/>
            <w:vAlign w:val="bottom"/>
            <w:tcBorders>
              <w:top w:val="single" w:sz="8" w:color="CCEEFF"/>
            </w:tcBorders>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jc w:val="center"/>
              <w:ind w:right="188"/>
              <w:spacing w:after="0"/>
              <w:rPr>
                <w:sz w:val="20"/>
                <w:szCs w:val="20"/>
                <w:color w:val="auto"/>
              </w:rPr>
            </w:pPr>
            <w:r>
              <w:rPr>
                <w:rFonts w:ascii="Arial" w:cs="Arial" w:eastAsia="Arial" w:hAnsi="Arial"/>
                <w:sz w:val="14"/>
                <w:szCs w:val="14"/>
                <w:color w:val="auto"/>
                <w:w w:val="93"/>
              </w:rPr>
              <w:t>May 6, 2013</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3020" w:type="dxa"/>
            <w:vAlign w:val="bottom"/>
            <w:tcBorders>
              <w:top w:val="single" w:sz="8" w:color="0000FF"/>
            </w:tcBorders>
            <w:gridSpan w:val="9"/>
          </w:tcPr>
          <w:p>
            <w:pPr>
              <w:spacing w:after="0"/>
              <w:rPr>
                <w:sz w:val="7"/>
                <w:szCs w:val="7"/>
                <w:color w:val="auto"/>
              </w:rPr>
            </w:pPr>
          </w:p>
        </w:tc>
        <w:tc>
          <w:tcPr>
            <w:tcW w:w="6520" w:type="dxa"/>
            <w:vAlign w:val="bottom"/>
            <w:gridSpan w:val="46"/>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10.27+</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50">
              <w:r>
                <w:rPr>
                  <w:rFonts w:ascii="Arial" w:cs="Arial" w:eastAsia="Arial" w:hAnsi="Arial"/>
                  <w:sz w:val="14"/>
                  <w:szCs w:val="14"/>
                  <w:color w:val="0000FF"/>
                </w:rPr>
                <w:t>Form of Employee Option Grant Award Agreement.</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3"/>
              </w:rPr>
              <w:t>May 6, 2013</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020" w:type="dxa"/>
            <w:vAlign w:val="bottom"/>
            <w:tcBorders>
              <w:top w:val="single" w:sz="8" w:color="0000FF"/>
            </w:tcBorders>
            <w:gridSpan w:val="9"/>
            <w:shd w:val="clear" w:color="auto" w:fill="CCEEFF"/>
          </w:tcPr>
          <w:p>
            <w:pPr>
              <w:spacing w:after="0"/>
              <w:rPr>
                <w:sz w:val="7"/>
                <w:szCs w:val="7"/>
                <w:color w:val="auto"/>
              </w:rPr>
            </w:pPr>
          </w:p>
        </w:tc>
        <w:tc>
          <w:tcPr>
            <w:tcW w:w="1360" w:type="dxa"/>
            <w:vAlign w:val="bottom"/>
            <w:tcBorders>
              <w:top w:val="single" w:sz="8" w:color="CCEEFF"/>
              <w:right w:val="single" w:sz="8" w:color="CCEEFF"/>
            </w:tcBorders>
            <w:gridSpan w:val="15"/>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980" w:type="dxa"/>
            <w:vAlign w:val="bottom"/>
            <w:tcBorders>
              <w:top w:val="single" w:sz="8" w:color="CCEEFF"/>
            </w:tcBorders>
            <w:gridSpan w:val="30"/>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10.28+</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Non-Employee Director Option Grant Award Agreement.</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3"/>
              </w:rPr>
              <w:t>May 6, 2013</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3820" w:type="dxa"/>
            <w:vAlign w:val="bottom"/>
            <w:tcBorders>
              <w:top w:val="single" w:sz="8" w:color="0000FF"/>
            </w:tcBorders>
            <w:gridSpan w:val="15"/>
          </w:tcPr>
          <w:p>
            <w:pPr>
              <w:spacing w:after="0"/>
              <w:rPr>
                <w:sz w:val="7"/>
                <w:szCs w:val="7"/>
                <w:color w:val="auto"/>
              </w:rPr>
            </w:pPr>
          </w:p>
        </w:tc>
        <w:tc>
          <w:tcPr>
            <w:tcW w:w="5720" w:type="dxa"/>
            <w:vAlign w:val="bottom"/>
            <w:gridSpan w:val="40"/>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10.33+</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w w:val="96"/>
              </w:rPr>
            </w:pPr>
            <w:hyperlink r:id="rId52">
              <w:r>
                <w:rPr>
                  <w:rFonts w:ascii="Arial" w:cs="Arial" w:eastAsia="Arial" w:hAnsi="Arial"/>
                  <w:sz w:val="14"/>
                  <w:szCs w:val="14"/>
                  <w:color w:val="0000FF"/>
                  <w:w w:val="96"/>
                </w:rPr>
                <w:t>Employment Agreement, effective August 12, 2013, by and between Lantheus Medical</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4"/>
              </w:rPr>
              <w:t>March 11, 2014</w:t>
            </w: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960" w:type="dxa"/>
            <w:vAlign w:val="bottom"/>
            <w:tcBorders>
              <w:top w:val="single" w:sz="8" w:color="0000FF"/>
              <w:bottom w:val="single" w:sz="8" w:color="0000FF"/>
            </w:tcBorders>
            <w:gridSpan w:val="6"/>
            <w:shd w:val="clear" w:color="auto" w:fill="CCEEFF"/>
          </w:tcPr>
          <w:p>
            <w:pPr>
              <w:spacing w:after="0" w:line="129" w:lineRule="exact"/>
              <w:rPr>
                <w:rFonts w:ascii="Arial" w:cs="Arial" w:eastAsia="Arial" w:hAnsi="Arial"/>
                <w:sz w:val="14"/>
                <w:szCs w:val="14"/>
                <w:color w:val="0000FF"/>
                <w:w w:val="92"/>
              </w:rPr>
            </w:pPr>
            <w:hyperlink r:id="rId52">
              <w:r>
                <w:rPr>
                  <w:rFonts w:ascii="Arial" w:cs="Arial" w:eastAsia="Arial" w:hAnsi="Arial"/>
                  <w:sz w:val="14"/>
                  <w:szCs w:val="14"/>
                  <w:color w:val="0000FF"/>
                  <w:w w:val="92"/>
                </w:rPr>
                <w:t>Imaging, Inc. and Cesare Orlandi.</w:t>
              </w:r>
            </w:hyperlink>
          </w:p>
        </w:tc>
        <w:tc>
          <w:tcPr>
            <w:tcW w:w="3120" w:type="dxa"/>
            <w:vAlign w:val="bottom"/>
            <w:tcBorders>
              <w:top w:val="single" w:sz="8" w:color="0000FF"/>
              <w:bottom w:val="single" w:sz="8" w:color="CCEEFF"/>
            </w:tcBorders>
            <w:gridSpan w:val="38"/>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10.37+</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53">
              <w:r>
                <w:rPr>
                  <w:rFonts w:ascii="Arial" w:cs="Arial" w:eastAsia="Arial" w:hAnsi="Arial"/>
                  <w:sz w:val="14"/>
                  <w:szCs w:val="14"/>
                  <w:color w:val="0000FF"/>
                </w:rPr>
                <w:t>2015 Equity Incentive Plan of Lantheus Holdings, Inc.</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333-196998</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June 24, 2015</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3140" w:type="dxa"/>
            <w:vAlign w:val="bottom"/>
            <w:tcBorders>
              <w:top w:val="single" w:sz="8" w:color="0000FF"/>
            </w:tcBorders>
            <w:gridSpan w:val="10"/>
          </w:tcPr>
          <w:p>
            <w:pPr>
              <w:spacing w:after="0"/>
              <w:rPr>
                <w:sz w:val="7"/>
                <w:szCs w:val="7"/>
                <w:color w:val="auto"/>
              </w:rPr>
            </w:pPr>
          </w:p>
        </w:tc>
        <w:tc>
          <w:tcPr>
            <w:tcW w:w="6400" w:type="dxa"/>
            <w:vAlign w:val="bottom"/>
            <w:gridSpan w:val="45"/>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10.38+</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54">
              <w:r>
                <w:rPr>
                  <w:rFonts w:ascii="Arial" w:cs="Arial" w:eastAsia="Arial" w:hAnsi="Arial"/>
                  <w:sz w:val="14"/>
                  <w:szCs w:val="14"/>
                  <w:color w:val="0000FF"/>
                </w:rPr>
                <w:t>Form of 2015 Restricted Stock Agreement of Lantheus Holdings, Inc.</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333-196998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0"/>
              </w:rPr>
              <w:t>June 24, 2015</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4020" w:type="dxa"/>
            <w:vAlign w:val="bottom"/>
            <w:tcBorders>
              <w:top w:val="single" w:sz="8" w:color="0000FF"/>
            </w:tcBorders>
            <w:gridSpan w:val="20"/>
            <w:shd w:val="clear" w:color="auto" w:fill="CCEEFF"/>
          </w:tcPr>
          <w:p>
            <w:pPr>
              <w:spacing w:after="0"/>
              <w:rPr>
                <w:sz w:val="7"/>
                <w:szCs w:val="7"/>
                <w:color w:val="auto"/>
              </w:rPr>
            </w:pPr>
          </w:p>
        </w:tc>
        <w:tc>
          <w:tcPr>
            <w:tcW w:w="360" w:type="dxa"/>
            <w:vAlign w:val="bottom"/>
            <w:tcBorders>
              <w:top w:val="single" w:sz="8" w:color="CCEEFF"/>
              <w:right w:val="single" w:sz="8" w:color="CCEEFF"/>
            </w:tcBorders>
            <w:gridSpan w:val="4"/>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980" w:type="dxa"/>
            <w:vAlign w:val="bottom"/>
            <w:tcBorders>
              <w:top w:val="single" w:sz="8" w:color="CCEEFF"/>
            </w:tcBorders>
            <w:gridSpan w:val="30"/>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10.39+</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55">
              <w:r>
                <w:rPr>
                  <w:rFonts w:ascii="Arial" w:cs="Arial" w:eastAsia="Arial" w:hAnsi="Arial"/>
                  <w:sz w:val="14"/>
                  <w:szCs w:val="14"/>
                  <w:color w:val="0000FF"/>
                </w:rPr>
                <w:t>Form of 2015 Option Award Agreement of Lantheus Holdings, Inc.</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333-196998</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June 24, 2015</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3900" w:type="dxa"/>
            <w:vAlign w:val="bottom"/>
            <w:tcBorders>
              <w:top w:val="single" w:sz="8" w:color="0000FF"/>
            </w:tcBorders>
            <w:gridSpan w:val="18"/>
          </w:tcPr>
          <w:p>
            <w:pPr>
              <w:spacing w:after="0"/>
              <w:rPr>
                <w:sz w:val="7"/>
                <w:szCs w:val="7"/>
                <w:color w:val="auto"/>
              </w:rPr>
            </w:pPr>
          </w:p>
        </w:tc>
        <w:tc>
          <w:tcPr>
            <w:tcW w:w="5640" w:type="dxa"/>
            <w:vAlign w:val="bottom"/>
            <w:gridSpan w:val="37"/>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10.40+</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56">
              <w:r>
                <w:rPr>
                  <w:rFonts w:ascii="Arial" w:cs="Arial" w:eastAsia="Arial" w:hAnsi="Arial"/>
                  <w:sz w:val="14"/>
                  <w:szCs w:val="14"/>
                  <w:color w:val="0000FF"/>
                </w:rPr>
                <w:t>Form of Amendment to the Lantheus Holdings, Inc. 2013 Equity Incentive Plan.</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333-196998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0"/>
              </w:rPr>
              <w:t>June 24, 2015</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4380" w:type="dxa"/>
            <w:vAlign w:val="bottom"/>
            <w:tcBorders>
              <w:top w:val="single" w:sz="8" w:color="0000FF"/>
              <w:right w:val="single" w:sz="8" w:color="CCEEFF"/>
            </w:tcBorders>
            <w:gridSpan w:val="24"/>
            <w:shd w:val="clear" w:color="auto" w:fill="CCEEFF"/>
          </w:tcPr>
          <w:p>
            <w:pPr>
              <w:spacing w:after="0"/>
              <w:rPr>
                <w:sz w:val="7"/>
                <w:szCs w:val="7"/>
                <w:color w:val="auto"/>
              </w:rPr>
            </w:pPr>
          </w:p>
        </w:tc>
        <w:tc>
          <w:tcPr>
            <w:tcW w:w="180" w:type="dxa"/>
            <w:vAlign w:val="bottom"/>
            <w:tcBorders>
              <w:top w:val="single" w:sz="8" w:color="0000FF"/>
              <w:right w:val="single" w:sz="8" w:color="CCEEFF"/>
            </w:tcBorders>
            <w:shd w:val="clear" w:color="auto" w:fill="CCEEFF"/>
          </w:tcPr>
          <w:p>
            <w:pPr>
              <w:spacing w:after="0"/>
              <w:rPr>
                <w:sz w:val="7"/>
                <w:szCs w:val="7"/>
                <w:color w:val="auto"/>
              </w:rPr>
            </w:pPr>
          </w:p>
        </w:tc>
        <w:tc>
          <w:tcPr>
            <w:tcW w:w="100" w:type="dxa"/>
            <w:vAlign w:val="bottom"/>
            <w:tcBorders>
              <w:top w:val="single" w:sz="8" w:color="0000FF"/>
            </w:tcBorders>
            <w:gridSpan w:val="2"/>
            <w:shd w:val="clear" w:color="auto" w:fill="CCEEFF"/>
          </w:tcPr>
          <w:p>
            <w:pPr>
              <w:spacing w:after="0"/>
              <w:rPr>
                <w:sz w:val="7"/>
                <w:szCs w:val="7"/>
                <w:color w:val="auto"/>
              </w:rPr>
            </w:pPr>
          </w:p>
        </w:tc>
        <w:tc>
          <w:tcPr>
            <w:tcW w:w="4880" w:type="dxa"/>
            <w:vAlign w:val="bottom"/>
            <w:tcBorders>
              <w:top w:val="single" w:sz="8" w:color="CCEEFF"/>
            </w:tcBorders>
            <w:gridSpan w:val="28"/>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10.41+</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Amendment to the Lantheus Holdings, Inc. 2008 Equity Incentive Plan.</w:t>
              </w:r>
            </w:hyperlink>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333-196998</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June 24, 2015</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4660" w:type="dxa"/>
            <w:vAlign w:val="bottom"/>
            <w:tcBorders>
              <w:top w:val="single" w:sz="8" w:color="0000FF"/>
            </w:tcBorders>
            <w:gridSpan w:val="27"/>
          </w:tcPr>
          <w:p>
            <w:pPr>
              <w:spacing w:after="0"/>
              <w:rPr>
                <w:sz w:val="7"/>
                <w:szCs w:val="7"/>
                <w:color w:val="auto"/>
              </w:rPr>
            </w:pPr>
          </w:p>
        </w:tc>
        <w:tc>
          <w:tcPr>
            <w:tcW w:w="4880" w:type="dxa"/>
            <w:vAlign w:val="bottom"/>
            <w:gridSpan w:val="28"/>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10.42+</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Employment Agreement, effective March 16, 2015, by and</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333-169785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3"/>
              </w:rPr>
              <w:t>May 5, 2015</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780" w:type="dxa"/>
            <w:vAlign w:val="bottom"/>
            <w:tcBorders>
              <w:top w:val="single" w:sz="8" w:color="0000FF"/>
            </w:tcBorders>
            <w:gridSpan w:val="30"/>
            <w:shd w:val="clear" w:color="auto" w:fill="CCEEFF"/>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between Lantheus Medical Imaging, Inc. and Mary Anne Heino.</w:t>
              </w:r>
            </w:hyperlink>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gridSpan w:val="5"/>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3720" w:type="dxa"/>
            <w:vAlign w:val="bottom"/>
            <w:tcBorders>
              <w:top w:val="single" w:sz="8" w:color="0000FF"/>
            </w:tcBorders>
            <w:gridSpan w:val="14"/>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gridSpan w:val="10"/>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gridSpan w:val="3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10.47</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w w:val="97"/>
              </w:rPr>
            </w:pPr>
            <w:hyperlink r:id="rId59">
              <w:r>
                <w:rPr>
                  <w:rFonts w:ascii="Arial" w:cs="Arial" w:eastAsia="Arial" w:hAnsi="Arial"/>
                  <w:sz w:val="14"/>
                  <w:szCs w:val="14"/>
                  <w:color w:val="0000FF"/>
                  <w:w w:val="97"/>
                </w:rPr>
                <w:t>Second Amended and Restated Credit Agreement, dated as of June 30, 2015, among</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35"/>
          </w:tcPr>
          <w:p>
            <w:pPr>
              <w:spacing w:after="0" w:line="129" w:lineRule="exact"/>
              <w:rPr>
                <w:rFonts w:ascii="Arial" w:cs="Arial" w:eastAsia="Arial" w:hAnsi="Arial"/>
                <w:sz w:val="14"/>
                <w:szCs w:val="14"/>
                <w:color w:val="0000FF"/>
                <w:w w:val="92"/>
              </w:rPr>
            </w:pPr>
            <w:hyperlink r:id="rId59">
              <w:r>
                <w:rPr>
                  <w:rFonts w:ascii="Arial" w:cs="Arial" w:eastAsia="Arial" w:hAnsi="Arial"/>
                  <w:sz w:val="14"/>
                  <w:szCs w:val="14"/>
                  <w:color w:val="0000FF"/>
                  <w:w w:val="92"/>
                </w:rPr>
                <w:t>Lantheus Medical Imaging, Inc., as borrower, Wells Fargo Bank, National Association,</w:t>
              </w:r>
            </w:hyperlink>
          </w:p>
        </w:tc>
        <w:tc>
          <w:tcPr>
            <w:tcW w:w="4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5"/>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60" w:type="dxa"/>
            <w:vAlign w:val="bottom"/>
            <w:tcBorders>
              <w:bottom w:val="single" w:sz="8" w:color="0000FF"/>
            </w:tcBorders>
            <w:gridSpan w:val="27"/>
          </w:tcPr>
          <w:p>
            <w:pPr>
              <w:spacing w:after="0" w:line="129" w:lineRule="exact"/>
              <w:rPr>
                <w:rFonts w:ascii="Arial" w:cs="Arial" w:eastAsia="Arial" w:hAnsi="Arial"/>
                <w:sz w:val="14"/>
                <w:szCs w:val="14"/>
                <w:color w:val="0000FF"/>
                <w:w w:val="91"/>
              </w:rPr>
            </w:pPr>
            <w:hyperlink r:id="rId59">
              <w:r>
                <w:rPr>
                  <w:rFonts w:ascii="Arial" w:cs="Arial" w:eastAsia="Arial" w:hAnsi="Arial"/>
                  <w:sz w:val="14"/>
                  <w:szCs w:val="14"/>
                  <w:color w:val="0000FF"/>
                  <w:w w:val="91"/>
                </w:rPr>
                <w:t>as administrative agent and collateral agent, each of the lenders party thereto and</w:t>
              </w:r>
            </w:hyperlink>
          </w:p>
        </w:tc>
        <w:tc>
          <w:tcPr>
            <w:tcW w:w="36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5"/>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gridSpan w:val="47"/>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Lantheus Holdings, Inc. and Lantheus MI Real Estate, LLC, each as guarantors in</w:t>
              </w:r>
            </w:hyperlink>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respect thereto.</w:t>
              </w:r>
            </w:hyperlink>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66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10.49+</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60">
              <w:r>
                <w:rPr>
                  <w:rFonts w:ascii="Arial" w:cs="Arial" w:eastAsia="Arial" w:hAnsi="Arial"/>
                  <w:sz w:val="14"/>
                  <w:szCs w:val="14"/>
                  <w:color w:val="0000FF"/>
                </w:rPr>
                <w:t>Amendment, dated June 25, 2015, to the Amended and Restated Employment</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gridSpan w:val="5"/>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0" w:type="dxa"/>
            <w:vAlign w:val="bottom"/>
            <w:gridSpan w:val="47"/>
            <w:shd w:val="clear" w:color="auto" w:fill="CCEEFF"/>
          </w:tcPr>
          <w:p>
            <w:pPr>
              <w:spacing w:after="0" w:line="129" w:lineRule="exact"/>
              <w:rPr>
                <w:rFonts w:ascii="Arial" w:cs="Arial" w:eastAsia="Arial" w:hAnsi="Arial"/>
                <w:sz w:val="14"/>
                <w:szCs w:val="14"/>
                <w:color w:val="0000FF"/>
                <w:w w:val="97"/>
              </w:rPr>
            </w:pPr>
            <w:hyperlink r:id="rId60">
              <w:r>
                <w:rPr>
                  <w:rFonts w:ascii="Arial" w:cs="Arial" w:eastAsia="Arial" w:hAnsi="Arial"/>
                  <w:sz w:val="14"/>
                  <w:szCs w:val="14"/>
                  <w:color w:val="0000FF"/>
                  <w:w w:val="97"/>
                </w:rPr>
                <w:t>Agreement, effective March 16, 2015, by and between Lantheus Medical Imaging, Inc.</w:t>
              </w:r>
            </w:hyperlink>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040" w:type="dxa"/>
            <w:vAlign w:val="bottom"/>
            <w:tcBorders>
              <w:top w:val="single" w:sz="8" w:color="0000FF"/>
            </w:tcBorders>
            <w:gridSpan w:val="42"/>
            <w:shd w:val="clear" w:color="auto" w:fill="CCEEFF"/>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and Mary Anne Heino.</w:t>
              </w:r>
            </w:hyperlink>
          </w:p>
        </w:tc>
        <w:tc>
          <w:tcPr>
            <w:tcW w:w="160" w:type="dxa"/>
            <w:vAlign w:val="bottom"/>
            <w:tcBorders>
              <w:top w:val="single" w:sz="8" w:color="CCEEFF"/>
            </w:tcBorders>
            <w:gridSpan w:val="5"/>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320" w:type="dxa"/>
            <w:vAlign w:val="bottom"/>
            <w:tcBorders>
              <w:top w:val="single" w:sz="8" w:color="0000FF"/>
            </w:tcBorders>
            <w:gridSpan w:val="2"/>
            <w:shd w:val="clear" w:color="auto" w:fill="CCEEFF"/>
          </w:tcPr>
          <w:p>
            <w:pPr>
              <w:spacing w:after="0" w:line="20" w:lineRule="exact"/>
              <w:rPr>
                <w:sz w:val="1"/>
                <w:szCs w:val="1"/>
                <w:color w:val="auto"/>
              </w:rPr>
            </w:pPr>
          </w:p>
        </w:tc>
        <w:tc>
          <w:tcPr>
            <w:tcW w:w="3060" w:type="dxa"/>
            <w:vAlign w:val="bottom"/>
            <w:tcBorders>
              <w:top w:val="single" w:sz="8" w:color="CCEEFF"/>
              <w:right w:val="single" w:sz="8" w:color="CCEEFF"/>
            </w:tcBorders>
            <w:gridSpan w:val="22"/>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gridSpan w:val="3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10.50+</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w w:val="99"/>
              </w:rPr>
            </w:pPr>
            <w:hyperlink r:id="rId61">
              <w:r>
                <w:rPr>
                  <w:rFonts w:ascii="Arial" w:cs="Arial" w:eastAsia="Arial" w:hAnsi="Arial"/>
                  <w:sz w:val="14"/>
                  <w:szCs w:val="14"/>
                  <w:color w:val="0000FF"/>
                  <w:w w:val="99"/>
                </w:rPr>
                <w:t>Amendment, dated June 25, 2015, to the Employment Agreement, dated August 12,</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2013, by and between Lantheus Medical Imaging, Inc. and Cesare Orlandi.</w:t>
              </w:r>
            </w:hyperlink>
          </w:p>
        </w:tc>
        <w:tc>
          <w:tcPr>
            <w:tcW w:w="20" w:type="dxa"/>
            <w:vAlign w:val="bottom"/>
          </w:tcPr>
          <w:p>
            <w:pPr>
              <w:spacing w:after="0"/>
              <w:rPr>
                <w:sz w:val="11"/>
                <w:szCs w:val="11"/>
                <w:color w:val="auto"/>
              </w:rPr>
            </w:pPr>
          </w:p>
        </w:tc>
        <w:tc>
          <w:tcPr>
            <w:tcW w:w="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4320" w:type="dxa"/>
            <w:vAlign w:val="bottom"/>
            <w:tcBorders>
              <w:top w:val="single" w:sz="8" w:color="0000FF"/>
            </w:tcBorders>
            <w:gridSpan w:val="23"/>
          </w:tcPr>
          <w:p>
            <w:pPr>
              <w:spacing w:after="0" w:line="20" w:lineRule="exact"/>
              <w:rPr>
                <w:sz w:val="1"/>
                <w:szCs w:val="1"/>
                <w:color w:val="auto"/>
              </w:rPr>
            </w:pPr>
          </w:p>
        </w:tc>
        <w:tc>
          <w:tcPr>
            <w:tcW w:w="522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10.52+</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62">
              <w:r>
                <w:rPr>
                  <w:rFonts w:ascii="Arial" w:cs="Arial" w:eastAsia="Arial" w:hAnsi="Arial"/>
                  <w:sz w:val="14"/>
                  <w:szCs w:val="14"/>
                  <w:color w:val="0000FF"/>
                </w:rPr>
                <w:t>Amendment to Employment Agreement, dated August 31, 2015, by and between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3"/>
              </w:rPr>
              <w:t>November 4, 2015</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660" w:type="dxa"/>
            <w:vAlign w:val="bottom"/>
            <w:tcBorders>
              <w:top w:val="single" w:sz="8" w:color="0000FF"/>
            </w:tcBorders>
            <w:gridSpan w:val="27"/>
            <w:shd w:val="clear" w:color="auto" w:fill="CCEEFF"/>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Lantheus Medical Imaging, Inc. and Mary Anne Heino.</w:t>
              </w:r>
            </w:hyperlink>
          </w:p>
        </w:tc>
        <w:tc>
          <w:tcPr>
            <w:tcW w:w="220" w:type="dxa"/>
            <w:vAlign w:val="bottom"/>
            <w:tcBorders>
              <w:top w:val="single" w:sz="8" w:color="CCEEFF"/>
            </w:tcBorders>
            <w:gridSpan w:val="6"/>
            <w:shd w:val="clear" w:color="auto" w:fill="CCEEFF"/>
          </w:tcPr>
          <w:p>
            <w:pPr>
              <w:spacing w:after="0"/>
              <w:rPr>
                <w:sz w:val="11"/>
                <w:szCs w:val="11"/>
                <w:color w:val="auto"/>
              </w:rPr>
            </w:pPr>
          </w:p>
        </w:tc>
        <w:tc>
          <w:tcPr>
            <w:tcW w:w="80" w:type="dxa"/>
            <w:vAlign w:val="bottom"/>
            <w:tcBorders>
              <w:top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7"/>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3200" w:type="dxa"/>
            <w:vAlign w:val="bottom"/>
            <w:tcBorders>
              <w:top w:val="single" w:sz="8" w:color="0000FF"/>
            </w:tcBorders>
            <w:gridSpan w:val="11"/>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gridSpan w:val="13"/>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gridSpan w:val="3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10.53†</w:t>
            </w:r>
          </w:p>
        </w:tc>
        <w:tc>
          <w:tcPr>
            <w:tcW w:w="5200" w:type="dxa"/>
            <w:vAlign w:val="bottom"/>
            <w:gridSpan w:val="47"/>
          </w:tcPr>
          <w:p>
            <w:pPr>
              <w:spacing w:after="0"/>
              <w:rPr>
                <w:rFonts w:ascii="Arial" w:cs="Arial" w:eastAsia="Arial" w:hAnsi="Arial"/>
                <w:sz w:val="14"/>
                <w:szCs w:val="14"/>
                <w:color w:val="0000FF"/>
              </w:rPr>
            </w:pPr>
            <w:hyperlink r:id="rId63">
              <w:r>
                <w:rPr>
                  <w:rFonts w:ascii="Arial" w:cs="Arial" w:eastAsia="Arial" w:hAnsi="Arial"/>
                  <w:sz w:val="14"/>
                  <w:szCs w:val="14"/>
                  <w:color w:val="0000FF"/>
                </w:rPr>
                <w:t>Term Sheet for Supply Agreement, dated November 19, 2015, by and between</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3"/>
              </w:rPr>
              <w:t>March 2, 2016</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6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Lantheus Medical Imaging, Inc. and Cardinal Health 414, LLC.</w:t>
              </w:r>
            </w:hyperlink>
          </w:p>
        </w:tc>
        <w:tc>
          <w:tcPr>
            <w:tcW w:w="320" w:type="dxa"/>
            <w:vAlign w:val="bottom"/>
            <w:gridSpan w:val="8"/>
          </w:tcPr>
          <w:p>
            <w:pPr>
              <w:spacing w:after="0"/>
              <w:rPr>
                <w:sz w:val="11"/>
                <w:szCs w:val="11"/>
                <w:color w:val="auto"/>
              </w:rPr>
            </w:pPr>
          </w:p>
        </w:tc>
        <w:tc>
          <w:tcPr>
            <w:tcW w:w="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3660" w:type="dxa"/>
            <w:vAlign w:val="bottom"/>
            <w:tcBorders>
              <w:top w:val="single" w:sz="8" w:color="0000FF"/>
            </w:tcBorders>
            <w:gridSpan w:val="13"/>
          </w:tcPr>
          <w:p>
            <w:pPr>
              <w:spacing w:after="0" w:line="20" w:lineRule="exact"/>
              <w:rPr>
                <w:sz w:val="1"/>
                <w:szCs w:val="1"/>
                <w:color w:val="auto"/>
              </w:rPr>
            </w:pPr>
          </w:p>
        </w:tc>
        <w:tc>
          <w:tcPr>
            <w:tcW w:w="5880" w:type="dxa"/>
            <w:vAlign w:val="bottom"/>
            <w:gridSpan w:val="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10.57+</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64">
              <w:r>
                <w:rPr>
                  <w:rFonts w:ascii="Arial" w:cs="Arial" w:eastAsia="Arial" w:hAnsi="Arial"/>
                  <w:sz w:val="14"/>
                  <w:szCs w:val="14"/>
                  <w:color w:val="0000FF"/>
                </w:rPr>
                <w:t>Amendment to Lantheus Holdings, Inc. 2015 Equity Incentive Plan.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7"/>
              </w:rPr>
              <w:t>April 28, 2016</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920" w:type="dxa"/>
            <w:vAlign w:val="bottom"/>
            <w:tcBorders>
              <w:top w:val="single" w:sz="8" w:color="0000FF"/>
            </w:tcBorders>
            <w:gridSpan w:val="19"/>
            <w:shd w:val="clear" w:color="auto" w:fill="CCEEFF"/>
          </w:tcPr>
          <w:p>
            <w:pPr>
              <w:spacing w:after="0"/>
              <w:rPr>
                <w:sz w:val="7"/>
                <w:szCs w:val="7"/>
                <w:color w:val="auto"/>
              </w:rPr>
            </w:pPr>
          </w:p>
        </w:tc>
        <w:tc>
          <w:tcPr>
            <w:tcW w:w="460" w:type="dxa"/>
            <w:vAlign w:val="bottom"/>
            <w:tcBorders>
              <w:top w:val="single" w:sz="8" w:color="CCEEFF"/>
              <w:right w:val="single" w:sz="8" w:color="CCEEFF"/>
            </w:tcBorders>
            <w:gridSpan w:val="5"/>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980" w:type="dxa"/>
            <w:vAlign w:val="bottom"/>
            <w:tcBorders>
              <w:top w:val="single" w:sz="8" w:color="CCEEFF"/>
            </w:tcBorders>
            <w:gridSpan w:val="30"/>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10.58†</w:t>
            </w:r>
          </w:p>
        </w:tc>
        <w:tc>
          <w:tcPr>
            <w:tcW w:w="5200" w:type="dxa"/>
            <w:vAlign w:val="bottom"/>
            <w:gridSpan w:val="47"/>
          </w:tcPr>
          <w:p>
            <w:pPr>
              <w:spacing w:after="0"/>
              <w:rPr>
                <w:rFonts w:ascii="Arial" w:cs="Arial" w:eastAsia="Arial" w:hAnsi="Arial"/>
                <w:sz w:val="14"/>
                <w:szCs w:val="14"/>
                <w:color w:val="0000FF"/>
                <w:w w:val="99"/>
              </w:rPr>
            </w:pPr>
            <w:hyperlink r:id="rId65">
              <w:r>
                <w:rPr>
                  <w:rFonts w:ascii="Arial" w:cs="Arial" w:eastAsia="Arial" w:hAnsi="Arial"/>
                  <w:sz w:val="14"/>
                  <w:szCs w:val="14"/>
                  <w:color w:val="0000FF"/>
                  <w:w w:val="99"/>
                </w:rPr>
                <w:t>Second Amendment, effective September 2, 2016, to the Manufacturing and Supply</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3"/>
              </w:rPr>
              <w:t>November 1, 2016</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80" w:type="dxa"/>
            <w:vAlign w:val="bottom"/>
            <w:tcBorders>
              <w:top w:val="single" w:sz="8" w:color="0000FF"/>
            </w:tcBorders>
            <w:gridSpan w:val="33"/>
          </w:tcPr>
          <w:p>
            <w:pPr>
              <w:spacing w:after="0" w:line="129" w:lineRule="exact"/>
              <w:rPr>
                <w:rFonts w:ascii="Arial" w:cs="Arial" w:eastAsia="Arial" w:hAnsi="Arial"/>
                <w:sz w:val="14"/>
                <w:szCs w:val="14"/>
                <w:color w:val="0000FF"/>
                <w:w w:val="98"/>
              </w:rPr>
            </w:pPr>
            <w:hyperlink r:id="rId65">
              <w:r>
                <w:rPr>
                  <w:rFonts w:ascii="Arial" w:cs="Arial" w:eastAsia="Arial" w:hAnsi="Arial"/>
                  <w:sz w:val="14"/>
                  <w:szCs w:val="14"/>
                  <w:color w:val="0000FF"/>
                  <w:w w:val="98"/>
                </w:rPr>
                <w:t>Agreement, dated as of February 1, 2012 and amended on May 3, 2012, by and</w:t>
              </w:r>
            </w:hyperlink>
          </w:p>
        </w:tc>
        <w:tc>
          <w:tcPr>
            <w:tcW w:w="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6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65">
              <w:r>
                <w:rPr>
                  <w:rFonts w:ascii="Arial" w:cs="Arial" w:eastAsia="Arial" w:hAnsi="Arial"/>
                  <w:sz w:val="14"/>
                  <w:szCs w:val="14"/>
                  <w:color w:val="0000FF"/>
                </w:rPr>
                <w:t>between Lantheus Medical Imaging, Inc. and Jubilant HollisterStier LLC.</w:t>
              </w:r>
            </w:hyperlink>
          </w:p>
        </w:tc>
        <w:tc>
          <w:tcPr>
            <w:tcW w:w="400" w:type="dxa"/>
            <w:vAlign w:val="bottom"/>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gridSpan w:val="2"/>
          </w:tcPr>
          <w:p>
            <w:pPr>
              <w:spacing w:after="0" w:line="20" w:lineRule="exact"/>
              <w:rPr>
                <w:sz w:val="1"/>
                <w:szCs w:val="1"/>
                <w:color w:val="auto"/>
              </w:rPr>
            </w:pPr>
          </w:p>
        </w:tc>
        <w:tc>
          <w:tcPr>
            <w:tcW w:w="4240" w:type="dxa"/>
            <w:vAlign w:val="bottom"/>
            <w:tcBorders>
              <w:top w:val="single" w:sz="8" w:color="0000FF"/>
            </w:tcBorders>
            <w:gridSpan w:val="21"/>
          </w:tcPr>
          <w:p>
            <w:pPr>
              <w:spacing w:after="0" w:line="20" w:lineRule="exact"/>
              <w:rPr>
                <w:sz w:val="1"/>
                <w:szCs w:val="1"/>
                <w:color w:val="auto"/>
              </w:rPr>
            </w:pPr>
          </w:p>
        </w:tc>
        <w:tc>
          <w:tcPr>
            <w:tcW w:w="530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10.59+</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rPr>
            </w:pPr>
            <w:hyperlink r:id="rId66">
              <w:r>
                <w:rPr>
                  <w:rFonts w:ascii="Arial" w:cs="Arial" w:eastAsia="Arial" w:hAnsi="Arial"/>
                  <w:sz w:val="14"/>
                  <w:szCs w:val="14"/>
                  <w:color w:val="0000FF"/>
                </w:rPr>
                <w:t>Second Amendment to Lantheus Holdings, Inc. 2015 Equity Incentive Plan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7"/>
              </w:rPr>
              <w:t>April 28, 2017</w:t>
            </w:r>
          </w:p>
        </w:tc>
        <w:tc>
          <w:tcPr>
            <w:tcW w:w="0" w:type="dxa"/>
            <w:vAlign w:val="bottom"/>
          </w:tcPr>
          <w:p>
            <w:pPr>
              <w:spacing w:after="0"/>
              <w:rPr>
                <w:sz w:val="1"/>
                <w:szCs w:val="1"/>
                <w:color w:val="auto"/>
              </w:rPr>
            </w:pPr>
          </w:p>
        </w:tc>
      </w:tr>
      <w:tr>
        <w:trPr>
          <w:trHeight w:val="88"/>
        </w:trPr>
        <w:tc>
          <w:tcPr>
            <w:tcW w:w="1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4380" w:type="dxa"/>
            <w:vAlign w:val="bottom"/>
            <w:tcBorders>
              <w:top w:val="single" w:sz="8" w:color="0000FF"/>
              <w:right w:val="single" w:sz="8" w:color="CCEEFF"/>
            </w:tcBorders>
            <w:gridSpan w:val="24"/>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4980" w:type="dxa"/>
            <w:vAlign w:val="bottom"/>
            <w:tcBorders>
              <w:top w:val="single" w:sz="8" w:color="CCEEFF"/>
            </w:tcBorders>
            <w:gridSpan w:val="30"/>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10.60+</w:t>
            </w:r>
          </w:p>
        </w:tc>
        <w:tc>
          <w:tcPr>
            <w:tcW w:w="140" w:type="dxa"/>
            <w:vAlign w:val="bottom"/>
          </w:tcPr>
          <w:p>
            <w:pPr>
              <w:spacing w:after="0"/>
              <w:rPr>
                <w:sz w:val="14"/>
                <w:szCs w:val="14"/>
                <w:color w:val="auto"/>
              </w:rPr>
            </w:pPr>
          </w:p>
        </w:tc>
        <w:tc>
          <w:tcPr>
            <w:tcW w:w="5200" w:type="dxa"/>
            <w:vAlign w:val="bottom"/>
            <w:gridSpan w:val="47"/>
          </w:tcPr>
          <w:p>
            <w:pPr>
              <w:spacing w:after="0"/>
              <w:rPr>
                <w:rFonts w:ascii="Arial" w:cs="Arial" w:eastAsia="Arial" w:hAnsi="Arial"/>
                <w:sz w:val="14"/>
                <w:szCs w:val="14"/>
                <w:color w:val="0000FF"/>
              </w:rPr>
            </w:pPr>
            <w:hyperlink r:id="rId67">
              <w:r>
                <w:rPr>
                  <w:rFonts w:ascii="Arial" w:cs="Arial" w:eastAsia="Arial" w:hAnsi="Arial"/>
                  <w:sz w:val="14"/>
                  <w:szCs w:val="14"/>
                  <w:color w:val="0000FF"/>
                </w:rPr>
                <w:t>Lantheus Holdings, Inc. 2017 Employee Stock Purchase Plan</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7"/>
              </w:rPr>
              <w:t>April 28, 2017</w:t>
            </w:r>
          </w:p>
        </w:tc>
        <w:tc>
          <w:tcPr>
            <w:tcW w:w="0" w:type="dxa"/>
            <w:vAlign w:val="bottom"/>
          </w:tcPr>
          <w:p>
            <w:pPr>
              <w:spacing w:after="0"/>
              <w:rPr>
                <w:sz w:val="1"/>
                <w:szCs w:val="1"/>
                <w:color w:val="auto"/>
              </w:rPr>
            </w:pPr>
          </w:p>
        </w:tc>
      </w:tr>
      <w:tr>
        <w:trPr>
          <w:trHeight w:val="88"/>
        </w:trPr>
        <w:tc>
          <w:tcPr>
            <w:tcW w:w="1100" w:type="dxa"/>
            <w:vAlign w:val="bottom"/>
            <w:gridSpan w:val="2"/>
          </w:tcPr>
          <w:p>
            <w:pPr>
              <w:spacing w:after="0"/>
              <w:rPr>
                <w:sz w:val="7"/>
                <w:szCs w:val="7"/>
                <w:color w:val="auto"/>
              </w:rPr>
            </w:pPr>
          </w:p>
        </w:tc>
        <w:tc>
          <w:tcPr>
            <w:tcW w:w="3540" w:type="dxa"/>
            <w:vAlign w:val="bottom"/>
            <w:tcBorders>
              <w:top w:val="single" w:sz="8" w:color="0000FF"/>
            </w:tcBorders>
            <w:gridSpan w:val="12"/>
          </w:tcPr>
          <w:p>
            <w:pPr>
              <w:spacing w:after="0"/>
              <w:rPr>
                <w:sz w:val="7"/>
                <w:szCs w:val="7"/>
                <w:color w:val="auto"/>
              </w:rPr>
            </w:pPr>
          </w:p>
        </w:tc>
        <w:tc>
          <w:tcPr>
            <w:tcW w:w="6000" w:type="dxa"/>
            <w:vAlign w:val="bottom"/>
            <w:gridSpan w:val="43"/>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10.61</w:t>
            </w:r>
          </w:p>
        </w:tc>
        <w:tc>
          <w:tcPr>
            <w:tcW w:w="140" w:type="dxa"/>
            <w:vAlign w:val="bottom"/>
            <w:tcBorders>
              <w:right w:val="single" w:sz="8" w:color="CCEEFF"/>
            </w:tcBorders>
            <w:shd w:val="clear" w:color="auto" w:fill="CCEEFF"/>
          </w:tcPr>
          <w:p>
            <w:pPr>
              <w:spacing w:after="0"/>
              <w:rPr>
                <w:sz w:val="14"/>
                <w:szCs w:val="14"/>
                <w:color w:val="auto"/>
              </w:rPr>
            </w:pPr>
          </w:p>
        </w:tc>
        <w:tc>
          <w:tcPr>
            <w:tcW w:w="5200" w:type="dxa"/>
            <w:vAlign w:val="bottom"/>
            <w:gridSpan w:val="47"/>
            <w:shd w:val="clear" w:color="auto" w:fill="CCEEFF"/>
          </w:tcPr>
          <w:p>
            <w:pPr>
              <w:spacing w:after="0"/>
              <w:rPr>
                <w:rFonts w:ascii="Arial" w:cs="Arial" w:eastAsia="Arial" w:hAnsi="Arial"/>
                <w:sz w:val="14"/>
                <w:szCs w:val="14"/>
                <w:color w:val="0000FF"/>
                <w:w w:val="96"/>
              </w:rPr>
            </w:pPr>
            <w:hyperlink r:id="rId68">
              <w:r>
                <w:rPr>
                  <w:rFonts w:ascii="Arial" w:cs="Arial" w:eastAsia="Arial" w:hAnsi="Arial"/>
                  <w:sz w:val="14"/>
                  <w:szCs w:val="14"/>
                  <w:color w:val="0000FF"/>
                  <w:w w:val="96"/>
                </w:rPr>
                <w:t>Amended and Restated Credit Agreement, dated as of March 30, 2017, by and among</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3"/>
              </w:rPr>
              <w:t>May 2, 2017</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000" w:type="dxa"/>
            <w:vAlign w:val="bottom"/>
            <w:tcBorders>
              <w:top w:val="single" w:sz="8" w:color="0000FF"/>
            </w:tcBorders>
            <w:gridSpan w:val="40"/>
            <w:shd w:val="clear" w:color="auto" w:fill="CCEEFF"/>
          </w:tcPr>
          <w:p>
            <w:pPr>
              <w:spacing w:after="0" w:line="129" w:lineRule="exact"/>
              <w:rPr>
                <w:rFonts w:ascii="Arial" w:cs="Arial" w:eastAsia="Arial" w:hAnsi="Arial"/>
                <w:sz w:val="14"/>
                <w:szCs w:val="14"/>
                <w:color w:val="0000FF"/>
                <w:w w:val="93"/>
              </w:rPr>
            </w:pPr>
            <w:hyperlink r:id="rId68">
              <w:r>
                <w:rPr>
                  <w:rFonts w:ascii="Arial" w:cs="Arial" w:eastAsia="Arial" w:hAnsi="Arial"/>
                  <w:sz w:val="14"/>
                  <w:szCs w:val="14"/>
                  <w:color w:val="0000FF"/>
                  <w:w w:val="93"/>
                </w:rPr>
                <w:t>JPMorgan Chase Bank, N.A., as administrative agent and collateral agent, each of the</w:t>
              </w:r>
            </w:hyperlink>
          </w:p>
        </w:tc>
        <w:tc>
          <w:tcPr>
            <w:tcW w:w="200" w:type="dxa"/>
            <w:vAlign w:val="bottom"/>
            <w:tcBorders>
              <w:top w:val="single" w:sz="8" w:color="CCEEFF"/>
            </w:tcBorders>
            <w:gridSpan w:val="7"/>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980" w:type="dxa"/>
            <w:vAlign w:val="bottom"/>
            <w:tcBorders>
              <w:top w:val="single" w:sz="8" w:color="0000FF"/>
            </w:tcBorders>
            <w:gridSpan w:val="39"/>
            <w:shd w:val="clear" w:color="auto" w:fill="CCEEFF"/>
          </w:tcPr>
          <w:p>
            <w:pPr>
              <w:spacing w:after="0" w:line="129" w:lineRule="exact"/>
              <w:rPr>
                <w:rFonts w:ascii="Arial" w:cs="Arial" w:eastAsia="Arial" w:hAnsi="Arial"/>
                <w:sz w:val="14"/>
                <w:szCs w:val="14"/>
                <w:color w:val="0000FF"/>
                <w:w w:val="94"/>
              </w:rPr>
            </w:pPr>
            <w:hyperlink r:id="rId68">
              <w:r>
                <w:rPr>
                  <w:rFonts w:ascii="Arial" w:cs="Arial" w:eastAsia="Arial" w:hAnsi="Arial"/>
                  <w:sz w:val="14"/>
                  <w:szCs w:val="14"/>
                  <w:color w:val="0000FF"/>
                  <w:w w:val="94"/>
                </w:rPr>
                <w:t>lenders from time to time party thereto, Lantheus Medical Imaging, Inc., as borrower,</w:t>
              </w:r>
            </w:hyperlink>
          </w:p>
        </w:tc>
        <w:tc>
          <w:tcPr>
            <w:tcW w:w="220" w:type="dxa"/>
            <w:vAlign w:val="bottom"/>
            <w:tcBorders>
              <w:top w:val="single" w:sz="8" w:color="CCEEFF"/>
            </w:tcBorders>
            <w:gridSpan w:val="8"/>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960" w:type="dxa"/>
            <w:vAlign w:val="bottom"/>
            <w:tcBorders>
              <w:top w:val="single" w:sz="8" w:color="0000FF"/>
            </w:tcBorders>
            <w:gridSpan w:val="38"/>
            <w:shd w:val="clear" w:color="auto" w:fill="CCEEFF"/>
          </w:tcPr>
          <w:p>
            <w:pPr>
              <w:spacing w:after="0" w:line="129" w:lineRule="exact"/>
              <w:rPr>
                <w:rFonts w:ascii="Arial" w:cs="Arial" w:eastAsia="Arial" w:hAnsi="Arial"/>
                <w:sz w:val="14"/>
                <w:szCs w:val="14"/>
                <w:color w:val="0000FF"/>
              </w:rPr>
            </w:pPr>
            <w:hyperlink r:id="rId68">
              <w:r>
                <w:rPr>
                  <w:rFonts w:ascii="Arial" w:cs="Arial" w:eastAsia="Arial" w:hAnsi="Arial"/>
                  <w:sz w:val="14"/>
                  <w:szCs w:val="14"/>
                  <w:color w:val="0000FF"/>
                </w:rPr>
                <w:t>and Lantheus Holdings, Inc.</w:t>
              </w:r>
            </w:hyperlink>
          </w:p>
        </w:tc>
        <w:tc>
          <w:tcPr>
            <w:tcW w:w="240" w:type="dxa"/>
            <w:vAlign w:val="bottom"/>
            <w:tcBorders>
              <w:top w:val="single" w:sz="8" w:color="CCEEFF"/>
            </w:tcBorders>
            <w:gridSpan w:val="9"/>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620" w:type="dxa"/>
            <w:vAlign w:val="bottom"/>
            <w:tcBorders>
              <w:top w:val="single" w:sz="8" w:color="0000FF"/>
            </w:tcBorders>
            <w:gridSpan w:val="3"/>
            <w:shd w:val="clear" w:color="auto" w:fill="CCEEFF"/>
          </w:tcPr>
          <w:p>
            <w:pPr>
              <w:spacing w:after="0" w:line="20" w:lineRule="exact"/>
              <w:rPr>
                <w:sz w:val="1"/>
                <w:szCs w:val="1"/>
                <w:color w:val="auto"/>
              </w:rPr>
            </w:pPr>
          </w:p>
        </w:tc>
        <w:tc>
          <w:tcPr>
            <w:tcW w:w="2760" w:type="dxa"/>
            <w:vAlign w:val="bottom"/>
            <w:tcBorders>
              <w:top w:val="single" w:sz="8" w:color="CCEEFF"/>
              <w:right w:val="single" w:sz="8" w:color="CCEEFF"/>
            </w:tcBorders>
            <w:gridSpan w:val="21"/>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gridSpan w:val="3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240" w:top="175" w:right="6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3"/>
              </w:rPr>
              <w:t>Incorporated by Reference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20" w:type="dxa"/>
            <w:vAlign w:val="bottom"/>
            <w:gridSpan w:val="23"/>
            <w:vMerge w:val="restart"/>
          </w:tcPr>
          <w:p>
            <w:pPr>
              <w:ind w:left="1160"/>
              <w:spacing w:after="0"/>
              <w:rPr>
                <w:sz w:val="20"/>
                <w:szCs w:val="20"/>
                <w:color w:val="auto"/>
              </w:rPr>
            </w:pPr>
            <w:r>
              <w:rPr>
                <w:rFonts w:ascii="Arial" w:cs="Arial" w:eastAsia="Arial" w:hAnsi="Arial"/>
                <w:sz w:val="14"/>
                <w:szCs w:val="14"/>
                <w:b w:val="1"/>
                <w:bCs w:val="1"/>
                <w:color w:val="auto"/>
              </w:rPr>
              <w:t>Description of Exhibits</w:t>
            </w:r>
          </w:p>
        </w:tc>
        <w:tc>
          <w:tcPr>
            <w:tcW w:w="12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00" w:type="dxa"/>
            <w:vAlign w:val="bottom"/>
            <w:vMerge w:val="restart"/>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32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2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10.62†</w:t>
            </w: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w w:val="96"/>
              </w:rPr>
            </w:pPr>
            <w:hyperlink r:id="rId69">
              <w:r>
                <w:rPr>
                  <w:rFonts w:ascii="Arial" w:cs="Arial" w:eastAsia="Arial" w:hAnsi="Arial"/>
                  <w:sz w:val="14"/>
                  <w:szCs w:val="14"/>
                  <w:color w:val="0000FF"/>
                  <w:w w:val="96"/>
                </w:rPr>
                <w:t>Collaboration and License Agreement by and between Lantheus Medical Imaging, Inc.</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08"/>
              <w:spacing w:after="0"/>
              <w:rPr>
                <w:sz w:val="20"/>
                <w:szCs w:val="20"/>
                <w:color w:val="auto"/>
              </w:rPr>
            </w:pPr>
            <w:r>
              <w:rPr>
                <w:rFonts w:ascii="Arial" w:cs="Arial" w:eastAsia="Arial" w:hAnsi="Arial"/>
                <w:sz w:val="14"/>
                <w:szCs w:val="14"/>
                <w:color w:val="auto"/>
                <w:w w:val="93"/>
              </w:rPr>
              <w:t>August 1, 2017</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2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69">
              <w:r>
                <w:rPr>
                  <w:rFonts w:ascii="Arial" w:cs="Arial" w:eastAsia="Arial" w:hAnsi="Arial"/>
                  <w:sz w:val="14"/>
                  <w:szCs w:val="14"/>
                  <w:color w:val="0000FF"/>
                </w:rPr>
                <w:t>and GE Healthcare Limited dated April 25, 2017.</w:t>
              </w:r>
            </w:hyperlink>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10.63†</w:t>
            </w: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w w:val="95"/>
              </w:rPr>
            </w:pPr>
            <w:hyperlink r:id="rId70">
              <w:r>
                <w:rPr>
                  <w:rFonts w:ascii="Arial" w:cs="Arial" w:eastAsia="Arial" w:hAnsi="Arial"/>
                  <w:sz w:val="14"/>
                  <w:szCs w:val="14"/>
                  <w:color w:val="0000FF"/>
                  <w:w w:val="95"/>
                </w:rPr>
                <w:t>Amended and Restated Supply Agreement, dated as of April 25, 2017, by and between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3"/>
              </w:rPr>
              <w:t>August 1, 2017</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000" w:type="dxa"/>
            <w:vAlign w:val="bottom"/>
            <w:tcBorders>
              <w:top w:val="single" w:sz="8" w:color="0000FF"/>
            </w:tcBorders>
            <w:gridSpan w:val="22"/>
            <w:shd w:val="clear" w:color="auto" w:fill="CCEEFF"/>
          </w:tcPr>
          <w:p>
            <w:pPr>
              <w:spacing w:after="0" w:line="129" w:lineRule="exact"/>
              <w:rPr>
                <w:rFonts w:ascii="Arial" w:cs="Arial" w:eastAsia="Arial" w:hAnsi="Arial"/>
                <w:sz w:val="14"/>
                <w:szCs w:val="14"/>
                <w:color w:val="0000FF"/>
              </w:rPr>
            </w:pPr>
            <w:hyperlink r:id="rId70">
              <w:r>
                <w:rPr>
                  <w:rFonts w:ascii="Arial" w:cs="Arial" w:eastAsia="Arial" w:hAnsi="Arial"/>
                  <w:sz w:val="14"/>
                  <w:szCs w:val="14"/>
                  <w:color w:val="0000FF"/>
                </w:rPr>
                <w:t>Lantheus Medical Imaging, Inc. and Medi-Physics Inc., doing business as GE</w:t>
              </w:r>
            </w:hyperlink>
          </w:p>
        </w:tc>
        <w:tc>
          <w:tcPr>
            <w:tcW w:w="200" w:type="dxa"/>
            <w:vAlign w:val="bottom"/>
            <w:tcBorders>
              <w:top w:val="single" w:sz="8" w:color="CCEEFF"/>
            </w:tcBorders>
            <w:gridSpan w:val="3"/>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0000FF"/>
              <w:bottom w:val="single" w:sz="8" w:color="0000FF"/>
            </w:tcBorders>
            <w:shd w:val="clear" w:color="auto" w:fill="CCEEFF"/>
          </w:tcPr>
          <w:p>
            <w:pPr>
              <w:spacing w:after="0" w:line="129" w:lineRule="exact"/>
              <w:rPr>
                <w:rFonts w:ascii="Arial" w:cs="Arial" w:eastAsia="Arial" w:hAnsi="Arial"/>
                <w:sz w:val="14"/>
                <w:szCs w:val="14"/>
                <w:color w:val="0000FF"/>
                <w:w w:val="89"/>
              </w:rPr>
            </w:pPr>
            <w:hyperlink r:id="rId70">
              <w:r>
                <w:rPr>
                  <w:rFonts w:ascii="Arial" w:cs="Arial" w:eastAsia="Arial" w:hAnsi="Arial"/>
                  <w:sz w:val="14"/>
                  <w:szCs w:val="14"/>
                  <w:color w:val="0000FF"/>
                  <w:w w:val="89"/>
                </w:rPr>
                <w:t>Healthcare.</w:t>
              </w:r>
            </w:hyperlink>
          </w:p>
        </w:tc>
        <w:tc>
          <w:tcPr>
            <w:tcW w:w="3820" w:type="dxa"/>
            <w:vAlign w:val="bottom"/>
            <w:tcBorders>
              <w:top w:val="single" w:sz="8" w:color="0000FF"/>
              <w:bottom w:val="single" w:sz="8" w:color="CCEEFF"/>
            </w:tcBorders>
            <w:gridSpan w:val="11"/>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10.64†</w:t>
            </w: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rPr>
            </w:pPr>
            <w:hyperlink r:id="rId71">
              <w:r>
                <w:rPr>
                  <w:rFonts w:ascii="Arial" w:cs="Arial" w:eastAsia="Arial" w:hAnsi="Arial"/>
                  <w:sz w:val="14"/>
                  <w:szCs w:val="14"/>
                  <w:color w:val="0000FF"/>
                </w:rPr>
                <w:t>Term Sheet for Supply Agreement, dated as of October 30, 2017, by and between</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1"/>
              </w:rPr>
              <w:t>10.64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08"/>
              <w:spacing w:after="0"/>
              <w:rPr>
                <w:sz w:val="20"/>
                <w:szCs w:val="20"/>
                <w:color w:val="auto"/>
              </w:rPr>
            </w:pPr>
            <w:r>
              <w:rPr>
                <w:rFonts w:ascii="Arial" w:cs="Arial" w:eastAsia="Arial" w:hAnsi="Arial"/>
                <w:sz w:val="14"/>
                <w:szCs w:val="14"/>
                <w:color w:val="auto"/>
                <w:w w:val="93"/>
              </w:rPr>
              <w:t>February 7, 2018</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0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71">
              <w:r>
                <w:rPr>
                  <w:rFonts w:ascii="Arial" w:cs="Arial" w:eastAsia="Arial" w:hAnsi="Arial"/>
                  <w:sz w:val="14"/>
                  <w:szCs w:val="14"/>
                  <w:color w:val="0000FF"/>
                </w:rPr>
                <w:t>Lantheus Medical Imaging, Inc. and Cardinal Health 414, LLC.</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4"/>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10.65†</w:t>
            </w: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rPr>
            </w:pPr>
            <w:hyperlink r:id="rId72">
              <w:r>
                <w:rPr>
                  <w:rFonts w:ascii="Arial" w:cs="Arial" w:eastAsia="Arial" w:hAnsi="Arial"/>
                  <w:sz w:val="14"/>
                  <w:szCs w:val="14"/>
                  <w:color w:val="0000FF"/>
                </w:rPr>
                <w:t>Amendment No. 4 to Sales Agreement, dated as of December 29, 2017, by and</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3"/>
              </w:rPr>
              <w:t>February 7, 2018</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0000FF"/>
            </w:tcBorders>
            <w:gridSpan w:val="13"/>
            <w:shd w:val="clear" w:color="auto" w:fill="CCEEFF"/>
          </w:tcPr>
          <w:p>
            <w:pPr>
              <w:spacing w:after="0" w:line="129" w:lineRule="exact"/>
              <w:rPr>
                <w:rFonts w:ascii="Arial" w:cs="Arial" w:eastAsia="Arial" w:hAnsi="Arial"/>
                <w:sz w:val="14"/>
                <w:szCs w:val="14"/>
                <w:color w:val="0000FF"/>
                <w:w w:val="95"/>
              </w:rPr>
            </w:pPr>
            <w:hyperlink r:id="rId72">
              <w:r>
                <w:rPr>
                  <w:rFonts w:ascii="Arial" w:cs="Arial" w:eastAsia="Arial" w:hAnsi="Arial"/>
                  <w:sz w:val="14"/>
                  <w:szCs w:val="14"/>
                  <w:color w:val="0000FF"/>
                  <w:w w:val="95"/>
                </w:rPr>
                <w:t>between Lantheus Medical Imaging, Inc. and NTP Radioisotopes (SOC) Ltd.</w:t>
              </w:r>
            </w:hyperlink>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4"/>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10.66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rPr>
            </w:pPr>
            <w:hyperlink r:id="rId73">
              <w:r>
                <w:rPr>
                  <w:rFonts w:ascii="Arial" w:cs="Arial" w:eastAsia="Arial" w:hAnsi="Arial"/>
                  <w:sz w:val="14"/>
                  <w:szCs w:val="14"/>
                  <w:color w:val="0000FF"/>
                </w:rPr>
                <w:t>Separation Agreement, effective September 20, 2018, by and between Lantheus</w:t>
              </w:r>
            </w:hyperlink>
          </w:p>
        </w:tc>
        <w:tc>
          <w:tcPr>
            <w:tcW w:w="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08"/>
              <w:spacing w:after="0"/>
              <w:rPr>
                <w:sz w:val="20"/>
                <w:szCs w:val="20"/>
                <w:color w:val="auto"/>
              </w:rPr>
            </w:pPr>
            <w:r>
              <w:rPr>
                <w:rFonts w:ascii="Arial" w:cs="Arial" w:eastAsia="Arial" w:hAnsi="Arial"/>
                <w:sz w:val="14"/>
                <w:szCs w:val="14"/>
                <w:color w:val="auto"/>
                <w:w w:val="92"/>
              </w:rPr>
              <w:t>October 30, 2018</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73">
              <w:r>
                <w:rPr>
                  <w:rFonts w:ascii="Arial" w:cs="Arial" w:eastAsia="Arial" w:hAnsi="Arial"/>
                  <w:sz w:val="14"/>
                  <w:szCs w:val="14"/>
                  <w:color w:val="0000FF"/>
                </w:rPr>
                <w:t>Medical Imaging, Inc. and Timothy Healey</w:t>
              </w:r>
            </w:hyperlink>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4"/>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10.67</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rPr>
            </w:pPr>
            <w:hyperlink r:id="rId74">
              <w:r>
                <w:rPr>
                  <w:rFonts w:ascii="Arial" w:cs="Arial" w:eastAsia="Arial" w:hAnsi="Arial"/>
                  <w:sz w:val="14"/>
                  <w:szCs w:val="14"/>
                  <w:color w:val="0000FF"/>
                </w:rPr>
                <w:t>Separation Agreement, effective September 21, 2018, by and between Lantheus</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001-36569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2"/>
              </w:rPr>
              <w:t>October 30, 2018</w:t>
            </w:r>
          </w:p>
        </w:tc>
        <w:tc>
          <w:tcPr>
            <w:tcW w:w="0" w:type="dxa"/>
            <w:vAlign w:val="bottom"/>
          </w:tcPr>
          <w:p>
            <w:pPr>
              <w:spacing w:after="0"/>
              <w:rPr>
                <w:sz w:val="1"/>
                <w:szCs w:val="1"/>
                <w:color w:val="auto"/>
              </w:rPr>
            </w:pPr>
          </w:p>
        </w:tc>
      </w:tr>
      <w:tr>
        <w:trPr>
          <w:trHeight w:val="129"/>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0" w:type="dxa"/>
            <w:vAlign w:val="bottom"/>
            <w:tcBorders>
              <w:top w:val="single" w:sz="8" w:color="0000FF"/>
            </w:tcBorders>
            <w:gridSpan w:val="14"/>
            <w:shd w:val="clear" w:color="auto" w:fill="CCEEFF"/>
          </w:tcPr>
          <w:p>
            <w:pPr>
              <w:spacing w:after="0" w:line="129" w:lineRule="exact"/>
              <w:rPr>
                <w:rFonts w:ascii="Arial" w:cs="Arial" w:eastAsia="Arial" w:hAnsi="Arial"/>
                <w:sz w:val="14"/>
                <w:szCs w:val="14"/>
                <w:color w:val="0000FF"/>
              </w:rPr>
            </w:pPr>
            <w:hyperlink r:id="rId74">
              <w:r>
                <w:rPr>
                  <w:rFonts w:ascii="Arial" w:cs="Arial" w:eastAsia="Arial" w:hAnsi="Arial"/>
                  <w:sz w:val="14"/>
                  <w:szCs w:val="14"/>
                  <w:color w:val="0000FF"/>
                </w:rPr>
                <w:t>Medical Imaging, Inc. and Jack Crowley</w:t>
              </w:r>
            </w:hyperlink>
          </w:p>
        </w:tc>
        <w:tc>
          <w:tcPr>
            <w:tcW w:w="12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4"/>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8"/>
              </w:rPr>
              <w:t>10.68*+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w w:val="98"/>
              </w:rPr>
            </w:pPr>
            <w:hyperlink w:anchor="page106">
              <w:r>
                <w:rPr>
                  <w:rFonts w:ascii="Arial" w:cs="Arial" w:eastAsia="Arial" w:hAnsi="Arial"/>
                  <w:sz w:val="14"/>
                  <w:szCs w:val="14"/>
                  <w:color w:val="0000FF"/>
                  <w:w w:val="98"/>
                </w:rPr>
                <w:t>Second Amended and Restated Employment Agreement, effective January 25, 2019,</w:t>
              </w:r>
            </w:hyperlink>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w:anchor="page106">
              <w:r>
                <w:rPr>
                  <w:rFonts w:ascii="Arial" w:cs="Arial" w:eastAsia="Arial" w:hAnsi="Arial"/>
                  <w:sz w:val="14"/>
                  <w:szCs w:val="14"/>
                  <w:color w:val="0000FF"/>
                </w:rPr>
                <w:t>by and between Lantheus Medical Imaging, Inc. and Mary Anne Heino.</w:t>
              </w:r>
            </w:hyperlink>
          </w:p>
        </w:tc>
        <w:tc>
          <w:tcPr>
            <w:tcW w:w="80" w:type="dxa"/>
            <w:vAlign w:val="bottom"/>
          </w:tcPr>
          <w:p>
            <w:pPr>
              <w:spacing w:after="0"/>
              <w:rPr>
                <w:sz w:val="11"/>
                <w:szCs w:val="11"/>
                <w:color w:val="auto"/>
              </w:rPr>
            </w:pPr>
          </w:p>
        </w:tc>
        <w:tc>
          <w:tcPr>
            <w:tcW w:w="240" w:type="dxa"/>
            <w:vAlign w:val="bottom"/>
            <w:gridSpan w:val="4"/>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10.69*+</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w w:val="99"/>
              </w:rPr>
            </w:pPr>
            <w:hyperlink w:anchor="page123">
              <w:r>
                <w:rPr>
                  <w:rFonts w:ascii="Arial" w:cs="Arial" w:eastAsia="Arial" w:hAnsi="Arial"/>
                  <w:sz w:val="14"/>
                  <w:szCs w:val="14"/>
                  <w:color w:val="0000FF"/>
                  <w:w w:val="99"/>
                </w:rPr>
                <w:t>Employment Agreement dated as of November 22, 2013, by and between Lantheus</w:t>
              </w:r>
            </w:hyperlink>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40" w:type="dxa"/>
            <w:vAlign w:val="bottom"/>
            <w:tcBorders>
              <w:top w:val="single" w:sz="8" w:color="0000FF"/>
              <w:bottom w:val="single" w:sz="8" w:color="0000FF"/>
            </w:tcBorders>
            <w:gridSpan w:val="4"/>
            <w:shd w:val="clear" w:color="auto" w:fill="CCEEFF"/>
          </w:tcPr>
          <w:p>
            <w:pPr>
              <w:spacing w:after="0" w:line="129" w:lineRule="exact"/>
              <w:rPr>
                <w:rFonts w:ascii="Arial" w:cs="Arial" w:eastAsia="Arial" w:hAnsi="Arial"/>
                <w:sz w:val="14"/>
                <w:szCs w:val="14"/>
                <w:color w:val="0000FF"/>
                <w:w w:val="95"/>
              </w:rPr>
            </w:pPr>
            <w:hyperlink w:anchor="page123">
              <w:r>
                <w:rPr>
                  <w:rFonts w:ascii="Arial" w:cs="Arial" w:eastAsia="Arial" w:hAnsi="Arial"/>
                  <w:sz w:val="14"/>
                  <w:szCs w:val="14"/>
                  <w:color w:val="0000FF"/>
                  <w:w w:val="95"/>
                </w:rPr>
                <w:t>Medical Imaging, Inc. and Michael Duffy.</w:t>
              </w:r>
            </w:hyperlink>
          </w:p>
        </w:tc>
        <w:tc>
          <w:tcPr>
            <w:tcW w:w="2360" w:type="dxa"/>
            <w:vAlign w:val="bottom"/>
            <w:tcBorders>
              <w:top w:val="single" w:sz="8" w:color="0000FF"/>
              <w:bottom w:val="single" w:sz="8" w:color="CCEEFF"/>
            </w:tcBorders>
            <w:gridSpan w:val="15"/>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8"/>
              </w:rPr>
              <w:t>10.70*+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rPr>
            </w:pPr>
            <w:hyperlink w:anchor="page138">
              <w:r>
                <w:rPr>
                  <w:rFonts w:ascii="Arial" w:cs="Arial" w:eastAsia="Arial" w:hAnsi="Arial"/>
                  <w:sz w:val="14"/>
                  <w:szCs w:val="14"/>
                  <w:color w:val="0000FF"/>
                </w:rPr>
                <w:t>Form of Severance Agreement (executives with existing employment agreements).</w:t>
              </w:r>
            </w:hyperlink>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6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34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10.71*+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w w:val="97"/>
              </w:rPr>
            </w:pPr>
            <w:hyperlink w:anchor="page144">
              <w:r>
                <w:rPr>
                  <w:rFonts w:ascii="Arial" w:cs="Arial" w:eastAsia="Arial" w:hAnsi="Arial"/>
                  <w:sz w:val="14"/>
                  <w:szCs w:val="14"/>
                  <w:color w:val="0000FF"/>
                  <w:w w:val="97"/>
                </w:rPr>
                <w:t>Form of Severance Agreement (executives without existing employment agreements).</w:t>
              </w:r>
            </w:hyperlink>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FF"/>
            </w:tcBorders>
            <w:shd w:val="clear" w:color="auto" w:fill="CCEEFF"/>
          </w:tcPr>
          <w:p>
            <w:pPr>
              <w:spacing w:after="0"/>
              <w:rPr>
                <w:sz w:val="7"/>
                <w:szCs w:val="7"/>
                <w:color w:val="auto"/>
              </w:rPr>
            </w:pPr>
          </w:p>
        </w:tc>
        <w:tc>
          <w:tcPr>
            <w:tcW w:w="162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640" w:type="dxa"/>
            <w:vAlign w:val="bottom"/>
            <w:tcBorders>
              <w:top w:val="single" w:sz="8" w:color="0000FF"/>
            </w:tcBorders>
            <w:shd w:val="clear" w:color="auto" w:fill="CCEEFF"/>
          </w:tcPr>
          <w:p>
            <w:pPr>
              <w:spacing w:after="0"/>
              <w:rPr>
                <w:sz w:val="7"/>
                <w:szCs w:val="7"/>
                <w:color w:val="auto"/>
              </w:rPr>
            </w:pPr>
          </w:p>
        </w:tc>
        <w:tc>
          <w:tcPr>
            <w:tcW w:w="18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21.1*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rPr>
            </w:pPr>
            <w:hyperlink w:anchor="page156">
              <w:r>
                <w:rPr>
                  <w:rFonts w:ascii="Arial" w:cs="Arial" w:eastAsia="Arial" w:hAnsi="Arial"/>
                  <w:sz w:val="14"/>
                  <w:szCs w:val="14"/>
                  <w:color w:val="0000FF"/>
                </w:rPr>
                <w:t>Subsidiaries of Lantheus Holdings, Inc.</w:t>
              </w:r>
            </w:hyperlink>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62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23.1*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Consent of Independent Registered Public Accounting Firm.</w:t>
              </w:r>
            </w:hyperlink>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FF"/>
            </w:tcBorders>
            <w:shd w:val="clear" w:color="auto" w:fill="CCEEFF"/>
          </w:tcPr>
          <w:p>
            <w:pPr>
              <w:spacing w:after="0"/>
              <w:rPr>
                <w:sz w:val="7"/>
                <w:szCs w:val="7"/>
                <w:color w:val="auto"/>
              </w:rPr>
            </w:pPr>
          </w:p>
        </w:tc>
        <w:tc>
          <w:tcPr>
            <w:tcW w:w="162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640" w:type="dxa"/>
            <w:vAlign w:val="bottom"/>
            <w:tcBorders>
              <w:top w:val="single" w:sz="8" w:color="0000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Power of Attorney (included as part of the signature page hereto).</w:t>
              </w:r>
            </w:hyperlink>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31.1*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rPr>
            </w:pPr>
            <w:hyperlink w:anchor="page158">
              <w:r>
                <w:rPr>
                  <w:rFonts w:ascii="Arial" w:cs="Arial" w:eastAsia="Arial" w:hAnsi="Arial"/>
                  <w:sz w:val="14"/>
                  <w:szCs w:val="14"/>
                  <w:color w:val="0000FF"/>
                </w:rPr>
                <w:t>Certification of Chief Executive Officer pursuant to Exchange Act Rule 13a-14(a).</w:t>
              </w:r>
            </w:hyperlink>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FF"/>
            </w:tcBorders>
            <w:shd w:val="clear" w:color="auto" w:fill="CCEEFF"/>
          </w:tcPr>
          <w:p>
            <w:pPr>
              <w:spacing w:after="0"/>
              <w:rPr>
                <w:sz w:val="7"/>
                <w:szCs w:val="7"/>
                <w:color w:val="auto"/>
              </w:rPr>
            </w:pPr>
          </w:p>
        </w:tc>
        <w:tc>
          <w:tcPr>
            <w:tcW w:w="162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640" w:type="dxa"/>
            <w:vAlign w:val="bottom"/>
            <w:tcBorders>
              <w:top w:val="single" w:sz="8" w:color="0000FF"/>
            </w:tcBorders>
            <w:shd w:val="clear" w:color="auto" w:fill="CCEEFF"/>
          </w:tcPr>
          <w:p>
            <w:pPr>
              <w:spacing w:after="0"/>
              <w:rPr>
                <w:sz w:val="7"/>
                <w:szCs w:val="7"/>
                <w:color w:val="auto"/>
              </w:rPr>
            </w:pPr>
          </w:p>
        </w:tc>
        <w:tc>
          <w:tcPr>
            <w:tcW w:w="18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auto"/>
                <w:w w:val="97"/>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5"/>
          </w:tcPr>
          <w:p>
            <w:pPr>
              <w:spacing w:after="0"/>
              <w:rPr>
                <w:rFonts w:ascii="Arial" w:cs="Arial" w:eastAsia="Arial" w:hAnsi="Arial"/>
                <w:sz w:val="14"/>
                <w:szCs w:val="14"/>
                <w:color w:val="0000FF"/>
              </w:rPr>
            </w:pPr>
            <w:hyperlink w:anchor="page159">
              <w:r>
                <w:rPr>
                  <w:rFonts w:ascii="Arial" w:cs="Arial" w:eastAsia="Arial" w:hAnsi="Arial"/>
                  <w:sz w:val="14"/>
                  <w:szCs w:val="14"/>
                  <w:color w:val="0000FF"/>
                </w:rPr>
                <w:t>Certification of Chief Financial Officer pursuant to Exchange Act Rule 13a-14(a).</w:t>
              </w:r>
            </w:hyperlink>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6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34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0" w:type="dxa"/>
            <w:vAlign w:val="bottom"/>
            <w:gridSpan w:val="25"/>
            <w:shd w:val="clear" w:color="auto" w:fill="CCEEFF"/>
          </w:tcPr>
          <w:p>
            <w:pPr>
              <w:spacing w:after="0"/>
              <w:rPr>
                <w:rFonts w:ascii="Arial" w:cs="Arial" w:eastAsia="Arial" w:hAnsi="Arial"/>
                <w:sz w:val="14"/>
                <w:szCs w:val="14"/>
                <w:color w:val="0000FF"/>
              </w:rPr>
            </w:pPr>
            <w:hyperlink w:anchor="page160">
              <w:r>
                <w:rPr>
                  <w:rFonts w:ascii="Arial" w:cs="Arial" w:eastAsia="Arial" w:hAnsi="Arial"/>
                  <w:sz w:val="14"/>
                  <w:szCs w:val="14"/>
                  <w:color w:val="0000FF"/>
                </w:rPr>
                <w:t>Certification pursuant to 18 U.S.C. Section 1350.</w:t>
              </w:r>
            </w:hyperlink>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FF"/>
            </w:tcBorders>
            <w:shd w:val="clear" w:color="auto" w:fill="CCEEFF"/>
          </w:tcPr>
          <w:p>
            <w:pPr>
              <w:spacing w:after="0"/>
              <w:rPr>
                <w:sz w:val="7"/>
                <w:szCs w:val="7"/>
                <w:color w:val="auto"/>
              </w:rPr>
            </w:pPr>
          </w:p>
        </w:tc>
        <w:tc>
          <w:tcPr>
            <w:tcW w:w="162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101.INS*</w:t>
            </w:r>
          </w:p>
        </w:tc>
        <w:tc>
          <w:tcPr>
            <w:tcW w:w="20" w:type="dxa"/>
            <w:vAlign w:val="bottom"/>
          </w:tcPr>
          <w:p>
            <w:pPr>
              <w:spacing w:after="0"/>
              <w:rPr>
                <w:sz w:val="16"/>
                <w:szCs w:val="16"/>
                <w:color w:val="auto"/>
              </w:rPr>
            </w:pPr>
          </w:p>
        </w:tc>
        <w:tc>
          <w:tcPr>
            <w:tcW w:w="5200" w:type="dxa"/>
            <w:vAlign w:val="bottom"/>
            <w:gridSpan w:val="25"/>
          </w:tcPr>
          <w:p>
            <w:pPr>
              <w:spacing w:after="0"/>
              <w:rPr>
                <w:sz w:val="20"/>
                <w:szCs w:val="20"/>
                <w:color w:val="auto"/>
              </w:rPr>
            </w:pPr>
            <w:r>
              <w:rPr>
                <w:rFonts w:ascii="Arial" w:cs="Arial" w:eastAsia="Arial" w:hAnsi="Arial"/>
                <w:sz w:val="14"/>
                <w:szCs w:val="14"/>
                <w:color w:val="auto"/>
              </w:rPr>
              <w:t>XBRL Instance Document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101.SCH*</w:t>
            </w:r>
          </w:p>
        </w:tc>
        <w:tc>
          <w:tcPr>
            <w:tcW w:w="20" w:type="dxa"/>
            <w:vAlign w:val="bottom"/>
            <w:shd w:val="clear" w:color="auto" w:fill="CCEEFF"/>
          </w:tcPr>
          <w:p>
            <w:pPr>
              <w:spacing w:after="0"/>
              <w:rPr>
                <w:sz w:val="16"/>
                <w:szCs w:val="16"/>
                <w:color w:val="auto"/>
              </w:rPr>
            </w:pPr>
          </w:p>
        </w:tc>
        <w:tc>
          <w:tcPr>
            <w:tcW w:w="520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XBRL Taxonomy Extension Schema</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5200" w:type="dxa"/>
            <w:vAlign w:val="bottom"/>
            <w:gridSpan w:val="25"/>
          </w:tcPr>
          <w:p>
            <w:pPr>
              <w:spacing w:after="0"/>
              <w:rPr>
                <w:sz w:val="20"/>
                <w:szCs w:val="20"/>
                <w:color w:val="auto"/>
              </w:rPr>
            </w:pPr>
            <w:r>
              <w:rPr>
                <w:rFonts w:ascii="Arial" w:cs="Arial" w:eastAsia="Arial" w:hAnsi="Arial"/>
                <w:sz w:val="14"/>
                <w:szCs w:val="14"/>
                <w:color w:val="auto"/>
              </w:rPr>
              <w:t>XBRL Taxonomy Extension Calculation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101.DEF*</w:t>
            </w:r>
          </w:p>
        </w:tc>
        <w:tc>
          <w:tcPr>
            <w:tcW w:w="20" w:type="dxa"/>
            <w:vAlign w:val="bottom"/>
            <w:shd w:val="clear" w:color="auto" w:fill="CCEEFF"/>
          </w:tcPr>
          <w:p>
            <w:pPr>
              <w:spacing w:after="0"/>
              <w:rPr>
                <w:sz w:val="16"/>
                <w:szCs w:val="16"/>
                <w:color w:val="auto"/>
              </w:rPr>
            </w:pPr>
          </w:p>
        </w:tc>
        <w:tc>
          <w:tcPr>
            <w:tcW w:w="520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XBRL Taxonomy Extension Definition</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5200" w:type="dxa"/>
            <w:vAlign w:val="bottom"/>
            <w:gridSpan w:val="25"/>
          </w:tcPr>
          <w:p>
            <w:pPr>
              <w:spacing w:after="0"/>
              <w:rPr>
                <w:sz w:val="20"/>
                <w:szCs w:val="20"/>
                <w:color w:val="auto"/>
              </w:rPr>
            </w:pPr>
            <w:r>
              <w:rPr>
                <w:rFonts w:ascii="Arial" w:cs="Arial" w:eastAsia="Arial" w:hAnsi="Arial"/>
                <w:sz w:val="14"/>
                <w:szCs w:val="14"/>
                <w:color w:val="auto"/>
              </w:rPr>
              <w:t>XBRL Taxonomy Extension Labels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101.PRE*</w:t>
            </w:r>
          </w:p>
        </w:tc>
        <w:tc>
          <w:tcPr>
            <w:tcW w:w="20" w:type="dxa"/>
            <w:vAlign w:val="bottom"/>
            <w:shd w:val="clear" w:color="auto" w:fill="CCEEFF"/>
          </w:tcPr>
          <w:p>
            <w:pPr>
              <w:spacing w:after="0"/>
              <w:rPr>
                <w:sz w:val="16"/>
                <w:szCs w:val="16"/>
                <w:color w:val="auto"/>
              </w:rPr>
            </w:pPr>
          </w:p>
        </w:tc>
        <w:tc>
          <w:tcPr>
            <w:tcW w:w="520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XBRL Taxonomy Extension Presentation</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660" w:hanging="490"/>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60" w:hanging="490"/>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60" w:hanging="490"/>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660" w:hanging="490"/>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240" w:top="175" w:right="6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LANTHEUS HOLDINGS, INC.</w:t>
      </w:r>
    </w:p>
    <w:p>
      <w:pPr>
        <w:spacing w:after="0" w:line="167" w:lineRule="exact"/>
        <w:rPr>
          <w:sz w:val="20"/>
          <w:szCs w:val="20"/>
          <w:color w:val="auto"/>
        </w:rPr>
      </w:pPr>
    </w:p>
    <w:tbl>
      <w:tblPr>
        <w:tblLayout w:type="fixed"/>
        <w:tblInd w:w="7240" w:type="dxa"/>
        <w:tblCellMar>
          <w:top w:w="0" w:type="dxa"/>
          <w:left w:w="0" w:type="dxa"/>
          <w:bottom w:w="0" w:type="dxa"/>
          <w:right w:w="0" w:type="dxa"/>
        </w:tblCellMar>
      </w:tblPr>
      <w:tr>
        <w:trPr>
          <w:trHeight w:val="188"/>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MARY ANNE HEINO</w:t>
            </w:r>
          </w:p>
        </w:tc>
      </w:tr>
      <w:tr>
        <w:trPr>
          <w:trHeight w:val="191"/>
        </w:trPr>
        <w:tc>
          <w:tcPr>
            <w:tcW w:w="640" w:type="dxa"/>
            <w:vAlign w:val="bottom"/>
          </w:tcPr>
          <w:p>
            <w:pPr>
              <w:spacing w:after="0"/>
              <w:rPr>
                <w:sz w:val="20"/>
                <w:szCs w:val="20"/>
                <w:color w:val="auto"/>
              </w:rPr>
            </w:pPr>
            <w:r>
              <w:rPr>
                <w:rFonts w:ascii="Arial" w:cs="Arial" w:eastAsia="Arial" w:hAnsi="Arial"/>
                <w:sz w:val="14"/>
                <w:szCs w:val="14"/>
                <w:color w:val="auto"/>
              </w:rPr>
              <w:t>Name:</w:t>
            </w:r>
          </w:p>
        </w:tc>
        <w:tc>
          <w:tcPr>
            <w:tcW w:w="3540" w:type="dxa"/>
            <w:vAlign w:val="bottom"/>
          </w:tcPr>
          <w:p>
            <w:pPr>
              <w:ind w:left="20"/>
              <w:spacing w:after="0"/>
              <w:rPr>
                <w:sz w:val="20"/>
                <w:szCs w:val="20"/>
                <w:color w:val="auto"/>
              </w:rPr>
            </w:pPr>
            <w:r>
              <w:rPr>
                <w:rFonts w:ascii="Arial" w:cs="Arial" w:eastAsia="Arial" w:hAnsi="Arial"/>
                <w:sz w:val="14"/>
                <w:szCs w:val="14"/>
                <w:color w:val="auto"/>
              </w:rPr>
              <w:t>Mary Anne Heino</w:t>
            </w:r>
          </w:p>
        </w:tc>
      </w:tr>
      <w:tr>
        <w:trPr>
          <w:trHeight w:val="203"/>
        </w:trPr>
        <w:tc>
          <w:tcPr>
            <w:tcW w:w="640" w:type="dxa"/>
            <w:vAlign w:val="bottom"/>
          </w:tcPr>
          <w:p>
            <w:pPr>
              <w:spacing w:after="0"/>
              <w:rPr>
                <w:sz w:val="20"/>
                <w:szCs w:val="20"/>
                <w:color w:val="auto"/>
              </w:rPr>
            </w:pPr>
            <w:r>
              <w:rPr>
                <w:rFonts w:ascii="Arial" w:cs="Arial" w:eastAsia="Arial" w:hAnsi="Arial"/>
                <w:sz w:val="14"/>
                <w:szCs w:val="14"/>
                <w:color w:val="auto"/>
              </w:rPr>
              <w:t>Title:</w:t>
            </w:r>
          </w:p>
        </w:tc>
        <w:tc>
          <w:tcPr>
            <w:tcW w:w="35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03"/>
        </w:trPr>
        <w:tc>
          <w:tcPr>
            <w:tcW w:w="640" w:type="dxa"/>
            <w:vAlign w:val="bottom"/>
          </w:tcPr>
          <w:p>
            <w:pPr>
              <w:spacing w:after="0"/>
              <w:rPr>
                <w:sz w:val="20"/>
                <w:szCs w:val="20"/>
                <w:color w:val="auto"/>
              </w:rPr>
            </w:pPr>
            <w:r>
              <w:rPr>
                <w:rFonts w:ascii="Arial" w:cs="Arial" w:eastAsia="Arial" w:hAnsi="Arial"/>
                <w:sz w:val="14"/>
                <w:szCs w:val="14"/>
                <w:color w:val="auto"/>
              </w:rPr>
              <w:t>Date:</w:t>
            </w:r>
          </w:p>
        </w:tc>
        <w:tc>
          <w:tcPr>
            <w:tcW w:w="3540" w:type="dxa"/>
            <w:vAlign w:val="bottom"/>
          </w:tcPr>
          <w:p>
            <w:pPr>
              <w:ind w:left="20"/>
              <w:spacing w:after="0"/>
              <w:rPr>
                <w:sz w:val="20"/>
                <w:szCs w:val="20"/>
                <w:color w:val="auto"/>
              </w:rPr>
            </w:pPr>
            <w:r>
              <w:rPr>
                <w:rFonts w:ascii="Arial" w:cs="Arial" w:eastAsia="Arial" w:hAnsi="Arial"/>
                <w:sz w:val="14"/>
                <w:szCs w:val="14"/>
                <w:color w:val="auto"/>
              </w:rPr>
              <w:t>February 20, 2019</w:t>
            </w:r>
          </w:p>
        </w:tc>
      </w:tr>
    </w:tbl>
    <w:p>
      <w:pPr>
        <w:spacing w:after="0" w:line="376"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the undersigned directors and officers of Lantheus Holdings, Inc., hereby severally constitute and appoint Mary Anne Heino, Robert J. Marshall, Jr. and Michael P. Duffy,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6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75" w:right="239" w:bottom="1440" w:gutter="0" w:footer="0" w:header="0"/>
        </w:sectPr>
      </w:pPr>
    </w:p>
    <w:p>
      <w:pPr>
        <w:spacing w:after="0" w:line="176"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2435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28"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Mary Anne Heino</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Robert J. Marshall, Jr.</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Brian Markison</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James C. Clemmer</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SAMUEL R.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Samuel R. Leno</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JULIE H.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Julie H. McHugh</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GARY J. PRUDEN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Gary J. Pruden</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KENNETH J. PUCEL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Kenneth J. Pucel</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3"/>
          <w:szCs w:val="13"/>
          <w:color w:val="auto"/>
        </w:rPr>
        <w:t>/S/ DR. FREDERICK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28575</wp:posOffset>
            </wp:positionV>
            <wp:extent cx="24352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Dr. Frederick A. Robertson</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DR. DERACE L.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Dr. Derace L. Schaffer</w:t>
      </w:r>
    </w:p>
    <w:p>
      <w:pPr>
        <w:spacing w:after="0" w:line="23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/S/ 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20955</wp:posOffset>
            </wp:positionV>
            <wp:extent cx="2435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9"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Dr. James H. Thrall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78"/>
        </w:trPr>
        <w:tc>
          <w:tcPr>
            <w:tcW w:w="34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Chief Executive Officer, President and 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182"/>
        </w:trPr>
        <w:tc>
          <w:tcPr>
            <w:tcW w:w="34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Executive Officer)</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34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Chief Financial Officer and Treasurer</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101"/>
        </w:trPr>
        <w:tc>
          <w:tcPr>
            <w:tcW w:w="34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(Principal Financial and Accounting Officer)</w:t>
            </w: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4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34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Chairman of the Board of Directors</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r>
        <w:trPr>
          <w:trHeight w:val="662"/>
        </w:trPr>
        <w:tc>
          <w:tcPr>
            <w:tcW w:w="34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0" w:type="dxa"/>
            <w:vAlign w:val="bottom"/>
          </w:tcPr>
          <w:p>
            <w:pPr>
              <w:spacing w:after="0"/>
              <w:rPr>
                <w:sz w:val="1"/>
                <w:szCs w:val="1"/>
                <w:color w:val="auto"/>
              </w:rPr>
            </w:pPr>
          </w:p>
        </w:tc>
      </w:tr>
    </w:tbl>
    <w:p>
      <w:pPr>
        <w:spacing w:after="0" w:line="516" w:lineRule="exact"/>
        <w:rPr>
          <w:sz w:val="20"/>
          <w:szCs w:val="20"/>
          <w:color w:val="auto"/>
        </w:rPr>
      </w:pPr>
    </w:p>
    <w:p>
      <w:pPr>
        <w:sectPr>
          <w:pgSz w:w="11900" w:h="16838" w:orient="portrait"/>
          <w:cols w:equalWidth="0" w:num="2">
            <w:col w:w="4440" w:space="720"/>
            <w:col w:w="6260"/>
          </w:cols>
          <w:pgMar w:left="240" w:top="175" w:right="23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75"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10.68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EMPLOYMENT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SECOND AMENDED AND RESTATED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January 25, 2019 by and between Lantheus Medical Imaging,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Mary Anne Heino</w:t>
      </w:r>
      <w:r>
        <w:rPr>
          <w:rFonts w:ascii="Arial" w:cs="Arial" w:eastAsia="Arial" w:hAnsi="Arial"/>
          <w:sz w:val="18"/>
          <w:szCs w:val="18"/>
          <w:color w:val="auto"/>
        </w:rPr>
        <w:t xml:space="preserve"> (“</w:t>
      </w:r>
      <w:r>
        <w:rPr>
          <w:rFonts w:ascii="Arial" w:cs="Arial" w:eastAsia="Arial" w:hAnsi="Arial"/>
          <w:sz w:val="18"/>
          <w:szCs w:val="18"/>
          <w:b w:val="1"/>
          <w:bCs w:val="1"/>
          <w:color w:val="auto"/>
        </w:rPr>
        <w:t>Executive</w:t>
      </w:r>
      <w:r>
        <w:rPr>
          <w:rFonts w:ascii="Arial" w:cs="Arial" w:eastAsia="Arial" w:hAnsi="Arial"/>
          <w:sz w:val="18"/>
          <w:szCs w:val="18"/>
          <w:color w:val="auto"/>
        </w:rPr>
        <w:t>”), amends and restates in its entirety her employment agreement, as previously amended and restated and subsequently amended, and as in effect immediately prior to giving effect hereto (collectively, the “</w:t>
      </w:r>
      <w:r>
        <w:rPr>
          <w:rFonts w:ascii="Arial" w:cs="Arial" w:eastAsia="Arial" w:hAnsi="Arial"/>
          <w:sz w:val="18"/>
          <w:szCs w:val="18"/>
          <w:b w:val="1"/>
          <w:bCs w:val="1"/>
          <w:color w:val="auto"/>
        </w:rPr>
        <w:t>Existing Agreement</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consideration of the premises and mutual covenants herein and for other good and valuable consideration, the parties agree as follows:</w:t>
      </w:r>
    </w:p>
    <w:p>
      <w:pPr>
        <w:spacing w:after="0" w:line="200" w:lineRule="exact"/>
        <w:rPr>
          <w:sz w:val="20"/>
          <w:szCs w:val="20"/>
          <w:color w:val="auto"/>
        </w:rPr>
      </w:pPr>
    </w:p>
    <w:p>
      <w:pPr>
        <w:spacing w:after="0" w:line="253" w:lineRule="exact"/>
        <w:rPr>
          <w:sz w:val="20"/>
          <w:szCs w:val="20"/>
          <w:color w:val="auto"/>
        </w:rPr>
      </w:pPr>
    </w:p>
    <w:p>
      <w:pPr>
        <w:ind w:left="660" w:right="20" w:hanging="652"/>
        <w:spacing w:after="0" w:line="27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Executive’s employment with the Company commenced as of April 15, 2013. Such employment shall be “at-will” employment. Subject to the terms of this Agreement, the Company may terminate Executive’s employment and this Agreement for any reason at any time, with or without prior notice and with or without Cause (as defined herein), but subject to certain terms set forth in Section 8 below. Similarly, subject to the terms of this Agreement, Executive may terminate her employment at any time, subject to Section 8 below.</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Position.</w:t>
      </w:r>
    </w:p>
    <w:p>
      <w:pPr>
        <w:spacing w:after="0" w:line="225" w:lineRule="exact"/>
        <w:rPr>
          <w:rFonts w:ascii="Arial" w:cs="Arial" w:eastAsia="Arial" w:hAnsi="Arial"/>
          <w:sz w:val="18"/>
          <w:szCs w:val="18"/>
          <w:color w:val="auto"/>
        </w:rPr>
      </w:pPr>
    </w:p>
    <w:p>
      <w:pPr>
        <w:ind w:left="1300" w:right="80" w:hanging="644"/>
        <w:spacing w:after="0" w:line="25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Executive shall serve as the Company’s President and Chief Executive Officer and as a member of the Board of Directors of Lantheus Holdings, Inc. (the “</w:t>
      </w:r>
      <w:r>
        <w:rPr>
          <w:rFonts w:ascii="Arial" w:cs="Arial" w:eastAsia="Arial" w:hAnsi="Arial"/>
          <w:sz w:val="18"/>
          <w:szCs w:val="18"/>
          <w:b w:val="1"/>
          <w:bCs w:val="1"/>
          <w:color w:val="auto"/>
        </w:rPr>
        <w:t>Board</w:t>
      </w:r>
      <w:r>
        <w:rPr>
          <w:rFonts w:ascii="Arial" w:cs="Arial" w:eastAsia="Arial" w:hAnsi="Arial"/>
          <w:sz w:val="18"/>
          <w:szCs w:val="18"/>
          <w:color w:val="auto"/>
        </w:rPr>
        <w:t>”). In such capacities, Executive shall report to the Board, and Executive shall have such duties and responsibilities as are consistent with such titles and positions and/or such other duties and responsibilities as may be assigned from time to time by the Board. If requested, Executive shall serve as an officer or a member of the Board of Directors of any of the Company’s subsidiaries or affiliates without additional compensation.</w:t>
      </w:r>
    </w:p>
    <w:p>
      <w:pPr>
        <w:spacing w:after="0" w:line="188" w:lineRule="exact"/>
        <w:rPr>
          <w:rFonts w:ascii="Arial" w:cs="Arial" w:eastAsia="Arial" w:hAnsi="Arial"/>
          <w:sz w:val="18"/>
          <w:szCs w:val="18"/>
          <w:color w:val="auto"/>
        </w:rPr>
      </w:pPr>
    </w:p>
    <w:p>
      <w:pPr>
        <w:ind w:left="1300" w:right="20" w:hanging="644"/>
        <w:spacing w:after="0" w:line="273"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preclude Executive, subject to the prior approval of the Board, from accepting appointment to or continuing to serve on any board of directors or trustees of any business corporation or any charitable 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and in the aggregate, that such activities do not conflict or interfere with the performance of Executive’s duties hereunder or conflict with Section 9.</w:t>
      </w:r>
    </w:p>
    <w:p>
      <w:pPr>
        <w:spacing w:after="0" w:line="178" w:lineRule="exact"/>
        <w:rPr>
          <w:rFonts w:ascii="Arial" w:cs="Arial" w:eastAsia="Arial" w:hAnsi="Arial"/>
          <w:sz w:val="17"/>
          <w:szCs w:val="17"/>
          <w:color w:val="auto"/>
        </w:rPr>
      </w:pPr>
    </w:p>
    <w:p>
      <w:pPr>
        <w:ind w:left="660" w:right="100" w:hanging="652"/>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Executive’s employment hereunder, the Company shall pay Executive a base salary at the annualized rate of $675,000, payable in regular installments in accordance with the Company’s payment practices from time to time. Executive shall be entitled to annual performance and salary review, and any increase in base salary shall be in the sole discretion of the Compensation Committee of the Board. Executive’s annual base salary, as in effect from time to time, is hereinafter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With respect to each full fiscal year ending during Executive’s employment hereunder, Executive shall be eligible to earn an annual bonus award of eighty-five percent (85%) of Executive’s Base Salary (the “</w:t>
      </w:r>
      <w:r>
        <w:rPr>
          <w:rFonts w:ascii="Arial" w:cs="Arial" w:eastAsia="Arial" w:hAnsi="Arial"/>
          <w:sz w:val="17"/>
          <w:szCs w:val="17"/>
          <w:b w:val="1"/>
          <w:bCs w:val="1"/>
          <w:color w:val="auto"/>
        </w:rPr>
        <w:t>Target</w:t>
      </w:r>
      <w:r>
        <w:rPr>
          <w:rFonts w:ascii="Arial" w:cs="Arial" w:eastAsia="Arial" w:hAnsi="Arial"/>
          <w:sz w:val="17"/>
          <w:szCs w:val="17"/>
          <w:color w:val="auto"/>
        </w:rPr>
        <w:t>”) based upon achievement of annual EBITDA and/or other performance targets established by the Compensation Committee of the Board within the first three months of each fiscal year (the “</w:t>
      </w:r>
      <w:r>
        <w:rPr>
          <w:rFonts w:ascii="Arial" w:cs="Arial" w:eastAsia="Arial" w:hAnsi="Arial"/>
          <w:sz w:val="17"/>
          <w:szCs w:val="17"/>
          <w:b w:val="1"/>
          <w:b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Annual Bonuses, if any, are generally paid in March of the year following the year to which such Annual Bonus relates, by the 15th of that</w:t>
      </w:r>
      <w:r>
        <w:rPr>
          <w:rFonts w:ascii="Arial" w:cs="Arial" w:eastAsia="Arial" w:hAnsi="Arial"/>
          <w:sz w:val="17"/>
          <w:szCs w:val="17"/>
          <w:b w:val="1"/>
          <w:bCs w:val="1"/>
          <w:color w:val="auto"/>
        </w:rPr>
        <w:t xml:space="preserve"> </w:t>
      </w:r>
      <w:r>
        <w:rPr>
          <w:rFonts w:ascii="Arial" w:cs="Arial" w:eastAsia="Arial" w:hAnsi="Arial"/>
          <w:sz w:val="17"/>
          <w:szCs w:val="17"/>
          <w:color w:val="auto"/>
        </w:rPr>
        <w:t>month; provided, that Executive is an active employee in good standing with the Company on such date of payment.</w:t>
      </w:r>
    </w:p>
    <w:p>
      <w:pPr>
        <w:spacing w:after="0" w:line="172" w:lineRule="exact"/>
        <w:rPr>
          <w:rFonts w:ascii="Arial" w:cs="Arial" w:eastAsia="Arial" w:hAnsi="Arial"/>
          <w:sz w:val="17"/>
          <w:szCs w:val="17"/>
          <w:color w:val="auto"/>
        </w:rPr>
      </w:pPr>
    </w:p>
    <w:p>
      <w:pPr>
        <w:ind w:left="660" w:right="160" w:hanging="652"/>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Executive shall be eligible to receive future equity awards from time to time pursuant to the Lantheus MI Holdings, Inc. 2015 Equity Incentive Plan, commensurate with Executive’s level of responsibilities and the level of awards for similarly situated executives, as determined by the Compensation Committee of the Board in its sole discretion. The terms and conditions of any such equity awards shall be set forth in a separate award agreement.</w:t>
      </w:r>
    </w:p>
    <w:p>
      <w:pPr>
        <w:spacing w:after="0" w:line="186" w:lineRule="exact"/>
        <w:rPr>
          <w:rFonts w:ascii="Arial" w:cs="Arial" w:eastAsia="Arial" w:hAnsi="Arial"/>
          <w:sz w:val="18"/>
          <w:szCs w:val="18"/>
          <w:color w:val="auto"/>
        </w:rPr>
      </w:pPr>
    </w:p>
    <w:p>
      <w:pPr>
        <w:jc w:val="both"/>
        <w:ind w:left="660" w:right="6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Executive’s employment hereunder, Executive shall be entitled to participate in the Company’s health, life and disability insurance, and retirement and fringe employee benefit plans as in effect from time to time (collectively “</w:t>
      </w:r>
      <w:r>
        <w:rPr>
          <w:rFonts w:ascii="Arial" w:cs="Arial" w:eastAsia="Arial" w:hAnsi="Arial"/>
          <w:sz w:val="18"/>
          <w:szCs w:val="18"/>
          <w:b w:val="1"/>
          <w:bCs w:val="1"/>
          <w:color w:val="auto"/>
        </w:rPr>
        <w:t>Employee Benefits</w:t>
      </w:r>
      <w:r>
        <w:rPr>
          <w:rFonts w:ascii="Arial" w:cs="Arial" w:eastAsia="Arial" w:hAnsi="Arial"/>
          <w:sz w:val="18"/>
          <w:szCs w:val="18"/>
          <w:color w:val="auto"/>
        </w:rPr>
        <w:t>”), on the same basis as those benefits are generally made available to other similarly situated executives of the Company.</w:t>
      </w:r>
    </w:p>
    <w:p>
      <w:pPr>
        <w:sectPr>
          <w:pgSz w:w="11900" w:h="16838" w:orient="portrait"/>
          <w:cols w:equalWidth="0" w:num="1">
            <w:col w:w="11420"/>
          </w:cols>
          <w:pgMar w:left="240" w:top="580" w:right="239" w:bottom="1440" w:gutter="0" w:footer="0" w:header="0"/>
        </w:sectPr>
      </w:pPr>
    </w:p>
    <w:bookmarkStart w:id="106" w:name="page107"/>
    <w:bookmarkEnd w:id="106"/>
    <w:p>
      <w:pPr>
        <w:ind w:left="652" w:right="760" w:hanging="652"/>
        <w:spacing w:after="0" w:line="277" w:lineRule="auto"/>
        <w:tabs>
          <w:tab w:leader="none" w:pos="6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Executive’s employment hereunder, reasonable business expenses incurred by Executive in the performance of Executive’s duties hereunder shall be reimbursed by the Company in accordance with Company policies.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560" w:hanging="644"/>
        <w:spacing w:after="0" w:line="277" w:lineRule="auto"/>
        <w:tabs>
          <w:tab w:leader="none" w:pos="12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Termination By the Company Without Cause. If Executive’s employment is terminated by the Company without Cause or Executive terminates for Good Reason, executive shall receive the following, subject to Section 8(g):</w:t>
      </w:r>
    </w:p>
    <w:p>
      <w:pPr>
        <w:spacing w:after="0" w:line="170" w:lineRule="exact"/>
        <w:rPr>
          <w:rFonts w:ascii="Arial" w:cs="Arial" w:eastAsia="Arial" w:hAnsi="Arial"/>
          <w:sz w:val="18"/>
          <w:szCs w:val="18"/>
          <w:color w:val="auto"/>
        </w:rPr>
      </w:pPr>
    </w:p>
    <w:p>
      <w:pPr>
        <w:ind w:left="1952" w:right="140" w:hanging="655"/>
        <w:spacing w:after="0" w:line="302" w:lineRule="auto"/>
        <w:tabs>
          <w:tab w:leader="none" w:pos="1952" w:val="left"/>
        </w:tabs>
        <w:numPr>
          <w:ilvl w:val="2"/>
          <w:numId w:val="57"/>
        </w:numPr>
        <w:rPr>
          <w:rFonts w:ascii="Arial" w:cs="Arial" w:eastAsia="Arial" w:hAnsi="Arial"/>
          <w:sz w:val="16"/>
          <w:szCs w:val="16"/>
          <w:color w:val="auto"/>
        </w:rPr>
      </w:pPr>
      <w:r>
        <w:rPr>
          <w:rFonts w:ascii="Arial" w:cs="Arial" w:eastAsia="Arial" w:hAnsi="Arial"/>
          <w:sz w:val="16"/>
          <w:szCs w:val="16"/>
          <w:color w:val="auto"/>
        </w:rPr>
        <w:t>an amount equal to the sum of (A) one times (1x) the Executive’s annual base salary and (B) a pro-rata portion of Executive’s target annual bonus (prorated based on the percentage of the fiscal year that shall have elapsed through the Separation Date), in each case, as in effect on the Separation Date (or, if a reduction in Executive’s annual base salary gave rise to Good Reason under this Agreement, as in effect immediately prior to such reduction) (the “</w:t>
      </w:r>
      <w:r>
        <w:rPr>
          <w:rFonts w:ascii="Arial" w:cs="Arial" w:eastAsia="Arial" w:hAnsi="Arial"/>
          <w:sz w:val="16"/>
          <w:szCs w:val="16"/>
          <w:b w:val="1"/>
          <w:bCs w:val="1"/>
          <w:color w:val="auto"/>
        </w:rPr>
        <w:t>Severance Payment</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952" w:right="160" w:hanging="655"/>
        <w:spacing w:after="0" w:line="293" w:lineRule="auto"/>
        <w:tabs>
          <w:tab w:leader="none" w:pos="1952" w:val="left"/>
        </w:tabs>
        <w:numPr>
          <w:ilvl w:val="2"/>
          <w:numId w:val="57"/>
        </w:numPr>
        <w:rPr>
          <w:rFonts w:ascii="Arial" w:cs="Arial" w:eastAsia="Arial" w:hAnsi="Arial"/>
          <w:sz w:val="16"/>
          <w:szCs w:val="16"/>
          <w:color w:val="auto"/>
        </w:rPr>
      </w:pPr>
      <w:r>
        <w:rPr>
          <w:rFonts w:ascii="Arial" w:cs="Arial" w:eastAsia="Arial" w:hAnsi="Arial"/>
          <w:sz w:val="16"/>
          <w:szCs w:val="16"/>
          <w:color w:val="auto"/>
        </w:rPr>
        <w:t>provided that Executive timely and properly elects to purchase continued healthcare coverage under COBRA, a monthly amount equal to the employer portion of the monthly premiums paid under the Company’s group health plans as of the Separation Date, for the period ending on the earliest of (i) the one-year anniversary of the Separation Date, (ii) the date on which Executive becomes covered under another employer’s health plan and (iii) the expiration of the maximum COBRA continuation coverage period for which Executive is eligible under federal law. For the avoidance of doubt, Executive will be responsible for paying the applicable COBRA premiums directly to the Company’s COBRA administrator (the “</w:t>
      </w:r>
      <w:r>
        <w:rPr>
          <w:rFonts w:ascii="Arial" w:cs="Arial" w:eastAsia="Arial" w:hAnsi="Arial"/>
          <w:sz w:val="16"/>
          <w:szCs w:val="16"/>
          <w:b w:val="1"/>
          <w:bCs w:val="1"/>
          <w:color w:val="auto"/>
        </w:rPr>
        <w:t>COBRA Payment</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952" w:right="160" w:hanging="655"/>
        <w:spacing w:after="0" w:line="342" w:lineRule="auto"/>
        <w:tabs>
          <w:tab w:leader="none" w:pos="1952" w:val="left"/>
        </w:tabs>
        <w:numPr>
          <w:ilvl w:val="2"/>
          <w:numId w:val="57"/>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which shall be payable on the 60th day following Executive’s termination of employment;</w:t>
      </w:r>
    </w:p>
    <w:p>
      <w:pPr>
        <w:spacing w:after="0" w:line="123" w:lineRule="exact"/>
        <w:rPr>
          <w:rFonts w:ascii="Arial" w:cs="Arial" w:eastAsia="Arial" w:hAnsi="Arial"/>
          <w:sz w:val="16"/>
          <w:szCs w:val="16"/>
          <w:color w:val="auto"/>
        </w:rPr>
      </w:pPr>
    </w:p>
    <w:p>
      <w:pPr>
        <w:ind w:left="1952" w:right="60" w:hanging="655"/>
        <w:spacing w:after="0" w:line="264" w:lineRule="auto"/>
        <w:tabs>
          <w:tab w:leader="none" w:pos="195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with the Company’s first payroll after Executive’s termination of employment; and</w:t>
      </w:r>
    </w:p>
    <w:p>
      <w:pPr>
        <w:spacing w:after="0" w:line="181" w:lineRule="exact"/>
        <w:rPr>
          <w:rFonts w:ascii="Arial" w:cs="Arial" w:eastAsia="Arial" w:hAnsi="Arial"/>
          <w:sz w:val="18"/>
          <w:szCs w:val="18"/>
          <w:color w:val="auto"/>
        </w:rPr>
      </w:pPr>
    </w:p>
    <w:p>
      <w:pPr>
        <w:ind w:left="1952" w:right="220" w:hanging="655"/>
        <w:spacing w:after="0" w:line="277" w:lineRule="auto"/>
        <w:tabs>
          <w:tab w:leader="none" w:pos="195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w:t>
      </w:r>
    </w:p>
    <w:p>
      <w:pPr>
        <w:spacing w:after="0" w:line="387" w:lineRule="exact"/>
        <w:rPr>
          <w:sz w:val="20"/>
          <w:szCs w:val="20"/>
          <w:color w:val="auto"/>
        </w:rPr>
      </w:pPr>
    </w:p>
    <w:p>
      <w:pPr>
        <w:jc w:val="both"/>
        <w:ind w:left="1292"/>
        <w:spacing w:after="0" w:line="290" w:lineRule="auto"/>
        <w:rPr>
          <w:sz w:val="20"/>
          <w:szCs w:val="20"/>
          <w:color w:val="auto"/>
        </w:rPr>
      </w:pPr>
      <w:r>
        <w:rPr>
          <w:rFonts w:ascii="Arial" w:cs="Arial" w:eastAsia="Arial" w:hAnsi="Arial"/>
          <w:sz w:val="16"/>
          <w:szCs w:val="16"/>
          <w:color w:val="auto"/>
        </w:rPr>
        <w:t>The Severance Payment and COBRA Payment (to the extent payable as described above) will be paid in substantially equal installments over a period of twelve (12) months following the Separation Date in accordance with the Company’s regular payroll practices, beginning on the Company’s first regular payroll date following the date that the Separation Agreement (as defined below) becomes fully effective and irrevocable (and the first installment will include all amounts that would have been paid on the regular payroll dates of the Company following the Separation Date prior to such date), except as described in Section 13(h) below; provided, however, to the extent any severance payments or benefits that Executive was entitled to receive under this Agreement were subject to Section 409A (as determined in good faith by the Company with the advice of outside counsel), the Severance Payment shall be paid on the schedule set forth in the Existing Agreement to the extent required to prevent any accelerated or additional tax or adverse consequences under Section 409A.</w:t>
      </w:r>
    </w:p>
    <w:p>
      <w:pPr>
        <w:spacing w:after="0" w:line="382" w:lineRule="exact"/>
        <w:rPr>
          <w:sz w:val="20"/>
          <w:szCs w:val="20"/>
          <w:color w:val="auto"/>
        </w:rPr>
      </w:pPr>
    </w:p>
    <w:p>
      <w:pPr>
        <w:jc w:val="both"/>
        <w:ind w:left="1292" w:right="40" w:hanging="644"/>
        <w:spacing w:after="0" w:line="312" w:lineRule="auto"/>
        <w:tabs>
          <w:tab w:leader="none" w:pos="129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Termination Without Cause or For Good Reason following a Change of Control. If, within 12 months following the occurrence of a Change of Control, Executive terminates her employment for Good Reason or the Company terminates Executive’s employment with the Company without Cause, Executive shall receive the following, subject to Section 8(g) and in lieu of the payments described in Section 8(a):</w:t>
      </w:r>
    </w:p>
    <w:p>
      <w:pPr>
        <w:spacing w:after="0" w:line="146" w:lineRule="exact"/>
        <w:rPr>
          <w:rFonts w:ascii="Arial" w:cs="Arial" w:eastAsia="Arial" w:hAnsi="Arial"/>
          <w:sz w:val="16"/>
          <w:szCs w:val="16"/>
          <w:color w:val="auto"/>
        </w:rPr>
      </w:pPr>
    </w:p>
    <w:p>
      <w:pPr>
        <w:ind w:left="1952" w:right="120" w:hanging="655"/>
        <w:spacing w:after="0" w:line="264" w:lineRule="auto"/>
        <w:tabs>
          <w:tab w:leader="none" w:pos="195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amount equal to two times (2x) the sum of Executive’s annual base salary and target annual bonus, in each case, as in effect on the Separation Date (or, if a reduction in Executive’s annual base salary gave rise to Good Reason under this Agreement, as in effect immediately prior to such reduction);</w:t>
      </w:r>
    </w:p>
    <w:p>
      <w:pPr>
        <w:sectPr>
          <w:pgSz w:w="11900" w:h="16838" w:orient="portrait"/>
          <w:cols w:equalWidth="0" w:num="1">
            <w:col w:w="11412"/>
          </w:cols>
          <w:pgMar w:left="248" w:top="800" w:right="239" w:bottom="1440" w:gutter="0" w:footer="0" w:header="0"/>
        </w:sectPr>
      </w:pPr>
    </w:p>
    <w:bookmarkStart w:id="107" w:name="page108"/>
    <w:bookmarkEnd w:id="107"/>
    <w:p>
      <w:pPr>
        <w:ind w:left="1304" w:right="220" w:hanging="655"/>
        <w:spacing w:after="0" w:line="342" w:lineRule="auto"/>
        <w:tabs>
          <w:tab w:leader="none" w:pos="1304"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aggregate amount equal to the employer portion of the monthly premiums paid under the Company’s group health plans as of the Separation Date multiplied by twenty four (24) (the sum of (i) and (ii), “</w:t>
      </w:r>
      <w:r>
        <w:rPr>
          <w:rFonts w:ascii="Arial" w:cs="Arial" w:eastAsia="Arial" w:hAnsi="Arial"/>
          <w:sz w:val="16"/>
          <w:szCs w:val="16"/>
          <w:b w:val="1"/>
          <w:bCs w:val="1"/>
          <w:color w:val="auto"/>
        </w:rPr>
        <w:t>Change in Control Severance Payment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304" w:right="160" w:hanging="655"/>
        <w:spacing w:after="0" w:line="342" w:lineRule="auto"/>
        <w:tabs>
          <w:tab w:leader="none" w:pos="1304"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which shall be payable on the 60th day following Executive’s termination of employment;</w:t>
      </w:r>
    </w:p>
    <w:p>
      <w:pPr>
        <w:spacing w:after="0" w:line="123" w:lineRule="exact"/>
        <w:rPr>
          <w:rFonts w:ascii="Arial" w:cs="Arial" w:eastAsia="Arial" w:hAnsi="Arial"/>
          <w:sz w:val="16"/>
          <w:szCs w:val="16"/>
          <w:color w:val="auto"/>
        </w:rPr>
      </w:pPr>
    </w:p>
    <w:p>
      <w:pPr>
        <w:ind w:left="1304" w:right="720" w:hanging="655"/>
        <w:spacing w:after="0" w:line="264"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on the first payroll date after Executive’s termination of employment;</w:t>
      </w:r>
    </w:p>
    <w:p>
      <w:pPr>
        <w:spacing w:after="0" w:line="181" w:lineRule="exact"/>
        <w:rPr>
          <w:rFonts w:ascii="Arial" w:cs="Arial" w:eastAsia="Arial" w:hAnsi="Arial"/>
          <w:sz w:val="18"/>
          <w:szCs w:val="18"/>
          <w:color w:val="auto"/>
        </w:rPr>
      </w:pPr>
    </w:p>
    <w:p>
      <w:pPr>
        <w:ind w:left="1304" w:hanging="655"/>
        <w:spacing w:after="0" w:line="259"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 Executive acknowledges and agrees that, in connection with any Change of Control transaction, except as otherwise provided in a separate agreement, Executive shall not be entitled to receive, and shall not be paid, any transaction, success, sale or similar bonus or payment; and</w:t>
      </w:r>
    </w:p>
    <w:p>
      <w:pPr>
        <w:spacing w:after="0" w:line="186" w:lineRule="exact"/>
        <w:rPr>
          <w:rFonts w:ascii="Arial" w:cs="Arial" w:eastAsia="Arial" w:hAnsi="Arial"/>
          <w:sz w:val="18"/>
          <w:szCs w:val="18"/>
          <w:color w:val="auto"/>
        </w:rPr>
      </w:pPr>
    </w:p>
    <w:p>
      <w:pPr>
        <w:jc w:val="both"/>
        <w:ind w:left="1304" w:right="140" w:hanging="655"/>
        <w:spacing w:after="0" w:line="264"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stock options or other equity-based award that Executive holds on the Separation Date, to the extent then-unvested, shall vest in full, with performance-based awards vesting at target, and, in the case of stock options, shall remain exercisable as provided in the equity plan or award agreement under which they were granted.</w:t>
      </w:r>
    </w:p>
    <w:p>
      <w:pPr>
        <w:spacing w:after="0" w:line="397" w:lineRule="exact"/>
        <w:rPr>
          <w:sz w:val="20"/>
          <w:szCs w:val="20"/>
          <w:color w:val="auto"/>
        </w:rPr>
      </w:pPr>
    </w:p>
    <w:p>
      <w:pPr>
        <w:jc w:val="both"/>
        <w:ind w:left="644"/>
        <w:spacing w:after="0" w:line="290" w:lineRule="auto"/>
        <w:rPr>
          <w:sz w:val="20"/>
          <w:szCs w:val="20"/>
          <w:color w:val="auto"/>
        </w:rPr>
      </w:pPr>
      <w:r>
        <w:rPr>
          <w:rFonts w:ascii="Arial" w:cs="Arial" w:eastAsia="Arial" w:hAnsi="Arial"/>
          <w:sz w:val="16"/>
          <w:szCs w:val="16"/>
          <w:color w:val="auto"/>
        </w:rPr>
        <w:t>The Change in Control Severance Payment will be paid in substantially equal installments over a period of twelve (12) months following the Separation Date in accordance with the Company’s regular payroll practices, beginning on the Company’s first regular payroll date following the date that the Separation Agreement becomes fully effective and irrevocable (and the first installment will include all amounts that would have been paid on the regular payroll dates of the Company following the Separation Date prior to such date), except as described in Section 13(h) below; provided, however, that the Company shall pay the greatest portion of the Change in Control Severance Payment that is permissible under Section 409A (as determined in good faith by the Company with the advice of outside counsel) without resulting in any accelerated or additional tax or other adverse consequences under Section 409A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 but in no event will be paid later than March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year following the year in which the Separation Date occurs.</w:t>
      </w:r>
    </w:p>
    <w:p>
      <w:pPr>
        <w:spacing w:after="0" w:line="286" w:lineRule="exact"/>
        <w:rPr>
          <w:sz w:val="20"/>
          <w:szCs w:val="20"/>
          <w:color w:val="auto"/>
        </w:rPr>
      </w:pPr>
    </w:p>
    <w:p>
      <w:pPr>
        <w:jc w:val="both"/>
        <w:ind w:left="644" w:right="840" w:hanging="644"/>
        <w:spacing w:after="0" w:line="342" w:lineRule="auto"/>
        <w:tabs>
          <w:tab w:leader="none" w:pos="64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Termination Due to Death or Permanent Disability. Executive’s employment with the Company shall terminate automatically on Executive’s death. In the event of Executive’s Permanent Disability, the Company shall be entitled to terminate her employment.</w:t>
      </w:r>
    </w:p>
    <w:p>
      <w:pPr>
        <w:spacing w:after="0" w:line="119" w:lineRule="exact"/>
        <w:rPr>
          <w:rFonts w:ascii="Arial" w:cs="Arial" w:eastAsia="Arial" w:hAnsi="Arial"/>
          <w:sz w:val="16"/>
          <w:szCs w:val="16"/>
          <w:color w:val="auto"/>
        </w:rPr>
      </w:pPr>
    </w:p>
    <w:p>
      <w:pPr>
        <w:ind w:left="644" w:right="160"/>
        <w:spacing w:after="0" w:line="281" w:lineRule="auto"/>
        <w:rPr>
          <w:rFonts w:ascii="Arial" w:cs="Arial" w:eastAsia="Arial" w:hAnsi="Arial"/>
          <w:sz w:val="16"/>
          <w:szCs w:val="16"/>
          <w:color w:val="auto"/>
        </w:rPr>
      </w:pPr>
      <w:r>
        <w:rPr>
          <w:rFonts w:ascii="Arial" w:cs="Arial" w:eastAsia="Arial" w:hAnsi="Arial"/>
          <w:sz w:val="17"/>
          <w:szCs w:val="17"/>
          <w:color w:val="auto"/>
        </w:rPr>
        <w:t>For purposes of this Agreement, the “</w:t>
      </w:r>
      <w:r>
        <w:rPr>
          <w:rFonts w:ascii="Arial" w:cs="Arial" w:eastAsia="Arial" w:hAnsi="Arial"/>
          <w:sz w:val="17"/>
          <w:szCs w:val="17"/>
          <w:b w:val="1"/>
          <w:bCs w:val="1"/>
          <w:color w:val="auto"/>
        </w:rPr>
        <w:t>Permanent Disability</w:t>
      </w:r>
      <w:r>
        <w:rPr>
          <w:rFonts w:ascii="Arial" w:cs="Arial" w:eastAsia="Arial" w:hAnsi="Arial"/>
          <w:sz w:val="17"/>
          <w:szCs w:val="17"/>
          <w:color w:val="auto"/>
        </w:rPr>
        <w:t>” of Executive shall mean Executive’s inability, because of mental or physical illness or incapacity, whether total or partial, to perform one or more of the material functions of Executive’s position with or without reasonable accommodation, for a period of: (i) 90 consecutive calendar days or (ii) an aggregate of 120 days out of any consecutive 12 month period, and which entitles Executive to receive benefits under a disability plan provided by the Company.</w:t>
      </w:r>
    </w:p>
    <w:p>
      <w:pPr>
        <w:spacing w:after="0" w:line="168"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In the event of a termination of employment under this section, Executive shall be entitled to following, subject to Section 8(g):</w:t>
      </w:r>
    </w:p>
    <w:p>
      <w:pPr>
        <w:spacing w:after="0" w:line="225" w:lineRule="exact"/>
        <w:rPr>
          <w:rFonts w:ascii="Arial" w:cs="Arial" w:eastAsia="Arial" w:hAnsi="Arial"/>
          <w:sz w:val="16"/>
          <w:szCs w:val="16"/>
          <w:color w:val="auto"/>
        </w:rPr>
      </w:pPr>
    </w:p>
    <w:p>
      <w:pPr>
        <w:ind w:left="1304" w:right="160" w:hanging="655"/>
        <w:spacing w:after="0" w:line="342" w:lineRule="auto"/>
        <w:tabs>
          <w:tab w:leader="none" w:pos="1304" w:val="left"/>
        </w:tabs>
        <w:numPr>
          <w:ilvl w:val="1"/>
          <w:numId w:val="60"/>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payable on the sixtieth (60th) day following Executive’s termination of employment;</w:t>
      </w:r>
    </w:p>
    <w:p>
      <w:pPr>
        <w:spacing w:after="0" w:line="123" w:lineRule="exact"/>
        <w:rPr>
          <w:rFonts w:ascii="Arial" w:cs="Arial" w:eastAsia="Arial" w:hAnsi="Arial"/>
          <w:sz w:val="16"/>
          <w:szCs w:val="16"/>
          <w:color w:val="auto"/>
        </w:rPr>
      </w:pPr>
    </w:p>
    <w:p>
      <w:pPr>
        <w:ind w:left="1304" w:right="720" w:hanging="655"/>
        <w:spacing w:after="0" w:line="264"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on the first payroll date after Executive’s termination of employment;</w:t>
      </w:r>
    </w:p>
    <w:p>
      <w:pPr>
        <w:sectPr>
          <w:pgSz w:w="11900" w:h="16838" w:orient="portrait"/>
          <w:cols w:equalWidth="0" w:num="1">
            <w:col w:w="10764"/>
          </w:cols>
          <w:pgMar w:left="896" w:top="800" w:right="239" w:bottom="1440" w:gutter="0" w:footer="0" w:header="0"/>
        </w:sectPr>
      </w:pPr>
    </w:p>
    <w:bookmarkStart w:id="108" w:name="page109"/>
    <w:bookmarkEnd w:id="108"/>
    <w:p>
      <w:pPr>
        <w:ind w:left="1304" w:right="220" w:hanging="655"/>
        <w:spacing w:after="0" w:line="277"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 and</w:t>
      </w:r>
    </w:p>
    <w:p>
      <w:pPr>
        <w:spacing w:after="0" w:line="170" w:lineRule="exact"/>
        <w:rPr>
          <w:rFonts w:ascii="Arial" w:cs="Arial" w:eastAsia="Arial" w:hAnsi="Arial"/>
          <w:sz w:val="18"/>
          <w:szCs w:val="18"/>
          <w:color w:val="auto"/>
        </w:rPr>
      </w:pPr>
    </w:p>
    <w:p>
      <w:pPr>
        <w:ind w:left="1304" w:right="220" w:hanging="655"/>
        <w:spacing w:after="0" w:line="279" w:lineRule="auto"/>
        <w:tabs>
          <w:tab w:leader="none" w:pos="13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 pro rata portion of Executive’s target annual bonus for the year of termination, based on the percentage of the fiscal year that shall have elapsed through the Separation Date, payable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w:t>
      </w:r>
    </w:p>
    <w:p>
      <w:pPr>
        <w:spacing w:after="0" w:line="171" w:lineRule="exact"/>
        <w:rPr>
          <w:rFonts w:ascii="Arial" w:cs="Arial" w:eastAsia="Arial" w:hAnsi="Arial"/>
          <w:sz w:val="17"/>
          <w:szCs w:val="17"/>
          <w:color w:val="auto"/>
        </w:rPr>
      </w:pPr>
    </w:p>
    <w:p>
      <w:pPr>
        <w:ind w:left="644" w:right="80" w:hanging="644"/>
        <w:spacing w:after="0" w:line="269" w:lineRule="auto"/>
        <w:tabs>
          <w:tab w:leader="none" w:pos="64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Other Terminations.</w:t>
      </w:r>
      <w:r>
        <w:rPr>
          <w:rFonts w:ascii="Arial" w:cs="Arial" w:eastAsia="Arial" w:hAnsi="Arial"/>
          <w:sz w:val="17"/>
          <w:szCs w:val="17"/>
          <w:color w:val="auto"/>
        </w:rPr>
        <w:t xml:space="preserve"> Executive shall not be entitled to the post-termination benefits set forth in Section 8(a), Section 8(b) or Section 8(c) above if her employment with the Company ceases for any reason other than her termination by the Company without Cause, her resignation for Good Reason or her termination as a result of her death or Permanent Disability; it being understood that if Executive’s employment with the Company ceases or terminates for any other reason, he will not be entitled to any severance or post-termination benefits or payments, whether hereunder or pursuant to any policy of the Company, other than a lump sum amount equal to any earned, but unpaid, Base Salary, if any, through the date of Executive’s termination of employment, less taxes and withholdings (payable on the first payroll date after Executive’s termination of employment), and a lump sum amount equal to any unreimbursed business expenses, if any, pursuant to and in accordance with Section 3(e), incurred through the date of Executive’s termination of employment; provided, that this paragraph shall not alter Executive’s rights or obligations he may have or be subject to in connection with or with respect to her equity interests in Holdings, and Executive’s indemnification rights shall continue to be governed in accordance with any Directors and Officers Liability Insurance Policy that the Company may maintain and/or with the Company’s certificate of incorporation or by-bylaws or similar governing document, and otherwise in accordance with Section 7.</w:t>
      </w:r>
    </w:p>
    <w:p>
      <w:pPr>
        <w:spacing w:after="0" w:line="175" w:lineRule="exact"/>
        <w:rPr>
          <w:rFonts w:ascii="Arial" w:cs="Arial" w:eastAsia="Arial" w:hAnsi="Arial"/>
          <w:sz w:val="17"/>
          <w:szCs w:val="17"/>
          <w:color w:val="auto"/>
        </w:rPr>
      </w:pPr>
    </w:p>
    <w:p>
      <w:pPr>
        <w:ind w:left="644" w:right="20" w:hanging="644"/>
        <w:spacing w:after="0" w:line="254" w:lineRule="auto"/>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Cause Definition</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xml:space="preserve">” means (i) material failure by Executive to perform Executive’s employment duties (other than as a consequence of any illness, accident or disability), (ii) continued, willful failure of Executive to carry out any reasonable lawful direction of the Company, (iii) material failure of Executive to comply with any of the applicable rules of the Company contained in its Employee Handbook or any other Company policy, (iv) fraud, willful malfeasance, gross negligence or recklessness of Executive in the performance of employment duties, (v) willful failure of Executive to comply with any of the material terms of this Agreement, (vi) other serious, willful misconduct of Executive which causes material injury to the Company or its reputation, including, but not limited to, willful or gross misconduct toward any of the Company’s other employees, and (vii) conviction of a crime (or a pleading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other than one which in the opinion of the Board does not affect Executive’s position as an employee of the Company.</w:t>
      </w:r>
    </w:p>
    <w:p>
      <w:pPr>
        <w:spacing w:after="0" w:line="189" w:lineRule="exact"/>
        <w:rPr>
          <w:rFonts w:ascii="Arial" w:cs="Arial" w:eastAsia="Arial" w:hAnsi="Arial"/>
          <w:sz w:val="18"/>
          <w:szCs w:val="18"/>
          <w:color w:val="auto"/>
        </w:rPr>
      </w:pPr>
    </w:p>
    <w:p>
      <w:pPr>
        <w:ind w:left="644" w:hanging="644"/>
        <w:spacing w:after="0" w:line="270" w:lineRule="auto"/>
        <w:tabs>
          <w:tab w:leader="none" w:pos="64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Good Reason Definition</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Good Reason</w:t>
      </w:r>
      <w:r>
        <w:rPr>
          <w:rFonts w:ascii="Arial" w:cs="Arial" w:eastAsia="Arial" w:hAnsi="Arial"/>
          <w:sz w:val="17"/>
          <w:szCs w:val="17"/>
          <w:color w:val="auto"/>
        </w:rPr>
        <w:t>” means, without the Executive’s consent (i) a material decrease in Executive’s base salary or failure to pay salary when due; (ii) a material diminution in Executive’s duties or responsibilities (provided however, that a mere change in Executive’s title or reporting relationship alone shall not constitute “Good Reason”); (iii) the failure of the Company to cause the transferee or successor to all or substantially all of the assets of the Company or line of business to which Executive’s employment principally relates to assume by operation of law or contractually the Company’s obligations hereunder; or (iv) the relocation of Executive’s principal work location to a location more than fifty (50) miles from its current location; provided, in each case, that (A) Executive provides written notice to the Company, setting forth in reasonable detail the event giving rise to Good Reason within thirty (30) days following the initial occurrence of such event, (B) such event is not cured by the Company within thirty (30) days following its receipt of such written notice, and (C) Executive actually terminates Executive’s employment not later than thirty (30) days following the expiration of such cure period.</w:t>
      </w:r>
    </w:p>
    <w:p>
      <w:pPr>
        <w:spacing w:after="0" w:line="181" w:lineRule="exact"/>
        <w:rPr>
          <w:rFonts w:ascii="Arial" w:cs="Arial" w:eastAsia="Arial" w:hAnsi="Arial"/>
          <w:sz w:val="17"/>
          <w:szCs w:val="17"/>
          <w:color w:val="auto"/>
        </w:rPr>
      </w:pPr>
    </w:p>
    <w:p>
      <w:pPr>
        <w:ind w:left="644" w:right="20" w:hanging="644"/>
        <w:spacing w:after="0" w:line="272" w:lineRule="auto"/>
        <w:tabs>
          <w:tab w:leader="none" w:pos="64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Separation Agreement and General Release</w:t>
      </w:r>
      <w:r>
        <w:rPr>
          <w:rFonts w:ascii="Arial" w:cs="Arial" w:eastAsia="Arial" w:hAnsi="Arial"/>
          <w:sz w:val="17"/>
          <w:szCs w:val="17"/>
          <w:color w:val="auto"/>
        </w:rPr>
        <w:t>. The payments and benefits set forth in Sections 8(a), 8(b) and 8(c) above shall be expressly conditioned upon Executive’s (or her estate or legal representatives, in the case of Section 4(c)) execution and delivery to the Company of a Separation Agreement and General Release in a form that is acceptable to the Company (the “</w:t>
      </w:r>
      <w:r>
        <w:rPr>
          <w:rFonts w:ascii="Arial" w:cs="Arial" w:eastAsia="Arial" w:hAnsi="Arial"/>
          <w:sz w:val="17"/>
          <w:szCs w:val="17"/>
          <w:b w:val="1"/>
          <w:bCs w:val="1"/>
          <w:color w:val="auto"/>
        </w:rPr>
        <w:t>Separation Agreement</w:t>
      </w:r>
      <w:r>
        <w:rPr>
          <w:rFonts w:ascii="Arial" w:cs="Arial" w:eastAsia="Arial" w:hAnsi="Arial"/>
          <w:sz w:val="17"/>
          <w:szCs w:val="17"/>
          <w:color w:val="auto"/>
        </w:rPr>
        <w:t>”) and such Separation Agreement becoming irrevocable within sixty (60) days following Executive’s termination of employment. For the avoidance of doubt, the payments and benefits set forth in Sections 8(a), 8(b) and 8(c) above shall be forfeited if such Separation Agreement has not been executed, delivered and become irrevocable within such sixty (60) day period. Such Separation Agreement shall contain release language substantially similar to the language set forth in Exhibit A attached hereto.</w:t>
      </w:r>
    </w:p>
    <w:p>
      <w:pPr>
        <w:sectPr>
          <w:pgSz w:w="11900" w:h="16838" w:orient="portrait"/>
          <w:cols w:equalWidth="0" w:num="1">
            <w:col w:w="10764"/>
          </w:cols>
          <w:pgMar w:left="896" w:top="800" w:right="239" w:bottom="1440" w:gutter="0" w:footer="0" w:header="0"/>
        </w:sectPr>
      </w:pPr>
    </w:p>
    <w:bookmarkStart w:id="109" w:name="page110"/>
    <w:bookmarkEnd w:id="109"/>
    <w:p>
      <w:pPr>
        <w:ind w:left="1292" w:hanging="644"/>
        <w:spacing w:after="0" w:line="264"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Board/Committee Resignation.</w:t>
      </w:r>
      <w:r>
        <w:rPr>
          <w:rFonts w:ascii="Arial" w:cs="Arial" w:eastAsia="Arial" w:hAnsi="Arial"/>
          <w:sz w:val="18"/>
          <w:szCs w:val="18"/>
          <w:color w:val="auto"/>
        </w:rPr>
        <w:t xml:space="preserve"> Upon termination of Executive’s employment for any reason, Executive agrees to resign, as of the date of such termination and to the extent applicable, from the Board (and any committees thereof) and the Board of Directors (and any committees thereof) of any of the Company’s subsidiaries or affiliates.</w:t>
      </w:r>
    </w:p>
    <w:p>
      <w:pPr>
        <w:spacing w:after="0" w:line="177" w:lineRule="exact"/>
        <w:rPr>
          <w:rFonts w:ascii="Arial" w:cs="Arial" w:eastAsia="Arial" w:hAnsi="Arial"/>
          <w:sz w:val="18"/>
          <w:szCs w:val="18"/>
          <w:color w:val="auto"/>
        </w:rPr>
      </w:pPr>
    </w:p>
    <w:p>
      <w:pPr>
        <w:ind w:left="1292" w:right="260" w:hanging="644"/>
        <w:spacing w:after="0" w:line="282"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Beneficial Owner Definition</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ascribed to such term in Rule 13d-3 under the Securities Exchange Act of 1934, as amended.</w:t>
      </w:r>
    </w:p>
    <w:p>
      <w:pPr>
        <w:spacing w:after="0" w:line="161" w:lineRule="exact"/>
        <w:rPr>
          <w:rFonts w:ascii="Arial" w:cs="Arial" w:eastAsia="Arial" w:hAnsi="Arial"/>
          <w:sz w:val="18"/>
          <w:szCs w:val="18"/>
          <w:color w:val="auto"/>
        </w:rPr>
      </w:pPr>
    </w:p>
    <w:p>
      <w:pPr>
        <w:ind w:left="1292" w:hanging="644"/>
        <w:spacing w:after="0"/>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Change of Control Definition</w:t>
      </w:r>
      <w:r>
        <w:rPr>
          <w:rFonts w:ascii="Arial" w:cs="Arial" w:eastAsia="Arial" w:hAnsi="Arial"/>
          <w:sz w:val="18"/>
          <w:szCs w:val="18"/>
          <w:color w:val="auto"/>
        </w:rPr>
        <w:t xml:space="preserve">. For purposes of this Agreement,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Change in Control</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means any of the following:</w:t>
      </w:r>
    </w:p>
    <w:p>
      <w:pPr>
        <w:spacing w:after="0" w:line="229" w:lineRule="exact"/>
        <w:rPr>
          <w:rFonts w:ascii="Arial" w:cs="Arial" w:eastAsia="Arial" w:hAnsi="Arial"/>
          <w:sz w:val="18"/>
          <w:szCs w:val="18"/>
          <w:color w:val="auto"/>
        </w:rPr>
      </w:pPr>
    </w:p>
    <w:p>
      <w:pPr>
        <w:ind w:left="1952" w:right="40" w:hanging="655"/>
        <w:spacing w:after="0" w:line="270" w:lineRule="auto"/>
        <w:tabs>
          <w:tab w:leader="none" w:pos="1952" w:val="left"/>
        </w:tabs>
        <w:numPr>
          <w:ilvl w:val="2"/>
          <w:numId w:val="63"/>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more than fifty percent (50%) of the combined voting power, excluding any Person who is the Beneficial Owner of fifty percent (50%) or more of the voting power on the date this Agreement is accepted and agreed to by Executive, of the then outstanding voting securities of the Company entitled to vote generally in the election of its directors (the “</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xml:space="preserve">”), including by way of merger, consolidation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definition, the following acquisitions shall not constitute a Change in Control: (i) any acquisition of Outstanding Company Voting Securities directly from the Company, including, without limitation, in a public offering of securities, or (ii) any acquisition of Outstanding Company Voting Securities by the Company or any of its subsidiaries, including, without limitation, an acquisition by any employee benefit plan or related trust sponsored or maintained by the Company or any of its subsidiaries.</w:t>
      </w:r>
    </w:p>
    <w:p>
      <w:pPr>
        <w:spacing w:after="0" w:line="181" w:lineRule="exact"/>
        <w:rPr>
          <w:rFonts w:ascii="Arial" w:cs="Arial" w:eastAsia="Arial" w:hAnsi="Arial"/>
          <w:sz w:val="17"/>
          <w:szCs w:val="17"/>
          <w:color w:val="auto"/>
        </w:rPr>
      </w:pPr>
    </w:p>
    <w:p>
      <w:pPr>
        <w:ind w:left="1952" w:hanging="655"/>
        <w:spacing w:after="0" w:line="268" w:lineRule="auto"/>
        <w:tabs>
          <w:tab w:leader="none" w:pos="1952" w:val="left"/>
        </w:tabs>
        <w:numPr>
          <w:ilvl w:val="2"/>
          <w:numId w:val="63"/>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to which the Company is a party or a sale or other disposition of all or substantially all of the assets of the Company or the line of business to which Executive’s employment principally relates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7"/>
          <w:szCs w:val="17"/>
          <w:b w:val="1"/>
          <w:bCs w:val="1"/>
          <w:color w:val="auto"/>
        </w:rPr>
        <w:t>Successor Entity</w:t>
      </w:r>
      <w:r>
        <w:rPr>
          <w:rFonts w:ascii="Arial" w:cs="Arial" w:eastAsia="Arial" w:hAnsi="Arial"/>
          <w:sz w:val="17"/>
          <w:szCs w:val="17"/>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85" w:lineRule="exact"/>
        <w:rPr>
          <w:rFonts w:ascii="Arial" w:cs="Arial" w:eastAsia="Arial" w:hAnsi="Arial"/>
          <w:sz w:val="17"/>
          <w:szCs w:val="17"/>
          <w:color w:val="auto"/>
        </w:rPr>
      </w:pPr>
    </w:p>
    <w:p>
      <w:pPr>
        <w:ind w:left="1952" w:hanging="655"/>
        <w:spacing w:after="0"/>
        <w:tabs>
          <w:tab w:leader="none" w:pos="1952" w:val="left"/>
        </w:tabs>
        <w:numPr>
          <w:ilvl w:val="2"/>
          <w:numId w:val="6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1" w:lineRule="exact"/>
        <w:rPr>
          <w:rFonts w:ascii="Arial" w:cs="Arial" w:eastAsia="Arial" w:hAnsi="Arial"/>
          <w:sz w:val="18"/>
          <w:szCs w:val="18"/>
          <w:color w:val="auto"/>
        </w:rPr>
      </w:pPr>
    </w:p>
    <w:p>
      <w:pPr>
        <w:ind w:left="1292" w:right="720" w:hanging="644"/>
        <w:spacing w:after="0" w:line="282" w:lineRule="auto"/>
        <w:tabs>
          <w:tab w:leader="none" w:pos="12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Separation Date Definition</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Separation Date</w:t>
      </w:r>
      <w:r>
        <w:rPr>
          <w:rFonts w:ascii="Arial" w:cs="Arial" w:eastAsia="Arial" w:hAnsi="Arial"/>
          <w:sz w:val="18"/>
          <w:szCs w:val="18"/>
          <w:color w:val="auto"/>
        </w:rPr>
        <w:t>” means the date Executive’s employment with the Company terminates.</w:t>
      </w:r>
    </w:p>
    <w:p>
      <w:pPr>
        <w:spacing w:after="0" w:line="165" w:lineRule="exact"/>
        <w:rPr>
          <w:rFonts w:ascii="Arial" w:cs="Arial" w:eastAsia="Arial" w:hAnsi="Arial"/>
          <w:sz w:val="18"/>
          <w:szCs w:val="18"/>
          <w:color w:val="auto"/>
        </w:rPr>
      </w:pPr>
    </w:p>
    <w:p>
      <w:pPr>
        <w:ind w:left="652" w:hanging="652"/>
        <w:spacing w:after="0"/>
        <w:tabs>
          <w:tab w:leader="none" w:pos="65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180" w:hanging="644"/>
        <w:spacing w:after="0" w:line="277" w:lineRule="auto"/>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Executive acknowledges and recognizes the highly competitive nature of the businesses of the Company and its affiliates and accordingly agrees as follows:</w:t>
      </w:r>
    </w:p>
    <w:p>
      <w:pPr>
        <w:spacing w:after="0" w:line="170" w:lineRule="exact"/>
        <w:rPr>
          <w:rFonts w:ascii="Arial" w:cs="Arial" w:eastAsia="Arial" w:hAnsi="Arial"/>
          <w:sz w:val="18"/>
          <w:szCs w:val="18"/>
          <w:color w:val="auto"/>
        </w:rPr>
      </w:pPr>
    </w:p>
    <w:p>
      <w:pPr>
        <w:ind w:left="1952" w:right="20" w:hanging="655"/>
        <w:spacing w:after="0" w:line="257" w:lineRule="auto"/>
        <w:tabs>
          <w:tab w:leader="none" w:pos="19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 xml:space="preserve">During Executive’s employment with the Company and, for a period of one year following the date Executive ceases to be employed by the Company (the </w:t>
      </w:r>
      <w:r>
        <w:rPr>
          <w:rFonts w:ascii="Arial" w:cs="Arial" w:eastAsia="Arial" w:hAnsi="Arial"/>
          <w:sz w:val="18"/>
          <w:szCs w:val="18"/>
          <w:b w:val="1"/>
          <w:bCs w:val="1"/>
          <w:color w:val="auto"/>
        </w:rPr>
        <w:t>“Restricted Period</w:t>
      </w:r>
      <w:r>
        <w:rPr>
          <w:rFonts w:ascii="Arial" w:cs="Arial" w:eastAsia="Arial" w:hAnsi="Arial"/>
          <w:sz w:val="18"/>
          <w:szCs w:val="18"/>
          <w:color w:val="auto"/>
        </w:rPr>
        <w:t>”), Executive will not, whether on Executive’s own behalf or on behalf of or in conjunction with any person, firm, partnership, joint venture, association, corporation or other business organization, entity or enterprise whatsoever (“</w:t>
      </w:r>
      <w:r>
        <w:rPr>
          <w:rFonts w:ascii="Arial" w:cs="Arial" w:eastAsia="Arial" w:hAnsi="Arial"/>
          <w:sz w:val="18"/>
          <w:szCs w:val="18"/>
          <w:b w:val="1"/>
          <w:bCs w:val="1"/>
          <w:color w:val="auto"/>
        </w:rPr>
        <w:t>Person</w:t>
      </w:r>
      <w:r>
        <w:rPr>
          <w:rFonts w:ascii="Arial" w:cs="Arial" w:eastAsia="Arial" w:hAnsi="Arial"/>
          <w:sz w:val="18"/>
          <w:szCs w:val="18"/>
          <w:color w:val="auto"/>
        </w:rPr>
        <w:t>”), directly or indirectly solicit or assist in soliciting in competition with the Company, the business of any client or prospective client:</w:t>
      </w:r>
    </w:p>
    <w:p>
      <w:pPr>
        <w:sectPr>
          <w:pgSz w:w="11900" w:h="16838" w:orient="portrait"/>
          <w:cols w:equalWidth="0" w:num="1">
            <w:col w:w="11392"/>
          </w:cols>
          <w:pgMar w:left="248" w:top="800" w:right="259" w:bottom="1440" w:gutter="0" w:footer="0" w:header="0"/>
        </w:sectPr>
      </w:pPr>
    </w:p>
    <w:bookmarkStart w:id="110" w:name="page111"/>
    <w:bookmarkEnd w:id="110"/>
    <w:p>
      <w:pPr>
        <w:ind w:left="1400" w:right="200" w:hanging="647"/>
        <w:spacing w:after="0" w:line="277" w:lineRule="auto"/>
        <w:tabs>
          <w:tab w:leader="none" w:pos="14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whom Executive had personal contact or dealings on behalf of the Company during the one-year period preceding Executive’s termination of employment;</w:t>
      </w:r>
    </w:p>
    <w:p>
      <w:pPr>
        <w:spacing w:after="0" w:line="170" w:lineRule="exact"/>
        <w:rPr>
          <w:rFonts w:ascii="Arial" w:cs="Arial" w:eastAsia="Arial" w:hAnsi="Arial"/>
          <w:sz w:val="18"/>
          <w:szCs w:val="18"/>
          <w:color w:val="auto"/>
        </w:rPr>
      </w:pPr>
    </w:p>
    <w:p>
      <w:pPr>
        <w:ind w:left="1400" w:right="120" w:hanging="647"/>
        <w:spacing w:after="0" w:line="277" w:lineRule="auto"/>
        <w:tabs>
          <w:tab w:leader="none" w:pos="14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whom employees reporting to Executive had personal contact or dealings on behalf of the Company during the one year immediately preceding the Executive’s termination of employment; or</w:t>
      </w:r>
    </w:p>
    <w:p>
      <w:pPr>
        <w:spacing w:after="0" w:line="170" w:lineRule="exact"/>
        <w:rPr>
          <w:rFonts w:ascii="Arial" w:cs="Arial" w:eastAsia="Arial" w:hAnsi="Arial"/>
          <w:sz w:val="18"/>
          <w:szCs w:val="18"/>
          <w:color w:val="auto"/>
        </w:rPr>
      </w:pPr>
    </w:p>
    <w:p>
      <w:pPr>
        <w:ind w:left="1400" w:right="720" w:hanging="647"/>
        <w:spacing w:after="0" w:line="277" w:lineRule="auto"/>
        <w:tabs>
          <w:tab w:leader="none" w:pos="14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whom Executive had direct or indirect responsibility during the one year immediately preceding Executive’s termination of employment.</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Restricted Period, Executive will not directly or indirectly:</w:t>
      </w:r>
    </w:p>
    <w:p>
      <w:pPr>
        <w:spacing w:after="0" w:line="225" w:lineRule="exact"/>
        <w:rPr>
          <w:rFonts w:ascii="Arial" w:cs="Arial" w:eastAsia="Arial" w:hAnsi="Arial"/>
          <w:sz w:val="18"/>
          <w:szCs w:val="18"/>
          <w:color w:val="auto"/>
        </w:rPr>
      </w:pPr>
    </w:p>
    <w:p>
      <w:pPr>
        <w:ind w:left="1400" w:right="60" w:hanging="647"/>
        <w:spacing w:after="0" w:line="297" w:lineRule="auto"/>
        <w:tabs>
          <w:tab w:leader="none" w:pos="14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engage in any business that competes with the business or businesses of the Company or any of its affiliates, namely in the testing, development and manufacturing services for the development, manufacture, distribution, marketing or sale of radiopharmaceutical products, contrast imaging agents and/or radioactive generators for the global medical imaging and pharmaceutical industries, and including, without limitation, businesses which the Company or its affiliates have specific plans to conduct in the future and as to which Executive is aware of such planning (a </w:t>
      </w:r>
      <w:r>
        <w:rPr>
          <w:rFonts w:ascii="Arial" w:cs="Arial" w:eastAsia="Arial" w:hAnsi="Arial"/>
          <w:sz w:val="16"/>
          <w:szCs w:val="16"/>
          <w:b w:val="1"/>
          <w:bCs w:val="1"/>
          <w:color w:val="auto"/>
        </w:rPr>
        <w:t>“Competitive Business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400" w:right="340" w:hanging="647"/>
        <w:spacing w:after="0" w:line="277" w:lineRule="auto"/>
        <w:tabs>
          <w:tab w:leader="none" w:pos="1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enter the employ of, or render any services to, any Person (or any division or controlled or controlling affiliate of any Person) who or which engages in a Competitive Business;</w:t>
      </w:r>
    </w:p>
    <w:p>
      <w:pPr>
        <w:spacing w:after="0" w:line="170" w:lineRule="exact"/>
        <w:rPr>
          <w:rFonts w:ascii="Arial" w:cs="Arial" w:eastAsia="Arial" w:hAnsi="Arial"/>
          <w:sz w:val="18"/>
          <w:szCs w:val="18"/>
          <w:color w:val="auto"/>
        </w:rPr>
      </w:pPr>
    </w:p>
    <w:p>
      <w:pPr>
        <w:ind w:left="1400" w:right="640" w:hanging="647"/>
        <w:spacing w:after="0" w:line="342" w:lineRule="auto"/>
        <w:tabs>
          <w:tab w:leader="none" w:pos="14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acquire a financial interest in, or otherwise become actively involved with, any Competitive Business, directly or indirectly, as an individual, partner, shareholder, officer, director, principal, agent, trustee or consultant; or</w:t>
      </w:r>
    </w:p>
    <w:p>
      <w:pPr>
        <w:spacing w:after="0" w:line="123" w:lineRule="exact"/>
        <w:rPr>
          <w:rFonts w:ascii="Arial" w:cs="Arial" w:eastAsia="Arial" w:hAnsi="Arial"/>
          <w:sz w:val="16"/>
          <w:szCs w:val="16"/>
          <w:color w:val="auto"/>
        </w:rPr>
      </w:pPr>
    </w:p>
    <w:p>
      <w:pPr>
        <w:ind w:left="1400" w:hanging="647"/>
        <w:spacing w:after="0" w:line="264" w:lineRule="auto"/>
        <w:tabs>
          <w:tab w:leader="none" w:pos="1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interfere with, or attempt to interfere with, business relationships (whether formed before, on or after the date of this Agreement) between the Company or any of its affiliates and customers, clients, suppliers, partners, members or investors of the Company or its affiliates.</w:t>
      </w:r>
    </w:p>
    <w:p>
      <w:pPr>
        <w:spacing w:after="0" w:line="181" w:lineRule="exact"/>
        <w:rPr>
          <w:rFonts w:ascii="Arial" w:cs="Arial" w:eastAsia="Arial" w:hAnsi="Arial"/>
          <w:sz w:val="18"/>
          <w:szCs w:val="18"/>
          <w:color w:val="auto"/>
        </w:rPr>
      </w:pPr>
    </w:p>
    <w:p>
      <w:pPr>
        <w:ind w:left="760" w:hanging="655"/>
        <w:spacing w:after="0" w:line="302" w:lineRule="auto"/>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Executive may, directly or indirectly, own, solely as an investment, securities of any Person engaged in the business of the Company or its affiliates which are publicly traded on a national or regional stock exchange or on the over-the-counter market if Executive (i) is not a controlling person of, or a member of a group which controls, such Person and (ii) does not, directly or indirectly, own 5% or more of any class of securities of such Person.</w:t>
      </w:r>
    </w:p>
    <w:p>
      <w:pPr>
        <w:spacing w:after="0" w:line="154" w:lineRule="exact"/>
        <w:rPr>
          <w:rFonts w:ascii="Arial" w:cs="Arial" w:eastAsia="Arial" w:hAnsi="Arial"/>
          <w:sz w:val="16"/>
          <w:szCs w:val="16"/>
          <w:color w:val="auto"/>
        </w:rPr>
      </w:pPr>
    </w:p>
    <w:p>
      <w:pPr>
        <w:ind w:left="760" w:right="260" w:hanging="655"/>
        <w:spacing w:after="0" w:line="27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Restricted Period, Executive will not, whether on Executive’s own behalf or on behalf of or in conjunction with any Person, directly or indirectly:</w:t>
      </w:r>
    </w:p>
    <w:p>
      <w:pPr>
        <w:spacing w:after="0" w:line="170" w:lineRule="exact"/>
        <w:rPr>
          <w:rFonts w:ascii="Arial" w:cs="Arial" w:eastAsia="Arial" w:hAnsi="Arial"/>
          <w:sz w:val="18"/>
          <w:szCs w:val="18"/>
          <w:color w:val="auto"/>
        </w:rPr>
      </w:pPr>
    </w:p>
    <w:p>
      <w:pPr>
        <w:ind w:left="1400" w:right="360" w:hanging="647"/>
        <w:spacing w:after="0" w:line="277" w:lineRule="auto"/>
        <w:tabs>
          <w:tab w:leader="none" w:pos="1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solicit or encourage any employee or consultant of the Company or its affiliates to leave the employment of, or cease providing services to, the Company or its affiliates; or</w:t>
      </w:r>
    </w:p>
    <w:p>
      <w:pPr>
        <w:spacing w:after="0" w:line="170" w:lineRule="exact"/>
        <w:rPr>
          <w:rFonts w:ascii="Arial" w:cs="Arial" w:eastAsia="Arial" w:hAnsi="Arial"/>
          <w:sz w:val="18"/>
          <w:szCs w:val="18"/>
          <w:color w:val="auto"/>
        </w:rPr>
      </w:pPr>
    </w:p>
    <w:p>
      <w:pPr>
        <w:ind w:left="1400" w:right="40" w:hanging="647"/>
        <w:spacing w:after="0" w:line="259" w:lineRule="auto"/>
        <w:tabs>
          <w:tab w:leader="none" w:pos="1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hire any such employee or consultant who was employed by or providing services to the Company or its affiliates as of the date of Executive’s termination of employment with the Company or who left the employment of or ceased providing services to the Company or its affiliates coincident with, or within one year prior to or after, the termination of Executive’s employment with the Company.</w:t>
      </w:r>
    </w:p>
    <w:p>
      <w:pPr>
        <w:spacing w:after="0" w:line="186" w:lineRule="exact"/>
        <w:rPr>
          <w:rFonts w:ascii="Arial" w:cs="Arial" w:eastAsia="Arial" w:hAnsi="Arial"/>
          <w:sz w:val="18"/>
          <w:szCs w:val="18"/>
          <w:color w:val="auto"/>
        </w:rPr>
      </w:pPr>
    </w:p>
    <w:p>
      <w:pPr>
        <w:ind w:left="1400" w:right="40" w:hanging="647"/>
        <w:spacing w:after="0" w:line="293" w:lineRule="auto"/>
        <w:tabs>
          <w:tab w:leader="none" w:pos="14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It is expressly understood and agreed that although Executive and the Company consider the restrictions contained in this Section 9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w:t>
      </w:r>
    </w:p>
    <w:p>
      <w:pPr>
        <w:sectPr>
          <w:pgSz w:w="11900" w:h="16838" w:orient="portrait"/>
          <w:cols w:equalWidth="0" w:num="1">
            <w:col w:w="10180"/>
          </w:cols>
          <w:pgMar w:left="1440" w:top="800" w:right="279" w:bottom="1440" w:gutter="0" w:footer="0" w:header="0"/>
        </w:sectPr>
      </w:pPr>
    </w:p>
    <w:bookmarkStart w:id="111" w:name="page112"/>
    <w:bookmarkEnd w:id="111"/>
    <w:p>
      <w:pPr>
        <w:ind w:left="2592" w:right="440"/>
        <w:spacing w:after="0" w:line="324" w:lineRule="auto"/>
        <w:rPr>
          <w:sz w:val="20"/>
          <w:szCs w:val="20"/>
          <w:color w:val="auto"/>
        </w:rPr>
      </w:pPr>
      <w:r>
        <w:rPr>
          <w:rFonts w:ascii="Arial" w:cs="Arial" w:eastAsia="Arial" w:hAnsi="Arial"/>
          <w:sz w:val="18"/>
          <w:szCs w:val="18"/>
          <w:color w:val="auto"/>
        </w:rPr>
        <w:t>unenforceable, and such restriction cannot be amended so as to make it enforceable, such finding shall not affect the enforceability of any of the other restrictions contained herein.</w:t>
      </w:r>
    </w:p>
    <w:p>
      <w:pPr>
        <w:spacing w:after="0" w:line="143" w:lineRule="exact"/>
        <w:rPr>
          <w:sz w:val="20"/>
          <w:szCs w:val="20"/>
          <w:color w:val="auto"/>
        </w:rPr>
      </w:pPr>
    </w:p>
    <w:p>
      <w:pPr>
        <w:ind w:left="1292" w:hanging="644"/>
        <w:spacing w:after="0"/>
        <w:tabs>
          <w:tab w:leader="none" w:pos="12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provisions of this Section 9 shall survive the termination of this Agreement and Executive’s employment for any reason.</w:t>
      </w:r>
    </w:p>
    <w:p>
      <w:pPr>
        <w:spacing w:after="0" w:line="225" w:lineRule="exact"/>
        <w:rPr>
          <w:rFonts w:ascii="Arial" w:cs="Arial" w:eastAsia="Arial" w:hAnsi="Arial"/>
          <w:sz w:val="18"/>
          <w:szCs w:val="18"/>
          <w:color w:val="auto"/>
        </w:rPr>
      </w:pPr>
    </w:p>
    <w:p>
      <w:pPr>
        <w:ind w:left="652" w:right="100" w:hanging="652"/>
        <w:spacing w:after="0" w:line="302" w:lineRule="auto"/>
        <w:tabs>
          <w:tab w:leader="none" w:pos="65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Executive shall not at any time (whether during or after Executive’s employment with the Company) make, or cause to be made, any statement or communicate any information (whether oral or written) that disparages or reflects negatively on the Company or any of its affiliates, except for truthful statements that may be made pursuant to legal process, including without limitation in litigation, arbitration or similar dispute resolution proceedings. This Section 10 shall survive the termination of this Agreement and Executive’s employment for any reason.</w:t>
      </w:r>
    </w:p>
    <w:p>
      <w:pPr>
        <w:spacing w:after="0" w:line="154" w:lineRule="exact"/>
        <w:rPr>
          <w:rFonts w:ascii="Arial" w:cs="Arial" w:eastAsia="Arial" w:hAnsi="Arial"/>
          <w:sz w:val="16"/>
          <w:szCs w:val="16"/>
          <w:color w:val="auto"/>
        </w:rPr>
      </w:pPr>
    </w:p>
    <w:p>
      <w:pPr>
        <w:ind w:left="652" w:hanging="652"/>
        <w:spacing w:after="0"/>
        <w:tabs>
          <w:tab w:leader="none" w:pos="65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52" w:right="160" w:hanging="655"/>
        <w:spacing w:after="0" w:line="288" w:lineRule="auto"/>
        <w:tabs>
          <w:tab w:leader="none" w:pos="19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 xml:space="preserve">Executive will not at any time (whether during or after Executive’s employment with the Company) (x) retain or use for the benefit, purposes or account of Executive or any other Person; or (y) disclose, divulge, reveal, communicate, share, transfer or provide access to any Person outside the Company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on a confidential basis </w:t>
      </w: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without the prior written authorization of the Board.</w:t>
      </w:r>
    </w:p>
    <w:p>
      <w:pPr>
        <w:spacing w:after="0" w:line="169" w:lineRule="exact"/>
        <w:rPr>
          <w:rFonts w:ascii="Arial" w:cs="Arial" w:eastAsia="Arial" w:hAnsi="Arial"/>
          <w:sz w:val="16"/>
          <w:szCs w:val="16"/>
          <w:color w:val="auto"/>
        </w:rPr>
      </w:pPr>
    </w:p>
    <w:p>
      <w:pPr>
        <w:ind w:left="1952" w:right="60" w:hanging="655"/>
        <w:spacing w:after="0" w:line="297" w:lineRule="auto"/>
        <w:tabs>
          <w:tab w:leader="none" w:pos="19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Confidential Information shall not include any information that is (A) generally known to the industry or the public other than as a result of Executive’s breach of this covenant or any breach of other confidentiality obligations by third parties; (B) made legitimately available to Executive by a third party without breach of any confidentiality obligation; or (C) required by law to be disclosed; provided that Executive shall give prompt written notice to the Company of such requirement, disclose no more information than is so required, and cooperate with any attempts by the Company to obtain a protective order or similar treatment.</w:t>
      </w:r>
    </w:p>
    <w:p>
      <w:pPr>
        <w:spacing w:after="0" w:line="158" w:lineRule="exact"/>
        <w:rPr>
          <w:rFonts w:ascii="Arial" w:cs="Arial" w:eastAsia="Arial" w:hAnsi="Arial"/>
          <w:sz w:val="16"/>
          <w:szCs w:val="16"/>
          <w:color w:val="auto"/>
        </w:rPr>
      </w:pPr>
    </w:p>
    <w:p>
      <w:pPr>
        <w:ind w:left="1952" w:right="20" w:hanging="655"/>
        <w:spacing w:after="0" w:line="312" w:lineRule="auto"/>
        <w:tabs>
          <w:tab w:leader="none" w:pos="19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Except as required by law, Executive will not disclose to anyone, other than Executive’s immediate family and legal or financial advisors, the existence or contents of this Agreement; provided that Executive may disclose to any prospective future employer the provisions of Sections 9, 10 and 11 of this Agreement provided they agree to maintain the confidentiality of such terms.</w:t>
      </w:r>
    </w:p>
    <w:p>
      <w:pPr>
        <w:spacing w:after="0" w:line="146" w:lineRule="exact"/>
        <w:rPr>
          <w:rFonts w:ascii="Arial" w:cs="Arial" w:eastAsia="Arial" w:hAnsi="Arial"/>
          <w:sz w:val="16"/>
          <w:szCs w:val="16"/>
          <w:color w:val="auto"/>
        </w:rPr>
      </w:pPr>
    </w:p>
    <w:p>
      <w:pPr>
        <w:ind w:left="1952" w:hanging="655"/>
        <w:spacing w:after="0" w:line="287" w:lineRule="auto"/>
        <w:tabs>
          <w:tab w:leader="none" w:pos="19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Upon termination of Executive’s employment with the Company for any reason, Executive shall (x)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(y) immediately return to the Company all Company property and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and (z) notify and fully cooperate with the Company regarding the delivery or destruction of any other Confidential Information of which Executive is or becomes aware and promptly return any other Company property in Executive’s possession.</w:t>
      </w:r>
    </w:p>
    <w:p>
      <w:pPr>
        <w:sectPr>
          <w:pgSz w:w="11900" w:h="16838" w:orient="portrait"/>
          <w:cols w:equalWidth="0" w:num="1">
            <w:col w:w="11392"/>
          </w:cols>
          <w:pgMar w:left="248" w:top="827" w:right="259" w:bottom="1440" w:gutter="0" w:footer="0" w:header="0"/>
        </w:sectPr>
      </w:pPr>
    </w:p>
    <w:bookmarkStart w:id="112" w:name="page113"/>
    <w:bookmarkEnd w:id="112"/>
    <w:p>
      <w:pPr>
        <w:ind w:left="1292" w:hanging="644"/>
        <w:spacing w:after="0"/>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25" w:lineRule="exact"/>
        <w:rPr>
          <w:rFonts w:ascii="Arial" w:cs="Arial" w:eastAsia="Arial" w:hAnsi="Arial"/>
          <w:sz w:val="18"/>
          <w:szCs w:val="18"/>
          <w:color w:val="auto"/>
        </w:rPr>
      </w:pPr>
    </w:p>
    <w:p>
      <w:pPr>
        <w:ind w:left="1952" w:right="220" w:hanging="655"/>
        <w:spacing w:after="0" w:line="290" w:lineRule="auto"/>
        <w:tabs>
          <w:tab w:leader="none" w:pos="1952" w:val="left"/>
        </w:tabs>
        <w:numPr>
          <w:ilvl w:val="2"/>
          <w:numId w:val="69"/>
        </w:numPr>
        <w:rPr>
          <w:rFonts w:ascii="Arial" w:cs="Arial" w:eastAsia="Arial" w:hAnsi="Arial"/>
          <w:sz w:val="16"/>
          <w:szCs w:val="16"/>
          <w:color w:val="auto"/>
        </w:rPr>
      </w:pPr>
      <w:r>
        <w:rPr>
          <w:rFonts w:ascii="Arial" w:cs="Arial" w:eastAsia="Arial" w:hAnsi="Arial"/>
          <w:sz w:val="16"/>
          <w:szCs w:val="16"/>
          <w:color w:val="auto"/>
        </w:rPr>
        <w:t>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6"/>
          <w:szCs w:val="16"/>
          <w:b w:val="1"/>
          <w:bCs w:val="1"/>
          <w:color w:val="auto"/>
        </w:rPr>
        <w:t>Works</w:t>
      </w:r>
      <w:r>
        <w:rPr>
          <w:rFonts w:ascii="Arial" w:cs="Arial" w:eastAsia="Arial" w:hAnsi="Arial"/>
          <w:sz w:val="16"/>
          <w:szCs w:val="16"/>
          <w:color w:val="auto"/>
        </w:rPr>
        <w:t>”), either alone or with third parties, prior to Executive’s employment by the Company, that are relevant to or implicated by such employment (“</w:t>
      </w:r>
      <w:r>
        <w:rPr>
          <w:rFonts w:ascii="Arial" w:cs="Arial" w:eastAsia="Arial" w:hAnsi="Arial"/>
          <w:sz w:val="16"/>
          <w:szCs w:val="16"/>
          <w:b w:val="1"/>
          <w:bCs w:val="1"/>
          <w:color w:val="auto"/>
        </w:rPr>
        <w:t>Prior</w:t>
      </w:r>
      <w:r>
        <w:rPr>
          <w:rFonts w:ascii="Arial" w:cs="Arial" w:eastAsia="Arial" w:hAnsi="Arial"/>
          <w:sz w:val="16"/>
          <w:szCs w:val="16"/>
          <w:color w:val="auto"/>
        </w:rPr>
        <w:t xml:space="preserve"> </w:t>
      </w:r>
      <w:r>
        <w:rPr>
          <w:rFonts w:ascii="Arial" w:cs="Arial" w:eastAsia="Arial" w:hAnsi="Arial"/>
          <w:sz w:val="16"/>
          <w:szCs w:val="16"/>
          <w:b w:val="1"/>
          <w:bCs w:val="1"/>
          <w:color w:val="auto"/>
        </w:rPr>
        <w:t>Works</w:t>
      </w:r>
      <w:r>
        <w:rPr>
          <w:rFonts w:ascii="Arial" w:cs="Arial" w:eastAsia="Arial" w:hAnsi="Arial"/>
          <w:sz w:val="16"/>
          <w:szCs w:val="16"/>
          <w:color w:val="auto"/>
        </w:rPr>
        <w:t>”), Executive hereby grants the Company a perpetual, nonexclusive, royalty-free, worldwide, assignable, sublicensable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license under all rights and intellectual property rights (including rights under patent, industrial property, copyright, trademark, trade secret, unfair competition and related laws) therein for all purposes in connection with the Company’s current and future business. A list of all such material Works as of the date hereof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952" w:right="120" w:hanging="655"/>
        <w:spacing w:after="0" w:line="293" w:lineRule="auto"/>
        <w:tabs>
          <w:tab w:leader="none" w:pos="1952" w:val="left"/>
        </w:tabs>
        <w:numPr>
          <w:ilvl w:val="2"/>
          <w:numId w:val="69"/>
        </w:numPr>
        <w:rPr>
          <w:rFonts w:ascii="Arial" w:cs="Arial" w:eastAsia="Arial" w:hAnsi="Arial"/>
          <w:sz w:val="16"/>
          <w:szCs w:val="16"/>
          <w:color w:val="auto"/>
        </w:rPr>
      </w:pPr>
      <w:r>
        <w:rPr>
          <w:rFonts w:ascii="Arial" w:cs="Arial" w:eastAsia="Arial" w:hAnsi="Arial"/>
          <w:sz w:val="16"/>
          <w:szCs w:val="16"/>
          <w:color w:val="auto"/>
        </w:rPr>
        <w:t>If Executive creates, invents, designs, develops, contributes to or improves any Works, either alone or with third parties, at any time during Executive’s employment by the Company and within the scope of such employment and/or with the use of any Company resources (“</w:t>
      </w:r>
      <w:r>
        <w:rPr>
          <w:rFonts w:ascii="Arial" w:cs="Arial" w:eastAsia="Arial" w:hAnsi="Arial"/>
          <w:sz w:val="16"/>
          <w:szCs w:val="16"/>
          <w:b w:val="1"/>
          <w:bCs w:val="1"/>
          <w:color w:val="auto"/>
        </w:rPr>
        <w:t>Company Works</w:t>
      </w:r>
      <w:r>
        <w:rPr>
          <w:rFonts w:ascii="Arial" w:cs="Arial" w:eastAsia="Arial" w:hAnsi="Arial"/>
          <w:sz w:val="16"/>
          <w:szCs w:val="16"/>
          <w:color w:val="auto"/>
        </w:rPr>
        <w:t>”), Executive shall promptly and fully disclose such works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pacing w:after="0" w:line="164" w:lineRule="exact"/>
        <w:rPr>
          <w:rFonts w:ascii="Arial" w:cs="Arial" w:eastAsia="Arial" w:hAnsi="Arial"/>
          <w:sz w:val="16"/>
          <w:szCs w:val="16"/>
          <w:color w:val="auto"/>
        </w:rPr>
      </w:pPr>
    </w:p>
    <w:p>
      <w:pPr>
        <w:ind w:left="1952" w:right="400" w:hanging="655"/>
        <w:spacing w:after="0" w:line="264" w:lineRule="auto"/>
        <w:tabs>
          <w:tab w:leader="none" w:pos="1952" w:val="left"/>
        </w:tabs>
        <w:numPr>
          <w:ilvl w:val="2"/>
          <w:numId w:val="69"/>
        </w:numPr>
        <w:rPr>
          <w:rFonts w:ascii="Arial" w:cs="Arial" w:eastAsia="Arial" w:hAnsi="Arial"/>
          <w:sz w:val="18"/>
          <w:szCs w:val="18"/>
          <w:color w:val="auto"/>
        </w:rPr>
      </w:pPr>
      <w:r>
        <w:rPr>
          <w:rFonts w:ascii="Arial" w:cs="Arial" w:eastAsia="Arial" w:hAnsi="Arial"/>
          <w:sz w:val="18"/>
          <w:szCs w:val="18"/>
          <w:color w:val="auto"/>
        </w:rPr>
        <w:t>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81" w:lineRule="exact"/>
        <w:rPr>
          <w:rFonts w:ascii="Arial" w:cs="Arial" w:eastAsia="Arial" w:hAnsi="Arial"/>
          <w:sz w:val="18"/>
          <w:szCs w:val="18"/>
          <w:color w:val="auto"/>
        </w:rPr>
      </w:pPr>
    </w:p>
    <w:p>
      <w:pPr>
        <w:ind w:left="1952" w:hanging="655"/>
        <w:spacing w:after="0" w:line="272" w:lineRule="auto"/>
        <w:tabs>
          <w:tab w:leader="none" w:pos="1952" w:val="left"/>
        </w:tabs>
        <w:numPr>
          <w:ilvl w:val="2"/>
          <w:numId w:val="69"/>
        </w:numPr>
        <w:rPr>
          <w:rFonts w:ascii="Arial" w:cs="Arial" w:eastAsia="Arial" w:hAnsi="Arial"/>
          <w:sz w:val="17"/>
          <w:szCs w:val="17"/>
          <w:color w:val="auto"/>
        </w:rPr>
      </w:pPr>
      <w:r>
        <w:rPr>
          <w:rFonts w:ascii="Arial" w:cs="Arial" w:eastAsia="Arial" w:hAnsi="Arial"/>
          <w:sz w:val="17"/>
          <w:szCs w:val="17"/>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attorney-in-fact, to act for and on Executive’s behalf to execute any documents and to do all other lawfully permitted acts in connection with the foregoing.</w:t>
      </w:r>
    </w:p>
    <w:p>
      <w:pPr>
        <w:spacing w:after="0" w:line="177" w:lineRule="exact"/>
        <w:rPr>
          <w:rFonts w:ascii="Arial" w:cs="Arial" w:eastAsia="Arial" w:hAnsi="Arial"/>
          <w:sz w:val="17"/>
          <w:szCs w:val="17"/>
          <w:color w:val="auto"/>
        </w:rPr>
      </w:pPr>
    </w:p>
    <w:p>
      <w:pPr>
        <w:ind w:left="1952" w:right="120" w:hanging="655"/>
        <w:spacing w:after="0" w:line="271" w:lineRule="auto"/>
        <w:tabs>
          <w:tab w:leader="none" w:pos="1952" w:val="left"/>
        </w:tabs>
        <w:numPr>
          <w:ilvl w:val="2"/>
          <w:numId w:val="69"/>
        </w:numPr>
        <w:rPr>
          <w:rFonts w:ascii="Arial" w:cs="Arial" w:eastAsia="Arial" w:hAnsi="Arial"/>
          <w:sz w:val="17"/>
          <w:szCs w:val="17"/>
          <w:color w:val="auto"/>
        </w:rPr>
      </w:pPr>
      <w:r>
        <w:rPr>
          <w:rFonts w:ascii="Arial" w:cs="Arial" w:eastAsia="Arial" w:hAnsi="Arial"/>
          <w:sz w:val="17"/>
          <w:szCs w:val="17"/>
          <w:color w:val="auto"/>
        </w:rPr>
        <w:t>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Executive hereby indemnifies, holds harmless and agrees to defend the Company and its officers, directors, partners, employees, agents and representatives from any breach of the foregoing covenant. Executive shall comply with all relevant policies and guidelines of the Company, including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w:t>
      </w:r>
    </w:p>
    <w:p>
      <w:pPr>
        <w:spacing w:after="0" w:line="178" w:lineRule="exact"/>
        <w:rPr>
          <w:rFonts w:ascii="Arial" w:cs="Arial" w:eastAsia="Arial" w:hAnsi="Arial"/>
          <w:sz w:val="17"/>
          <w:szCs w:val="17"/>
          <w:color w:val="auto"/>
        </w:rPr>
      </w:pPr>
    </w:p>
    <w:p>
      <w:pPr>
        <w:ind w:left="1292" w:hanging="644"/>
        <w:spacing w:after="0"/>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provisions of this Section 11 shall survive the termination of this Agreement and Executive’s employment for any reason.</w:t>
      </w:r>
    </w:p>
    <w:p>
      <w:pPr>
        <w:spacing w:after="0" w:line="225" w:lineRule="exact"/>
        <w:rPr>
          <w:rFonts w:ascii="Arial" w:cs="Arial" w:eastAsia="Arial" w:hAnsi="Arial"/>
          <w:sz w:val="18"/>
          <w:szCs w:val="18"/>
          <w:color w:val="auto"/>
        </w:rPr>
      </w:pPr>
    </w:p>
    <w:p>
      <w:pPr>
        <w:ind w:left="652" w:right="40" w:hanging="652"/>
        <w:spacing w:after="0" w:line="255" w:lineRule="auto"/>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·Executive acknowledges and agrees that the Company’s remedies at law for a breach or threatened breach of any of the provisions of Section 9, Section 10 or Section 11 would be inadequate and the Company would suffer irreparable damages as a result of such breach or threatened breach. In recognition of this fact, Executive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ectPr>
          <w:pgSz w:w="11900" w:h="16838" w:orient="portrait"/>
          <w:cols w:equalWidth="0" w:num="1">
            <w:col w:w="11412"/>
          </w:cols>
          <w:pgMar w:left="248" w:top="800" w:right="239" w:bottom="1440" w:gutter="0" w:footer="0" w:header="0"/>
        </w:sectPr>
      </w:pPr>
    </w:p>
    <w:bookmarkStart w:id="113" w:name="page114"/>
    <w:bookmarkEnd w:id="113"/>
    <w:p>
      <w:pPr>
        <w:ind w:left="652" w:hanging="652"/>
        <w:spacing w:after="0"/>
        <w:tabs>
          <w:tab w:leader="none" w:pos="65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1292" w:right="80" w:hanging="644"/>
        <w:spacing w:after="0" w:line="277"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construed and interpreted in all respects, in accordance with the laws of the State of New York, without regard to conflicts of laws principles thereof.</w:t>
      </w:r>
    </w:p>
    <w:p>
      <w:pPr>
        <w:spacing w:after="0" w:line="170" w:lineRule="exact"/>
        <w:rPr>
          <w:rFonts w:ascii="Arial" w:cs="Arial" w:eastAsia="Arial" w:hAnsi="Arial"/>
          <w:sz w:val="18"/>
          <w:szCs w:val="18"/>
          <w:color w:val="auto"/>
        </w:rPr>
      </w:pPr>
    </w:p>
    <w:p>
      <w:pPr>
        <w:ind w:left="1292" w:right="60" w:hanging="644"/>
        <w:spacing w:after="0" w:line="255"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Agreement/Amendments</w:t>
      </w:r>
      <w:r>
        <w:rPr>
          <w:rFonts w:ascii="Arial" w:cs="Arial" w:eastAsia="Arial" w:hAnsi="Arial"/>
          <w:sz w:val="18"/>
          <w:szCs w:val="18"/>
          <w:color w:val="auto"/>
        </w:rPr>
        <w:t>. This Agreement contains the entire understanding of the parties with respect to the employment of Executive by the Company and supersedes all prior agreements, understandings, discussions, negotiations and undertakings, whether written or oral between the Executive and the Company or any of its affiliates with respect to the Executive’s employment.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93" w:lineRule="exact"/>
        <w:rPr>
          <w:rFonts w:ascii="Arial" w:cs="Arial" w:eastAsia="Arial" w:hAnsi="Arial"/>
          <w:sz w:val="18"/>
          <w:szCs w:val="18"/>
          <w:color w:val="auto"/>
        </w:rPr>
      </w:pPr>
    </w:p>
    <w:p>
      <w:pPr>
        <w:ind w:left="1292" w:right="40" w:hanging="644"/>
        <w:spacing w:after="0" w:line="264"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81" w:lineRule="exact"/>
        <w:rPr>
          <w:rFonts w:ascii="Arial" w:cs="Arial" w:eastAsia="Arial" w:hAnsi="Arial"/>
          <w:sz w:val="18"/>
          <w:szCs w:val="18"/>
          <w:color w:val="auto"/>
        </w:rPr>
      </w:pPr>
    </w:p>
    <w:p>
      <w:pPr>
        <w:ind w:left="1292" w:right="240" w:hanging="644"/>
        <w:spacing w:after="0" w:line="342" w:lineRule="auto"/>
        <w:tabs>
          <w:tab w:leader="none" w:pos="129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23" w:lineRule="exact"/>
        <w:rPr>
          <w:rFonts w:ascii="Arial" w:cs="Arial" w:eastAsia="Arial" w:hAnsi="Arial"/>
          <w:sz w:val="16"/>
          <w:szCs w:val="16"/>
          <w:color w:val="auto"/>
        </w:rPr>
      </w:pPr>
    </w:p>
    <w:p>
      <w:pPr>
        <w:ind w:left="1292" w:right="140" w:hanging="644"/>
        <w:spacing w:after="0" w:line="257"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left="1292" w:right="460" w:hanging="644"/>
        <w:spacing w:after="0" w:line="308" w:lineRule="auto"/>
        <w:tabs>
          <w:tab w:leader="none" w:pos="1292"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Set Off.</w:t>
      </w:r>
      <w:r>
        <w:rPr>
          <w:rFonts w:ascii="Arial" w:cs="Arial" w:eastAsia="Arial" w:hAnsi="Arial"/>
          <w:sz w:val="17"/>
          <w:szCs w:val="17"/>
          <w:color w:val="auto"/>
        </w:rPr>
        <w:t xml:space="preserve"> The Company’s obligation to pay Executive the amounts provided and to make the arrangements provided hereunder shall be subject to set-off, counterclaim or recoupment of amounts owed by Executive to the Company or its affiliates.</w:t>
      </w:r>
    </w:p>
    <w:p>
      <w:pPr>
        <w:spacing w:after="0" w:line="146" w:lineRule="exact"/>
        <w:rPr>
          <w:rFonts w:ascii="Arial" w:cs="Arial" w:eastAsia="Arial" w:hAnsi="Arial"/>
          <w:sz w:val="17"/>
          <w:szCs w:val="17"/>
          <w:color w:val="auto"/>
        </w:rPr>
      </w:pPr>
    </w:p>
    <w:p>
      <w:pPr>
        <w:ind w:left="1292" w:right="60" w:hanging="644"/>
        <w:spacing w:after="0" w:line="253"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Except with respect to Sections 9, 10, 11 and 12 hereof, any controversy or claim arising out of or related to any provision of this Agreement that cannot be mutually resolved by the parties hereto shall be settled by final, binding and nonappealable arbitration in New York, NY by a single mutually-acceptable arbitrator. Subject to the following provisions, the arbitration shall be conducted in accordance with the applicable rules of American Arbitration Association then in effect.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Each party shall be responsible for its own expenses relating to the conduct of the arbitration or litigation (including attorney’s fees and expenses) and shall share the fees of the American Arbitration Association and the arbitrator equally.</w:t>
      </w:r>
    </w:p>
    <w:p>
      <w:pPr>
        <w:spacing w:after="0" w:line="194" w:lineRule="exact"/>
        <w:rPr>
          <w:rFonts w:ascii="Arial" w:cs="Arial" w:eastAsia="Arial" w:hAnsi="Arial"/>
          <w:sz w:val="18"/>
          <w:szCs w:val="18"/>
          <w:color w:val="auto"/>
        </w:rPr>
      </w:pPr>
    </w:p>
    <w:p>
      <w:pPr>
        <w:ind w:left="1292" w:hanging="644"/>
        <w:spacing w:after="0"/>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Code.</w:t>
      </w:r>
    </w:p>
    <w:p>
      <w:pPr>
        <w:spacing w:after="0" w:line="225" w:lineRule="exact"/>
        <w:rPr>
          <w:rFonts w:ascii="Arial" w:cs="Arial" w:eastAsia="Arial" w:hAnsi="Arial"/>
          <w:sz w:val="18"/>
          <w:szCs w:val="18"/>
          <w:color w:val="auto"/>
        </w:rPr>
      </w:pPr>
    </w:p>
    <w:p>
      <w:pPr>
        <w:ind w:left="1952" w:hanging="655"/>
        <w:spacing w:after="0" w:line="273" w:lineRule="auto"/>
        <w:tabs>
          <w:tab w:leader="none" w:pos="1952" w:val="left"/>
        </w:tabs>
        <w:numPr>
          <w:ilvl w:val="2"/>
          <w:numId w:val="71"/>
        </w:numPr>
        <w:rPr>
          <w:rFonts w:ascii="Arial" w:cs="Arial" w:eastAsia="Arial" w:hAnsi="Arial"/>
          <w:sz w:val="17"/>
          <w:szCs w:val="17"/>
          <w:color w:val="auto"/>
        </w:rPr>
      </w:pPr>
      <w:r>
        <w:rPr>
          <w:rFonts w:ascii="Arial" w:cs="Arial" w:eastAsia="Arial" w:hAnsi="Arial"/>
          <w:sz w:val="17"/>
          <w:szCs w:val="17"/>
          <w:color w:val="auto"/>
        </w:rPr>
        <w:t>The intent of the parties is that the payments and benefits under this Agreement comply with or be exempt from Section 409A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accordingly, to the maximum extent permitted, this Agreement shall be interpreted to be in compliance therewith.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Code Section 409A (“</w:t>
      </w:r>
      <w:r>
        <w:rPr>
          <w:rFonts w:ascii="Arial" w:cs="Arial" w:eastAsia="Arial" w:hAnsi="Arial"/>
          <w:sz w:val="17"/>
          <w:szCs w:val="17"/>
          <w:b w:val="1"/>
          <w:bCs w:val="1"/>
          <w:color w:val="auto"/>
        </w:rPr>
        <w:t>Section 409A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952" w:right="360" w:hanging="655"/>
        <w:spacing w:after="0" w:line="264"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any payment, compensation or other benefit provided to Executive under this Agreement in connection with Executive’s “separation from service” (within the meaning of Section 409A) is determined, in whole or in part, to constitute “nonqualified deferred compensation” (within the</w:t>
      </w:r>
    </w:p>
    <w:p>
      <w:pPr>
        <w:sectPr>
          <w:pgSz w:w="11900" w:h="16838" w:orient="portrait"/>
          <w:cols w:equalWidth="0" w:num="1">
            <w:col w:w="11392"/>
          </w:cols>
          <w:pgMar w:left="248" w:top="800" w:right="259" w:bottom="1440" w:gutter="0" w:footer="0" w:header="0"/>
        </w:sectPr>
      </w:pPr>
    </w:p>
    <w:bookmarkStart w:id="114" w:name="page115"/>
    <w:bookmarkEnd w:id="114"/>
    <w:p>
      <w:pPr>
        <w:ind w:left="1304"/>
        <w:spacing w:after="0" w:line="322" w:lineRule="auto"/>
        <w:rPr>
          <w:sz w:val="20"/>
          <w:szCs w:val="20"/>
          <w:color w:val="auto"/>
        </w:rPr>
      </w:pPr>
      <w:r>
        <w:rPr>
          <w:rFonts w:ascii="Arial" w:cs="Arial" w:eastAsia="Arial" w:hAnsi="Arial"/>
          <w:sz w:val="17"/>
          <w:szCs w:val="17"/>
          <w:color w:val="auto"/>
        </w:rPr>
        <w:t>meaning of Section 409A) and Executive is a specified employee (as defined in Code Section 409A(a)(2)(B)(i)) at the time of separation from service, no part of such payments shall be paid before the day that is six months plus one day after the date of separation or, if earlier, ten business days following Executive’s death (the “</w:t>
      </w:r>
      <w:r>
        <w:rPr>
          <w:rFonts w:ascii="Arial" w:cs="Arial" w:eastAsia="Arial" w:hAnsi="Arial"/>
          <w:sz w:val="17"/>
          <w:szCs w:val="17"/>
          <w:b w:val="1"/>
          <w:bCs w:val="1"/>
          <w:color w:val="auto"/>
        </w:rPr>
        <w:t>New Payment Date</w:t>
      </w:r>
      <w:r>
        <w:rPr>
          <w:rFonts w:ascii="Arial" w:cs="Arial" w:eastAsia="Arial" w:hAnsi="Arial"/>
          <w:sz w:val="17"/>
          <w:szCs w:val="17"/>
          <w:color w:val="auto"/>
        </w:rPr>
        <w:t>”). The aggregate of any payments and benefits that otherwise would have been paid and/or provided to Executive during the period between the date of separation of service and the New Payment Date shall be paid to Executive in a lump sum on such New Payment Date. Thereafter, any payments and/or benefits that remain outstanding as of or following the New Payment Date shall be paid without delay over the time period originally scheduled, in accordance with the terms of this Agreement.</w:t>
      </w:r>
    </w:p>
    <w:p>
      <w:pPr>
        <w:spacing w:after="0" w:line="149" w:lineRule="exact"/>
        <w:rPr>
          <w:sz w:val="20"/>
          <w:szCs w:val="20"/>
          <w:color w:val="auto"/>
        </w:rPr>
      </w:pPr>
    </w:p>
    <w:p>
      <w:pPr>
        <w:ind w:left="1304" w:right="80" w:hanging="655"/>
        <w:spacing w:after="0" w:line="257" w:lineRule="auto"/>
        <w:tabs>
          <w:tab w:leader="none" w:pos="13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for purposes of any such provision of this Agreement, references to a “resignation,” “termination,” “terminate,” “termination of employment” or like terms shall mean separation from service (within the meaning of Section 409A).</w:t>
      </w:r>
    </w:p>
    <w:p>
      <w:pPr>
        <w:spacing w:after="0" w:line="188" w:lineRule="exact"/>
        <w:rPr>
          <w:rFonts w:ascii="Arial" w:cs="Arial" w:eastAsia="Arial" w:hAnsi="Arial"/>
          <w:sz w:val="18"/>
          <w:szCs w:val="18"/>
          <w:color w:val="auto"/>
        </w:rPr>
      </w:pPr>
    </w:p>
    <w:p>
      <w:pPr>
        <w:ind w:left="1304" w:right="80" w:hanging="655"/>
        <w:spacing w:after="0" w:line="255" w:lineRule="auto"/>
        <w:tabs>
          <w:tab w:leader="none" w:pos="13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expenses or other reimbursements as provided herein shall be payable in accordance with the Company’s policies in effect from time to time, but in any event shall be made on or prior to the last day of the taxable year following the taxable year in which such expenses were incurred by Executive.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w:t>
      </w:r>
    </w:p>
    <w:p>
      <w:pPr>
        <w:spacing w:after="0" w:line="189" w:lineRule="exact"/>
        <w:rPr>
          <w:rFonts w:ascii="Arial" w:cs="Arial" w:eastAsia="Arial" w:hAnsi="Arial"/>
          <w:sz w:val="18"/>
          <w:szCs w:val="18"/>
          <w:color w:val="auto"/>
        </w:rPr>
      </w:pPr>
    </w:p>
    <w:p>
      <w:pPr>
        <w:ind w:left="1304" w:right="20" w:hanging="655"/>
        <w:spacing w:after="0" w:line="279" w:lineRule="auto"/>
        <w:tabs>
          <w:tab w:leader="none" w:pos="1304" w:val="left"/>
        </w:tabs>
        <w:numPr>
          <w:ilvl w:val="1"/>
          <w:numId w:val="72"/>
        </w:numPr>
        <w:rPr>
          <w:rFonts w:ascii="Arial" w:cs="Arial" w:eastAsia="Arial" w:hAnsi="Arial"/>
          <w:sz w:val="17"/>
          <w:szCs w:val="17"/>
          <w:color w:val="auto"/>
        </w:rPr>
      </w:pPr>
      <w:r>
        <w:rPr>
          <w:rFonts w:ascii="Arial" w:cs="Arial" w:eastAsia="Arial" w:hAnsi="Arial"/>
          <w:sz w:val="17"/>
          <w:szCs w:val="17"/>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30 days following the date of termination), the actual date of payment within the specified period shall be within the sole discretion of the Company.</w:t>
      </w:r>
    </w:p>
    <w:p>
      <w:pPr>
        <w:spacing w:after="0" w:line="171" w:lineRule="exact"/>
        <w:rPr>
          <w:rFonts w:ascii="Arial" w:cs="Arial" w:eastAsia="Arial" w:hAnsi="Arial"/>
          <w:sz w:val="17"/>
          <w:szCs w:val="17"/>
          <w:color w:val="auto"/>
        </w:rPr>
      </w:pPr>
    </w:p>
    <w:p>
      <w:pPr>
        <w:ind w:left="1304" w:right="160" w:hanging="655"/>
        <w:spacing w:after="0" w:line="257" w:lineRule="auto"/>
        <w:tabs>
          <w:tab w:leader="none" w:pos="13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the extent required to comply with Section 409A, a Change in Control will not be deemed to occur for purposes of this Agreement unless it is a “change in control event” as defined in Section 1.409A-3(i)(5)(i) of the Treasury Regulations, and if it is not a “change in control event,” payment of the severance described in Section 8(b) of this Agreement shall instead be paid as provided under Section 8(a) of this Agreement (unless the severance, or portion thereof, could be paid earlier without resulting in adverse tax consequences under Section 409A).</w:t>
      </w:r>
    </w:p>
    <w:p>
      <w:pPr>
        <w:spacing w:after="0" w:line="188" w:lineRule="exact"/>
        <w:rPr>
          <w:rFonts w:ascii="Arial" w:cs="Arial" w:eastAsia="Arial" w:hAnsi="Arial"/>
          <w:sz w:val="18"/>
          <w:szCs w:val="18"/>
          <w:color w:val="auto"/>
        </w:rPr>
      </w:pPr>
    </w:p>
    <w:p>
      <w:pPr>
        <w:ind w:left="644" w:right="620" w:hanging="644"/>
        <w:spacing w:after="0" w:line="27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xml:space="preserve"> This Agreement shall inure to the benefit of and be binding upon personal or legal representatives, executors, administrators, successors, heirs, distributees, devisees and legatees of the parties hereto.</w:t>
      </w:r>
    </w:p>
    <w:p>
      <w:pPr>
        <w:spacing w:after="0" w:line="170" w:lineRule="exact"/>
        <w:rPr>
          <w:rFonts w:ascii="Arial" w:cs="Arial" w:eastAsia="Arial" w:hAnsi="Arial"/>
          <w:sz w:val="18"/>
          <w:szCs w:val="18"/>
          <w:color w:val="auto"/>
        </w:rPr>
      </w:pPr>
    </w:p>
    <w:p>
      <w:pPr>
        <w:ind w:left="644" w:hanging="644"/>
        <w:spacing w:after="0" w:line="25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88" w:lineRule="exact"/>
        <w:rPr>
          <w:sz w:val="20"/>
          <w:szCs w:val="20"/>
          <w:color w:val="auto"/>
        </w:rPr>
      </w:pPr>
    </w:p>
    <w:p>
      <w:pPr>
        <w:ind w:left="644"/>
        <w:spacing w:after="0"/>
        <w:tabs>
          <w:tab w:leader="none" w:pos="2223"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6"/>
          <w:szCs w:val="16"/>
          <w:color w:val="auto"/>
        </w:rPr>
        <w:t>Lantheus Medical Imaging, Inc.</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331 Treble Cove Rd.</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Bldg. 600-2</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N. Billerica, MA 01862</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Attention: Michael Duffy,</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Senior Vice President and General Counsel</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Michael.Duffy@lantheus.com</w:t>
      </w:r>
    </w:p>
    <w:p>
      <w:pPr>
        <w:sectPr>
          <w:pgSz w:w="11900" w:h="16838" w:orient="portrait"/>
          <w:cols w:equalWidth="0" w:num="1">
            <w:col w:w="10764"/>
          </w:cols>
          <w:pgMar w:left="896" w:top="827" w:right="239" w:bottom="1440" w:gutter="0" w:footer="0" w:header="0"/>
        </w:sectPr>
      </w:pPr>
    </w:p>
    <w:bookmarkStart w:id="115" w:name="page116"/>
    <w:bookmarkEnd w:id="115"/>
    <w:p>
      <w:pPr>
        <w:ind w:left="1300"/>
        <w:spacing w:after="0"/>
        <w:tabs>
          <w:tab w:leader="none" w:pos="2620" w:val="left"/>
        </w:tabs>
        <w:rPr>
          <w:sz w:val="20"/>
          <w:szCs w:val="20"/>
          <w:color w:val="auto"/>
        </w:rPr>
      </w:pPr>
      <w:r>
        <w:rPr>
          <w:rFonts w:ascii="Arial" w:cs="Arial" w:eastAsia="Arial" w:hAnsi="Arial"/>
          <w:sz w:val="18"/>
          <w:szCs w:val="18"/>
          <w:color w:val="auto"/>
        </w:rPr>
        <w:t>If to Executive:</w:t>
      </w:r>
      <w:r>
        <w:rPr>
          <w:sz w:val="20"/>
          <w:szCs w:val="20"/>
          <w:color w:val="auto"/>
        </w:rPr>
        <w:tab/>
      </w:r>
      <w:r>
        <w:rPr>
          <w:rFonts w:ascii="Arial" w:cs="Arial" w:eastAsia="Arial" w:hAnsi="Arial"/>
          <w:sz w:val="16"/>
          <w:szCs w:val="16"/>
          <w:color w:val="auto"/>
        </w:rPr>
        <w:t>To Executive’s address on file with the Company</w:t>
      </w:r>
    </w:p>
    <w:p>
      <w:pPr>
        <w:spacing w:after="0" w:line="225" w:lineRule="exact"/>
        <w:rPr>
          <w:sz w:val="20"/>
          <w:szCs w:val="20"/>
          <w:color w:val="auto"/>
        </w:rPr>
      </w:pPr>
    </w:p>
    <w:p>
      <w:pPr>
        <w:jc w:val="both"/>
        <w:ind w:left="1300" w:right="60" w:hanging="644"/>
        <w:spacing w:after="0" w:line="25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Executive Representation</w:t>
      </w:r>
      <w:r>
        <w:rPr>
          <w:rFonts w:ascii="Arial" w:cs="Arial" w:eastAsia="Arial" w:hAnsi="Arial"/>
          <w:sz w:val="18"/>
          <w:szCs w:val="18"/>
          <w:color w:val="auto"/>
        </w:rPr>
        <w:t>. Executive hereby represents to the Company that (i) Executive has been provided with sufficient opportunity to review this Agreement and has been advised by the Company to conduct such review with an attorney of her choice, and (ii)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8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 or Executive’s employment.</w:t>
      </w:r>
    </w:p>
    <w:p>
      <w:pPr>
        <w:spacing w:after="0" w:line="181"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ind w:left="1300" w:right="40" w:hanging="644"/>
        <w:spacing w:after="0" w:line="271"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receipt of all payments or distributions by the Company in the nature of compensation to or for the Executive’s benefit, whether paid or payable pursuant to this Agreement or otherwise (a “</w:t>
      </w:r>
      <w:r>
        <w:rPr>
          <w:rFonts w:ascii="Arial" w:cs="Arial" w:eastAsia="Arial" w:hAnsi="Arial"/>
          <w:sz w:val="17"/>
          <w:szCs w:val="17"/>
          <w:b w:val="1"/>
          <w:bCs w:val="1"/>
          <w:color w:val="auto"/>
        </w:rPr>
        <w:t>Payment</w:t>
      </w:r>
      <w:r>
        <w:rPr>
          <w:rFonts w:ascii="Arial" w:cs="Arial" w:eastAsia="Arial" w:hAnsi="Arial"/>
          <w:sz w:val="17"/>
          <w:szCs w:val="17"/>
          <w:color w:val="auto"/>
        </w:rPr>
        <w:t>”), would subject the Executive to the excise tax under Section 4999 of the Code, the accounting firm which audited the Company prior to the corporate transaction which results in the application of such excise tax (the “</w:t>
      </w:r>
      <w:r>
        <w:rPr>
          <w:rFonts w:ascii="Arial" w:cs="Arial" w:eastAsia="Arial" w:hAnsi="Arial"/>
          <w:sz w:val="17"/>
          <w:szCs w:val="17"/>
          <w:b w:val="1"/>
          <w:bCs w:val="1"/>
          <w:color w:val="auto"/>
        </w:rPr>
        <w:t>Accounting Firm</w:t>
      </w:r>
      <w:r>
        <w:rPr>
          <w:rFonts w:ascii="Arial" w:cs="Arial" w:eastAsia="Arial" w:hAnsi="Arial"/>
          <w:sz w:val="17"/>
          <w:szCs w:val="17"/>
          <w:color w:val="auto"/>
        </w:rPr>
        <w:t>”) shall determine whether to reduce any of the Payments to the Reduced Amount (as defined below). The Payments shall be reduced to the Reduced Amount only if the Accounting Firm determines that the Executive would have a greater Net After-Tax Receipt (as defined below) of aggregate Payments if the Executive’s Payments were reduced to the Reduced Amount. If such a determination is not made by the Accounting Firm, the Executive shall receive all Payments to which the Executive is entitled.</w:t>
      </w:r>
    </w:p>
    <w:p>
      <w:pPr>
        <w:spacing w:after="0" w:line="178" w:lineRule="exact"/>
        <w:rPr>
          <w:rFonts w:ascii="Arial" w:cs="Arial" w:eastAsia="Arial" w:hAnsi="Arial"/>
          <w:sz w:val="17"/>
          <w:szCs w:val="17"/>
          <w:color w:val="auto"/>
        </w:rPr>
      </w:pPr>
    </w:p>
    <w:p>
      <w:pPr>
        <w:ind w:left="1300" w:hanging="644"/>
        <w:spacing w:after="0" w:line="287"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Accounting Firm determines that aggregate Payments should be reduced to the Reduced Amount, the Company shall promptly give the Executive notice to that effect and a copy of the detailed calculation thereof. All determinations made by the Accounting Firm under this Section 14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of the Code. All other provisions of any agreement embodying the Payments shall remain in full force and effect. All fees and expenses of the Accounting Firm shall be borne solely by the Company.</w:t>
      </w:r>
    </w:p>
    <w:p>
      <w:pPr>
        <w:spacing w:after="0" w:line="172" w:lineRule="exact"/>
        <w:rPr>
          <w:rFonts w:ascii="Arial" w:cs="Arial" w:eastAsia="Arial" w:hAnsi="Arial"/>
          <w:sz w:val="16"/>
          <w:szCs w:val="16"/>
          <w:color w:val="auto"/>
        </w:rPr>
      </w:pPr>
    </w:p>
    <w:p>
      <w:pPr>
        <w:ind w:left="1300" w:right="60" w:hanging="644"/>
        <w:spacing w:after="0" w:line="271"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a result of the uncertainty in the application of Section 4999 of the Code at the time of the initial determination by the Accounting Firm hereunder, it is possible that amounts will have been paid or distributed by the Company to or for the benefit of the Executive pursuant to this Agreement or otherwise which should not have been so paid or distributed (the “</w:t>
      </w:r>
      <w:r>
        <w:rPr>
          <w:rFonts w:ascii="Arial" w:cs="Arial" w:eastAsia="Arial" w:hAnsi="Arial"/>
          <w:sz w:val="17"/>
          <w:szCs w:val="17"/>
          <w:b w:val="1"/>
          <w:bCs w:val="1"/>
          <w:color w:val="auto"/>
        </w:rPr>
        <w:t>Overpayment</w:t>
      </w:r>
      <w:r>
        <w:rPr>
          <w:rFonts w:ascii="Arial" w:cs="Arial" w:eastAsia="Arial" w:hAnsi="Arial"/>
          <w:sz w:val="17"/>
          <w:szCs w:val="17"/>
          <w:color w:val="auto"/>
        </w:rPr>
        <w:t>”) or that additional amounts which will have not been paid or distributed by the Company to or for the benefit of the Executive pursuant to this Agreement or otherwise could have been so paid or distributed (the “</w:t>
      </w:r>
      <w:r>
        <w:rPr>
          <w:rFonts w:ascii="Arial" w:cs="Arial" w:eastAsia="Arial" w:hAnsi="Arial"/>
          <w:sz w:val="17"/>
          <w:szCs w:val="17"/>
          <w:b w:val="1"/>
          <w:bCs w:val="1"/>
          <w:color w:val="auto"/>
        </w:rPr>
        <w:t>Underpayment</w:t>
      </w:r>
      <w:r>
        <w:rPr>
          <w:rFonts w:ascii="Arial" w:cs="Arial" w:eastAsia="Arial" w:hAnsi="Arial"/>
          <w:sz w:val="17"/>
          <w:szCs w:val="17"/>
          <w:color w:val="auto"/>
        </w:rPr>
        <w:t>”), in each case, consistent with the calculation of the Reduced Amount hereunder. In the event that the Accounting Firm, based upon the assertion of a deficiency by the Internal Revenue Service against either the Company or the Executive which the Accounting Firm believes has a high probability of success, determines that an Overpayment has been made, the Executive shall pay any such Overpayment to the Company together with</w:t>
      </w:r>
    </w:p>
    <w:p>
      <w:pPr>
        <w:sectPr>
          <w:pgSz w:w="11900" w:h="16838" w:orient="portrait"/>
          <w:cols w:equalWidth="0" w:num="1">
            <w:col w:w="11420"/>
          </w:cols>
          <w:pgMar w:left="240" w:top="584" w:right="239" w:bottom="1440" w:gutter="0" w:footer="0" w:header="0"/>
        </w:sectPr>
      </w:pPr>
    </w:p>
    <w:bookmarkStart w:id="116" w:name="page117"/>
    <w:bookmarkEnd w:id="116"/>
    <w:p>
      <w:pPr>
        <w:ind w:left="644"/>
        <w:spacing w:after="0" w:line="346" w:lineRule="auto"/>
        <w:rPr>
          <w:sz w:val="20"/>
          <w:szCs w:val="20"/>
          <w:color w:val="auto"/>
        </w:rPr>
      </w:pPr>
      <w:r>
        <w:rPr>
          <w:rFonts w:ascii="Arial" w:cs="Arial" w:eastAsia="Arial" w:hAnsi="Arial"/>
          <w:sz w:val="16"/>
          <w:szCs w:val="16"/>
          <w:color w:val="auto"/>
        </w:rPr>
        <w:t xml:space="preserve">interest at the applicable federal rate provided for in Section 7872(f)(2)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amount shall be payable by the Executive to the Company if and to the extent such payment would not either reduce the amount on which the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the Executive together with interest at the applicable federal rate provided for in Section 7872(f)(2) of the Code.</w:t>
      </w:r>
    </w:p>
    <w:p>
      <w:pPr>
        <w:spacing w:after="0" w:line="133" w:lineRule="exact"/>
        <w:rPr>
          <w:sz w:val="20"/>
          <w:szCs w:val="20"/>
          <w:color w:val="auto"/>
        </w:rPr>
      </w:pPr>
    </w:p>
    <w:p>
      <w:pPr>
        <w:ind w:left="644" w:right="40" w:hanging="644"/>
        <w:spacing w:after="0" w:line="289" w:lineRule="auto"/>
        <w:tabs>
          <w:tab w:leader="none" w:pos="6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purposes hereof, the following terms have the meanings set forth below: (i) “</w:t>
      </w:r>
      <w:r>
        <w:rPr>
          <w:rFonts w:ascii="Arial" w:cs="Arial" w:eastAsia="Arial" w:hAnsi="Arial"/>
          <w:sz w:val="16"/>
          <w:szCs w:val="16"/>
          <w:b w:val="1"/>
          <w:bCs w:val="1"/>
          <w:color w:val="auto"/>
        </w:rPr>
        <w:t>Reduced Amount</w:t>
      </w:r>
      <w:r>
        <w:rPr>
          <w:rFonts w:ascii="Arial" w:cs="Arial" w:eastAsia="Arial" w:hAnsi="Arial"/>
          <w:sz w:val="16"/>
          <w:szCs w:val="16"/>
          <w:color w:val="auto"/>
        </w:rPr>
        <w:t>” shall mean the greatest amount of Payments that can be paid that would not result in the imposition of the excise tax under Section 4999 of the Code if the Accounting Firm determines to reduce Payments pursuant to this Section 14, (ii) “</w:t>
      </w:r>
      <w:r>
        <w:rPr>
          <w:rFonts w:ascii="Arial" w:cs="Arial" w:eastAsia="Arial" w:hAnsi="Arial"/>
          <w:sz w:val="16"/>
          <w:szCs w:val="16"/>
          <w:b w:val="1"/>
          <w:bCs w:val="1"/>
          <w:color w:val="auto"/>
        </w:rPr>
        <w:t>Net After-Tax Receipt</w:t>
      </w:r>
      <w:r>
        <w:rPr>
          <w:rFonts w:ascii="Arial" w:cs="Arial" w:eastAsia="Arial" w:hAnsi="Arial"/>
          <w:sz w:val="16"/>
          <w:szCs w:val="16"/>
          <w:color w:val="auto"/>
        </w:rPr>
        <w:t>” shall mean the present value (as determined in accordance with Sections 280G(b)(2)(A)(ii) and 280G(d)(4) of the Code)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Executive certifies, in the Executive’s sole discretion, as likely to apply to the Executive in the relevant tax year(s), and (iii) “</w:t>
      </w:r>
      <w:r>
        <w:rPr>
          <w:rFonts w:ascii="Arial" w:cs="Arial" w:eastAsia="Arial" w:hAnsi="Arial"/>
          <w:sz w:val="16"/>
          <w:szCs w:val="16"/>
          <w:b w:val="1"/>
          <w:bCs w:val="1"/>
          <w:color w:val="auto"/>
        </w:rPr>
        <w:t>Parachute Payment Ratio</w:t>
      </w:r>
      <w:r>
        <w:rPr>
          <w:rFonts w:ascii="Arial" w:cs="Arial" w:eastAsia="Arial" w:hAnsi="Arial"/>
          <w:sz w:val="16"/>
          <w:szCs w:val="16"/>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382" w:lineRule="exact"/>
        <w:rPr>
          <w:sz w:val="20"/>
          <w:szCs w:val="20"/>
          <w:color w:val="auto"/>
        </w:rPr>
      </w:pPr>
    </w:p>
    <w:p>
      <w:pPr>
        <w:ind w:left="39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ectPr>
          <w:pgSz w:w="11900" w:h="16838" w:orient="portrait"/>
          <w:cols w:equalWidth="0" w:num="1">
            <w:col w:w="10744"/>
          </w:cols>
          <w:pgMar w:left="896" w:top="827" w:right="25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Michael P. Duffy</w:t>
            </w:r>
          </w:p>
        </w:tc>
        <w:tc>
          <w:tcPr>
            <w:tcW w:w="108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Mary Anne Heino</w:t>
            </w:r>
          </w:p>
        </w:tc>
      </w:tr>
      <w:tr>
        <w:trPr>
          <w:trHeight w:val="237"/>
        </w:trPr>
        <w:tc>
          <w:tcPr>
            <w:tcW w:w="2540" w:type="dxa"/>
            <w:vAlign w:val="bottom"/>
            <w:gridSpan w:val="2"/>
          </w:tcPr>
          <w:p>
            <w:pPr>
              <w:spacing w:after="0"/>
              <w:rPr>
                <w:sz w:val="20"/>
                <w:szCs w:val="20"/>
                <w:color w:val="auto"/>
              </w:rPr>
            </w:pPr>
            <w:r>
              <w:rPr>
                <w:rFonts w:ascii="Arial" w:cs="Arial" w:eastAsia="Arial" w:hAnsi="Arial"/>
                <w:sz w:val="18"/>
                <w:szCs w:val="18"/>
                <w:color w:val="auto"/>
              </w:rPr>
              <w:t>By:  Michael P. Duffy</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Mary Anne Heino</w:t>
            </w:r>
          </w:p>
        </w:tc>
      </w:tr>
    </w:tbl>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219"/>
          </w:cols>
          <w:pgMar w:left="240" w:top="1016"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This RELEASE (“</w:t>
      </w:r>
      <w:r>
        <w:rPr>
          <w:rFonts w:ascii="Arial" w:cs="Arial" w:eastAsia="Arial" w:hAnsi="Arial"/>
          <w:sz w:val="17"/>
          <w:szCs w:val="17"/>
          <w:b w:val="1"/>
          <w:bCs w:val="1"/>
          <w:color w:val="auto"/>
        </w:rPr>
        <w:t>Release</w:t>
      </w:r>
      <w:r>
        <w:rPr>
          <w:rFonts w:ascii="Arial" w:cs="Arial" w:eastAsia="Arial" w:hAnsi="Arial"/>
          <w:sz w:val="17"/>
          <w:szCs w:val="17"/>
          <w:color w:val="auto"/>
        </w:rPr>
        <w:t>”) dated as of ____________, 20____between Lantheus Medical Imaging,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and the Executive previously entered into an employment agreement dated __________, 20__ (the “</w:t>
      </w:r>
      <w:r>
        <w:rPr>
          <w:rFonts w:ascii="Arial" w:cs="Arial" w:eastAsia="Arial" w:hAnsi="Arial"/>
          <w:sz w:val="17"/>
          <w:szCs w:val="17"/>
          <w:b w:val="1"/>
          <w:bCs w:val="1"/>
          <w:color w:val="auto"/>
        </w:rPr>
        <w:t>Employment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Executive’s employment with the Company has terminated effective _______ ____, 20_____;</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agreements contained herein and in the Employment Agreement, the Company and the Executive agree as follows:</w:t>
      </w:r>
    </w:p>
    <w:p>
      <w:pPr>
        <w:spacing w:after="0" w:line="387" w:lineRule="exact"/>
        <w:rPr>
          <w:sz w:val="20"/>
          <w:szCs w:val="20"/>
          <w:color w:val="auto"/>
        </w:rPr>
      </w:pPr>
    </w:p>
    <w:p>
      <w:pPr>
        <w:ind w:left="660" w:right="20" w:hanging="652"/>
        <w:spacing w:after="0" w:line="267"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Executive agrees to and does waive any claims Executive may have for employment by the Company. Executive, on her own behalf and on behalf of Executive’s heirs, estate and beneficiaries, further does hereby release the Company, and in those capacities, any of its Affiliates, and each of their respective past, present and future officers, directors, agents, employees, shareholders, investors, employee benefit plans and their administrators, trustees or fiduciaries, insurers of any of those entities, and its and their successors and assigns and others related to those entities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claims made, to be made, or which might have been made of whatever nature, whether known or unknown, from the beginning of time, including those that arose as a consequence of Executive’s employment with the Company, or arising out of the termination of Executive’s employment with the Company, or any act committed or omitted during or after the existence of that employment relationship, all up through and including the date on which this Release is executed, including, but not limited to, those which were, could have been or could be the subject of an administrative or judicial proceeding filed by Executive or on her behalf under federal, state or local law, whether by statute, regulation, in contract or tort, and including, but not limited to, for front pay, back pay, wages, bonus, fringe benefit,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of 1967, 29 U.S.C. sec. 621, et seq., the Older Workers Benefit Protection Act, the Americans with Disabilities Act, the Family and Medical Leave Act, the Civil Rights Act of 1964, Title VII, the Civil Rights Act of 1991, the Employee Retirement Income Security Act of 1974, the Equal Pay Act, the Worker Adjustment and Retraining Notification Act, the Massachusetts Fair Employment Practices Act (M.G.L. c.151B), the Massachusetts Civil Rights Act, the Massachusetts Equal Pay and Maternity Benefits Law, the Massachusetts Equal Rights for Elderly and Disabled Law, the Massachusetts Small Necessities Leave Act, the Massachusetts Age Discrimination Law, the Massachusetts Wage Payment Statutes (M.G.L. c.149, 148, 150), the Massachusetts Earned Sick Tim Law (MGL Ch. 149, Section 148C) and any other federal, state or local law, in each case, as amended, relating to employment, discrimination in employment, termination of employment, wages, benefits or otherwise. Executive acknowledges and agrees that even though claims and facts in addition to those now known or believed by her to exist may subsequently be discovered, it is Executive’s intention to fully settle and release all claims she may have against the Company and the Released Parties, whether known, unknown or suspected. The Released Parties who are not party to this Release will be third-party beneficiaries of this Section 1.</w:t>
      </w:r>
    </w:p>
    <w:p>
      <w:pPr>
        <w:spacing w:after="0" w:line="184" w:lineRule="exact"/>
        <w:rPr>
          <w:rFonts w:ascii="Arial" w:cs="Arial" w:eastAsia="Arial" w:hAnsi="Arial"/>
          <w:sz w:val="17"/>
          <w:szCs w:val="17"/>
          <w:color w:val="auto"/>
        </w:rPr>
      </w:pPr>
    </w:p>
    <w:p>
      <w:pPr>
        <w:jc w:val="both"/>
        <w:ind w:left="660" w:right="180" w:hanging="652"/>
        <w:spacing w:after="0" w:line="27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Notwithstanding the generality of the foregoing, Executive does not waive her right to (i) have a complaint, charge or related lawsuit filed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any similar state or local governmental agency by her or by anyone on her behalf or to participate in an investigation conducted by the EEOC or any similar state or local governmental agency; however, Executive expressly waives her right to recover any personal relief, recovery or monies should Executive or anyone on her behalf pursue any of those complaints, claims or related lawsuits; or (ii) pursue a claim that cannot be waived by law, such as a claim for unemployment benefit rights.</w:t>
      </w:r>
    </w:p>
    <w:p>
      <w:pPr>
        <w:spacing w:after="0" w:line="172" w:lineRule="exact"/>
        <w:rPr>
          <w:rFonts w:ascii="Arial" w:cs="Arial" w:eastAsia="Arial" w:hAnsi="Arial"/>
          <w:sz w:val="17"/>
          <w:szCs w:val="17"/>
          <w:color w:val="auto"/>
        </w:rPr>
      </w:pPr>
    </w:p>
    <w:p>
      <w:pPr>
        <w:ind w:left="660" w:right="120" w:hanging="652"/>
        <w:spacing w:after="0" w:line="27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and Executive acknowledge and agree that the release contained in Section 1 above does not, and will not be construed to, release or limit the scope of any existing obligation of the Company and/or any of its Affiliates (i) if and as applicable, to indemnify Executive for her acts as an officer or director of the Company and/or its Affiliates in accordance with their respective charters or bylaws or under an indemnification agreement to which Executive and the Company or any of its Affiliates are parties or under any applicable Directors and Officers insurance policies or under any applicable law; or (ii) to Executive and her eligible, participating dependents or</w:t>
      </w:r>
    </w:p>
    <w:p>
      <w:pPr>
        <w:sectPr>
          <w:pgSz w:w="11900" w:h="16838" w:orient="portrait"/>
          <w:cols w:equalWidth="0" w:num="1">
            <w:col w:w="11420"/>
          </w:cols>
          <w:pgMar w:left="240" w:top="580" w:right="239" w:bottom="1440" w:gutter="0" w:footer="0" w:header="0"/>
        </w:sectPr>
      </w:pPr>
    </w:p>
    <w:bookmarkStart w:id="119" w:name="page120"/>
    <w:bookmarkEnd w:id="119"/>
    <w:p>
      <w:pPr>
        <w:ind w:left="652" w:right="60"/>
        <w:spacing w:after="0" w:line="324" w:lineRule="auto"/>
        <w:rPr>
          <w:sz w:val="20"/>
          <w:szCs w:val="20"/>
          <w:color w:val="auto"/>
        </w:rPr>
      </w:pPr>
      <w:r>
        <w:rPr>
          <w:rFonts w:ascii="Arial" w:cs="Arial" w:eastAsia="Arial" w:hAnsi="Arial"/>
          <w:sz w:val="18"/>
          <w:szCs w:val="18"/>
          <w:color w:val="auto"/>
        </w:rPr>
        <w:t>beneficiaries under the terms of any existing group welfare (excluding severance) or retirement plan of the Company in which Executive and/or any of those dependents or beneficiaries are participants.</w:t>
      </w:r>
    </w:p>
    <w:p>
      <w:pPr>
        <w:spacing w:after="0" w:line="143" w:lineRule="exact"/>
        <w:rPr>
          <w:sz w:val="20"/>
          <w:szCs w:val="20"/>
          <w:color w:val="auto"/>
        </w:rPr>
      </w:pPr>
    </w:p>
    <w:p>
      <w:pPr>
        <w:ind w:left="652" w:right="100" w:hanging="652"/>
        <w:spacing w:after="0" w:line="273" w:lineRule="auto"/>
        <w:tabs>
          <w:tab w:leader="none" w:pos="6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Executive acknowledges and agrees that before entering into this Release, she has had the opportunity to consult with any attorney or other advisor of her choice, and Executive is hereby advised to consult with an attorney. Executive further acknowledges and agrees that by signing this Release, Executive does so of her own free will and act, that it is her intention to be legally bound by its terms, and that no promises or representations have been made to her by any person to induce her to enter into this Release other than the express terms set forth herein. Executive further acknowledges and agrees that Executive has carefully read this Release, know and understand its contents and its binding legal effect, including the waiver and release of claims set forth in Section 1 above.</w:t>
      </w:r>
    </w:p>
    <w:p>
      <w:pPr>
        <w:spacing w:after="0" w:line="178" w:lineRule="exact"/>
        <w:rPr>
          <w:rFonts w:ascii="Arial" w:cs="Arial" w:eastAsia="Arial" w:hAnsi="Arial"/>
          <w:sz w:val="17"/>
          <w:szCs w:val="17"/>
          <w:color w:val="auto"/>
        </w:rPr>
      </w:pPr>
    </w:p>
    <w:p>
      <w:pPr>
        <w:ind w:left="652" w:hanging="652"/>
        <w:spacing w:after="0" w:line="255"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Executive acknowledges that she has been provided at least 21 days to review the Release. In the event the Executive elects to sign this Release prior to this 21 day period, she agrees that it is a knowing and voluntary waiver of her right to wait the full 21 days. The Executive further understand that she has 7 days after the signing hereof to revoke this Release by so notifying the Company, Lantheus Medical Imaging, Inc., 331 Treble Cove Rd., Bldg. 600-2, N. Billerica, MA 01862, Attention: General Counsel in writing, such notice to be received by the Company within the 7 day period. This Release shall not become effective or enforceable, and no payments or benefits under Sections 8(a), (b) or (c) of the Employment Agreement, as applicable, shall be made or provided, until this seven (7) day revocation period expires without the Executive having revoked this Release.</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ectPr>
          <w:pgSz w:w="11900" w:h="16838" w:orient="portrait"/>
          <w:cols w:equalWidth="0" w:num="1">
            <w:col w:w="11372"/>
          </w:cols>
          <w:pgMar w:left="248" w:top="827" w:right="27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t>IN WITNESS WHEREOF, the parties have executed this Release on the date first above written.</w:t>
      </w:r>
    </w:p>
    <w:p>
      <w:pPr>
        <w:sectPr>
          <w:pgSz w:w="11900" w:h="16838" w:orient="portrait"/>
          <w:cols w:equalWidth="0" w:num="1">
            <w:col w:w="9559"/>
          </w:cols>
          <w:pgMar w:left="900" w:top="1016" w:right="1440" w:bottom="1440" w:gutter="0" w:footer="0" w:header="0"/>
        </w:sect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By: ___________________________</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____________________________</w:t>
      </w:r>
    </w:p>
    <w:p>
      <w:pPr>
        <w:spacing w:after="0" w:line="23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Employee Name</w:t>
      </w:r>
    </w:p>
    <w:p>
      <w:pPr>
        <w:sectPr>
          <w:pgSz w:w="11900" w:h="16838" w:orient="portrait"/>
          <w:cols w:equalWidth="0" w:num="1">
            <w:col w:w="9559"/>
          </w:cols>
          <w:pgMar w:left="900" w:top="1016" w:right="1440" w:bottom="1440" w:gutter="0" w:footer="0" w:header="0"/>
          <w:type w:val="continuous"/>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PRIOR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8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10.69</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80" w:right="60" w:firstLine="648"/>
        <w:spacing w:after="0" w:line="282" w:lineRule="auto"/>
        <w:rPr>
          <w:sz w:val="20"/>
          <w:szCs w:val="20"/>
          <w:color w:val="auto"/>
        </w:rPr>
      </w:pPr>
      <w:r>
        <w:rPr>
          <w:rFonts w:ascii="Arial" w:cs="Arial" w:eastAsia="Arial" w:hAnsi="Arial"/>
          <w:sz w:val="18"/>
          <w:szCs w:val="18"/>
          <w:color w:val="auto"/>
        </w:rPr>
        <w:t xml:space="preserve">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November 22, 2013 by and between Lantheus Medical Imaging,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Michael Duffy ("Executive").</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 desires to employ Executive and to enter into an agreement embodying the terms of such employment;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Executive desires to accept such employment and enter into such an Agreement.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consideration of the premises and mutual covenants herein and for other good and valuable consideration,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652"/>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Executive's employment with the Company commenced as of January 15, 2008. This agreement was subsequently put in place as of November 22, 2013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and supersedes the prior Executive Agreement between the parties dated March 16, 2008. Such employment shall be "at-will" employment. Subject to the terms of this Agreement, the Company may terminate Executive's employment and this Agreement for any reason at any time, with or without prior notice and with or without Cause (as defined herein), but subject to certain terms set forth in Section 8 below. Similarly, subject to the terms of this Agreement, Executive may terminate his employment at any time, subject to Section 8 below.</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Position.</w:t>
      </w:r>
    </w:p>
    <w:p>
      <w:pPr>
        <w:spacing w:after="0" w:line="225" w:lineRule="exact"/>
        <w:rPr>
          <w:rFonts w:ascii="Arial" w:cs="Arial" w:eastAsia="Arial" w:hAnsi="Arial"/>
          <w:sz w:val="18"/>
          <w:szCs w:val="18"/>
          <w:color w:val="auto"/>
        </w:rPr>
      </w:pPr>
    </w:p>
    <w:p>
      <w:pPr>
        <w:ind w:left="1300" w:right="20" w:hanging="644"/>
        <w:spacing w:after="0" w:line="276"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Commencing as of the Effective Date, Executive shall serve as the Company's Vice President, General Counsel and Secretary and shall report to the Chief Executive Officer of the Company (the </w:t>
      </w:r>
      <w:r>
        <w:rPr>
          <w:rFonts w:ascii="Arial" w:cs="Arial" w:eastAsia="Arial" w:hAnsi="Arial"/>
          <w:sz w:val="17"/>
          <w:szCs w:val="17"/>
          <w:b w:val="1"/>
          <w:bCs w:val="1"/>
          <w:color w:val="auto"/>
        </w:rPr>
        <w:t>"CEO")</w:t>
      </w:r>
      <w:r>
        <w:rPr>
          <w:rFonts w:ascii="Arial" w:cs="Arial" w:eastAsia="Arial" w:hAnsi="Arial"/>
          <w:sz w:val="17"/>
          <w:szCs w:val="17"/>
          <w:color w:val="auto"/>
        </w:rPr>
        <w:t xml:space="preserve"> or such CEO's designee. Executive shall have such duties and responsibilities as are consistent with such title and position and/or such other duties and responsibilities as may be assigned from time to time by the CEO or the Board of Directors of Lantheus MI Holdings, Inc.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If requested, Executive shall serve as an officer or a member of the Board of Directors of any of the Company's subsidiaries or affiliates without additional compensation.</w:t>
      </w:r>
    </w:p>
    <w:p>
      <w:pPr>
        <w:spacing w:after="0" w:line="172" w:lineRule="exact"/>
        <w:rPr>
          <w:rFonts w:ascii="Arial" w:cs="Arial" w:eastAsia="Arial" w:hAnsi="Arial"/>
          <w:sz w:val="17"/>
          <w:szCs w:val="17"/>
          <w:color w:val="auto"/>
        </w:rPr>
      </w:pPr>
    </w:p>
    <w:p>
      <w:pPr>
        <w:ind w:left="1300" w:right="40" w:hanging="644"/>
        <w:spacing w:after="0" w:line="273"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preclude Executive, subject to the prior approval of the Board, from accepting appointment to or continuing to serve on any board of directors or trustees of any business corporation or any charitable 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and in the aggregate, that such activities do not conflict or interfere with the performance of Executive's duties hereunder or conflict with Section 9.</w:t>
      </w:r>
    </w:p>
    <w:p>
      <w:pPr>
        <w:spacing w:after="0" w:line="178" w:lineRule="exact"/>
        <w:rPr>
          <w:rFonts w:ascii="Arial" w:cs="Arial" w:eastAsia="Arial" w:hAnsi="Arial"/>
          <w:sz w:val="17"/>
          <w:szCs w:val="17"/>
          <w:color w:val="auto"/>
        </w:rPr>
      </w:pPr>
    </w:p>
    <w:p>
      <w:pPr>
        <w:ind w:left="660" w:right="20" w:hanging="652"/>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During Executive's employment hereunder, the Company shall pay Executive a base salary at the annualized rate of $315,000, payable in regular installments in accordance with the Company's payment practices from time to time. Executive shall be entitled to annual performance and salary review, and any increase in base salary shall be in the sole discretion of the Compensation Committee of the Board. Executive's annual base salary, as in effect from time to time, is hereinafter referred to as the </w:t>
      </w:r>
      <w:r>
        <w:rPr>
          <w:rFonts w:ascii="Arial" w:cs="Arial" w:eastAsia="Arial" w:hAnsi="Arial"/>
          <w:sz w:val="18"/>
          <w:szCs w:val="18"/>
          <w:b w:val="1"/>
          <w:bCs w:val="1"/>
          <w:color w:val="auto"/>
        </w:rPr>
        <w:t>"Base Salary".</w:t>
      </w:r>
    </w:p>
    <w:p>
      <w:pPr>
        <w:spacing w:after="0" w:line="186" w:lineRule="exact"/>
        <w:rPr>
          <w:rFonts w:ascii="Arial" w:cs="Arial" w:eastAsia="Arial" w:hAnsi="Arial"/>
          <w:sz w:val="18"/>
          <w:szCs w:val="18"/>
          <w:color w:val="auto"/>
        </w:rPr>
      </w:pPr>
    </w:p>
    <w:p>
      <w:pPr>
        <w:ind w:left="660" w:right="200" w:hanging="652"/>
        <w:spacing w:after="0" w:line="27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With respect to each full fiscal year ending during Executive's employment hereunder, Executive shall be eligible to earn an annual bonus award of fourty percent (40%) of Executive's Base Salary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based upon achievement of annual EBITDA and/or other performance targets established by the Compensation Committee of the Board within the first three months of each fiscal year (the </w:t>
      </w:r>
      <w:r>
        <w:rPr>
          <w:rFonts w:ascii="Arial" w:cs="Arial" w:eastAsia="Arial" w:hAnsi="Arial"/>
          <w:sz w:val="17"/>
          <w:szCs w:val="17"/>
          <w:b w:val="1"/>
          <w:b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Bonus"). </w:t>
      </w:r>
      <w:r>
        <w:rPr>
          <w:rFonts w:ascii="Arial" w:cs="Arial" w:eastAsia="Arial" w:hAnsi="Arial"/>
          <w:sz w:val="17"/>
          <w:szCs w:val="17"/>
          <w:color w:val="auto"/>
        </w:rPr>
        <w:t>The Annual Bonus, if any, shall be paid to Executive at the same time as an annual bonus is paid to other similarly situated executives;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is an active employee in good standing with the Company on such date of payment.</w:t>
      </w:r>
    </w:p>
    <w:p>
      <w:pPr>
        <w:spacing w:after="0" w:line="172" w:lineRule="exact"/>
        <w:rPr>
          <w:rFonts w:ascii="Arial" w:cs="Arial" w:eastAsia="Arial" w:hAnsi="Arial"/>
          <w:sz w:val="17"/>
          <w:szCs w:val="17"/>
          <w:color w:val="auto"/>
        </w:rPr>
      </w:pPr>
    </w:p>
    <w:p>
      <w:pPr>
        <w:ind w:left="660" w:right="18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Executive shall be Executive shall be eligible to receive future equity awards from time to time pursuant to the Lantheus MI Holdings, Inc. 2013 Equity Incentive Plan, commensurate with Executive's level of responsibilities and</w:t>
      </w:r>
    </w:p>
    <w:p>
      <w:pPr>
        <w:sectPr>
          <w:pgSz w:w="11900" w:h="16838" w:orient="portrait"/>
          <w:cols w:equalWidth="0" w:num="1">
            <w:col w:w="11420"/>
          </w:cols>
          <w:pgMar w:left="240" w:top="580" w:right="239" w:bottom="1440" w:gutter="0" w:footer="0" w:header="0"/>
        </w:sectPr>
      </w:pPr>
    </w:p>
    <w:bookmarkStart w:id="123" w:name="page124"/>
    <w:bookmarkEnd w:id="123"/>
    <w:p>
      <w:pPr>
        <w:ind w:left="652" w:right="280"/>
        <w:spacing w:after="0" w:line="324" w:lineRule="auto"/>
        <w:rPr>
          <w:sz w:val="20"/>
          <w:szCs w:val="20"/>
          <w:color w:val="auto"/>
        </w:rPr>
      </w:pPr>
      <w:r>
        <w:rPr>
          <w:rFonts w:ascii="Arial" w:cs="Arial" w:eastAsia="Arial" w:hAnsi="Arial"/>
          <w:sz w:val="18"/>
          <w:szCs w:val="18"/>
          <w:color w:val="auto"/>
        </w:rPr>
        <w:t>the level of awards for similarly situated executives, as determined by the Compensation Committee of the Board in its sole discretion. The terms and conditions of any such equity awards shall be set forth in a separate award agreement.</w:t>
      </w:r>
    </w:p>
    <w:p>
      <w:pPr>
        <w:spacing w:after="0" w:line="143" w:lineRule="exact"/>
        <w:rPr>
          <w:sz w:val="20"/>
          <w:szCs w:val="20"/>
          <w:color w:val="auto"/>
        </w:rPr>
      </w:pPr>
    </w:p>
    <w:p>
      <w:pPr>
        <w:jc w:val="both"/>
        <w:ind w:left="652" w:right="80" w:hanging="652"/>
        <w:spacing w:after="0" w:line="264" w:lineRule="auto"/>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During Executive's employment hereunder, Executive shall be entitled to participate in the Company's health, life and disability insurance, and retirement and fringe employee benefit plans as in effect from time to time (collectively </w:t>
      </w:r>
      <w:r>
        <w:rPr>
          <w:rFonts w:ascii="Arial" w:cs="Arial" w:eastAsia="Arial" w:hAnsi="Arial"/>
          <w:sz w:val="18"/>
          <w:szCs w:val="18"/>
          <w:b w:val="1"/>
          <w:bCs w:val="1"/>
          <w:color w:val="auto"/>
        </w:rPr>
        <w:t>"Employee Benefits"),</w:t>
      </w:r>
      <w:r>
        <w:rPr>
          <w:rFonts w:ascii="Arial" w:cs="Arial" w:eastAsia="Arial" w:hAnsi="Arial"/>
          <w:sz w:val="18"/>
          <w:szCs w:val="18"/>
          <w:color w:val="auto"/>
        </w:rPr>
        <w:t xml:space="preserve"> on the same basis as those benefits are generally made available to other similarly situated executives of the Company.</w:t>
      </w:r>
    </w:p>
    <w:p>
      <w:pPr>
        <w:spacing w:after="0" w:line="181" w:lineRule="exact"/>
        <w:rPr>
          <w:rFonts w:ascii="Arial" w:cs="Arial" w:eastAsia="Arial" w:hAnsi="Arial"/>
          <w:sz w:val="18"/>
          <w:szCs w:val="18"/>
          <w:color w:val="auto"/>
        </w:rPr>
      </w:pPr>
    </w:p>
    <w:p>
      <w:pPr>
        <w:ind w:left="652" w:right="780" w:hanging="652"/>
        <w:spacing w:after="0" w:line="277" w:lineRule="auto"/>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Executive's employment hereunder, reasonable business expenses incurred by Executive in the performance of Executive's duties hereunder shall be reimbursed by the Company in accordance with Company policies.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380" w:hanging="644"/>
        <w:spacing w:after="0" w:line="277" w:lineRule="auto"/>
        <w:tabs>
          <w:tab w:leader="none" w:pos="12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Termination By the Company Without Cause. If Executive's employment is terminated by the Company without Cause, executive shall receive the following, subject to Section 8(g):</w:t>
      </w:r>
    </w:p>
    <w:p>
      <w:pPr>
        <w:spacing w:after="0" w:line="170" w:lineRule="exact"/>
        <w:rPr>
          <w:rFonts w:ascii="Arial" w:cs="Arial" w:eastAsia="Arial" w:hAnsi="Arial"/>
          <w:sz w:val="18"/>
          <w:szCs w:val="18"/>
          <w:color w:val="auto"/>
        </w:rPr>
      </w:pPr>
    </w:p>
    <w:p>
      <w:pPr>
        <w:ind w:left="1952" w:right="140" w:hanging="655"/>
        <w:spacing w:after="0" w:line="279" w:lineRule="auto"/>
        <w:tabs>
          <w:tab w:leader="none" w:pos="1952" w:val="left"/>
        </w:tabs>
        <w:numPr>
          <w:ilvl w:val="2"/>
          <w:numId w:val="80"/>
        </w:numPr>
        <w:rPr>
          <w:rFonts w:ascii="Arial" w:cs="Arial" w:eastAsia="Arial" w:hAnsi="Arial"/>
          <w:sz w:val="17"/>
          <w:szCs w:val="17"/>
          <w:color w:val="auto"/>
        </w:rPr>
      </w:pPr>
      <w:r>
        <w:rPr>
          <w:rFonts w:ascii="Arial" w:cs="Arial" w:eastAsia="Arial" w:hAnsi="Arial"/>
          <w:sz w:val="17"/>
          <w:szCs w:val="17"/>
          <w:color w:val="auto"/>
        </w:rPr>
        <w:t>an amount equal to Executive's Base Salary on the date of termination, less taxes and withholdings, payable in substantially equal installments over a period of 12 months in accordance with the Company's normal payroll practices, with payments commencing with the Company's first payroll after the sixtieth (60th) day following Executive's termination of employment, and such first payment shall include any such amounts that would otherwise be due prior thereto;</w:t>
      </w:r>
    </w:p>
    <w:p>
      <w:pPr>
        <w:spacing w:after="0" w:line="171" w:lineRule="exact"/>
        <w:rPr>
          <w:rFonts w:ascii="Arial" w:cs="Arial" w:eastAsia="Arial" w:hAnsi="Arial"/>
          <w:sz w:val="17"/>
          <w:szCs w:val="17"/>
          <w:color w:val="auto"/>
        </w:rPr>
      </w:pPr>
    </w:p>
    <w:p>
      <w:pPr>
        <w:ind w:left="1952" w:right="20" w:hanging="655"/>
        <w:spacing w:after="0" w:line="255"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pro rata portion of the Target Annual Bonus amount that Executive would have been eligible to receive pursuant to Section 4 hereof in such year of termination based upon the percentage of the fiscal year that shall have elapsed through the date of Executive's termination of employment, less taxes and withholdings, payable in substantially equal installments over a period of 12 months in accordance with the Company's normal payroll practices, with payments commencing with the Company's first payroll after the sixtieth (60th) day following Executive's te1mination of employment, and such first payment shall include any such amounts that would be otherwise due prior thereto;</w:t>
      </w:r>
    </w:p>
    <w:p>
      <w:pPr>
        <w:spacing w:after="0" w:line="193" w:lineRule="exact"/>
        <w:rPr>
          <w:rFonts w:ascii="Arial" w:cs="Arial" w:eastAsia="Arial" w:hAnsi="Arial"/>
          <w:sz w:val="18"/>
          <w:szCs w:val="18"/>
          <w:color w:val="auto"/>
        </w:rPr>
      </w:pPr>
    </w:p>
    <w:p>
      <w:pPr>
        <w:ind w:left="1952" w:right="180" w:hanging="655"/>
        <w:spacing w:after="0" w:line="293" w:lineRule="auto"/>
        <w:tabs>
          <w:tab w:leader="none" w:pos="1952" w:val="left"/>
        </w:tabs>
        <w:numPr>
          <w:ilvl w:val="2"/>
          <w:numId w:val="80"/>
        </w:numPr>
        <w:rPr>
          <w:rFonts w:ascii="Arial" w:cs="Arial" w:eastAsia="Arial" w:hAnsi="Arial"/>
          <w:sz w:val="16"/>
          <w:szCs w:val="16"/>
          <w:color w:val="auto"/>
        </w:rPr>
      </w:pPr>
      <w:r>
        <w:rPr>
          <w:rFonts w:ascii="Arial" w:cs="Arial" w:eastAsia="Arial" w:hAnsi="Arial"/>
          <w:sz w:val="16"/>
          <w:szCs w:val="16"/>
          <w:color w:val="auto"/>
        </w:rPr>
        <w:t>provided that Executive elects to purchase continued healthcare coverage under COBRA, group medical coverage and continued life insurance during the Severance Period for Executive and Executive's eligible dependents upon the same terms as provided to similarly situated executive officers of the Company and at the same coverage levels as in effect for active employees during the Severance Period; provided that such continued life insurance and/or group medical coverage shall cease upon Executive becoming eligible for life insurance and/or medical coverage, as applicable, from a prior employer or Executive becoming employed by another employer and eligible for life insurance and/or medical coverage, as applicable, with such other employer.</w:t>
      </w:r>
    </w:p>
    <w:p>
      <w:pPr>
        <w:spacing w:after="0" w:line="164" w:lineRule="exact"/>
        <w:rPr>
          <w:rFonts w:ascii="Arial" w:cs="Arial" w:eastAsia="Arial" w:hAnsi="Arial"/>
          <w:sz w:val="16"/>
          <w:szCs w:val="16"/>
          <w:color w:val="auto"/>
        </w:rPr>
      </w:pPr>
    </w:p>
    <w:p>
      <w:pPr>
        <w:ind w:left="1952" w:right="160" w:hanging="655"/>
        <w:spacing w:after="0" w:line="342" w:lineRule="auto"/>
        <w:tabs>
          <w:tab w:leader="none" w:pos="1952" w:val="left"/>
        </w:tabs>
        <w:numPr>
          <w:ilvl w:val="2"/>
          <w:numId w:val="80"/>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which shall be payable on the 60th day following Executive's termination of employment;</w:t>
      </w:r>
    </w:p>
    <w:p>
      <w:pPr>
        <w:spacing w:after="0" w:line="123" w:lineRule="exact"/>
        <w:rPr>
          <w:rFonts w:ascii="Arial" w:cs="Arial" w:eastAsia="Arial" w:hAnsi="Arial"/>
          <w:sz w:val="16"/>
          <w:szCs w:val="16"/>
          <w:color w:val="auto"/>
        </w:rPr>
      </w:pPr>
    </w:p>
    <w:p>
      <w:pPr>
        <w:ind w:left="1952" w:right="80" w:hanging="655"/>
        <w:spacing w:after="0" w:line="264"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with the Company's first payroll after Executive's termination of employment; and</w:t>
      </w:r>
    </w:p>
    <w:p>
      <w:pPr>
        <w:spacing w:after="0" w:line="181" w:lineRule="exact"/>
        <w:rPr>
          <w:rFonts w:ascii="Arial" w:cs="Arial" w:eastAsia="Arial" w:hAnsi="Arial"/>
          <w:sz w:val="18"/>
          <w:szCs w:val="18"/>
          <w:color w:val="auto"/>
        </w:rPr>
      </w:pPr>
    </w:p>
    <w:p>
      <w:pPr>
        <w:ind w:left="1952" w:right="220" w:hanging="655"/>
        <w:spacing w:after="0" w:line="277"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w:t>
      </w:r>
    </w:p>
    <w:p>
      <w:pPr>
        <w:spacing w:after="0" w:line="170" w:lineRule="exact"/>
        <w:rPr>
          <w:rFonts w:ascii="Arial" w:cs="Arial" w:eastAsia="Arial" w:hAnsi="Arial"/>
          <w:sz w:val="18"/>
          <w:szCs w:val="18"/>
          <w:color w:val="auto"/>
        </w:rPr>
      </w:pPr>
    </w:p>
    <w:p>
      <w:pPr>
        <w:jc w:val="both"/>
        <w:ind w:left="1292" w:hanging="644"/>
        <w:spacing w:after="0" w:line="312" w:lineRule="auto"/>
        <w:tabs>
          <w:tab w:leader="none" w:pos="129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Termination Without Cause or For Good Reason following a Change of Control. If, within 12 months following the occurrence of a Change of Control (as defined in the Shareholders Agreement) of Holdings, Executive terminates his employment for Good Reason or the Company terminates Executive's employment with the Company without Cause, Executive shall receive the following, subject to Section 8(g):</w:t>
      </w:r>
    </w:p>
    <w:p>
      <w:pPr>
        <w:sectPr>
          <w:pgSz w:w="11900" w:h="16838" w:orient="portrait"/>
          <w:cols w:equalWidth="0" w:num="1">
            <w:col w:w="11412"/>
          </w:cols>
          <w:pgMar w:left="248" w:top="827" w:right="239" w:bottom="1440" w:gutter="0" w:footer="0" w:header="0"/>
        </w:sectPr>
      </w:pPr>
    </w:p>
    <w:bookmarkStart w:id="124" w:name="page125"/>
    <w:bookmarkEnd w:id="124"/>
    <w:p>
      <w:pPr>
        <w:ind w:left="1304" w:right="300" w:hanging="655"/>
        <w:spacing w:after="0" w:line="291" w:lineRule="auto"/>
        <w:tabs>
          <w:tab w:leader="none" w:pos="13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 amount equal to the Executive's Base Salary on the date of termination, less taxes and withholdings, payable in substantially equal installments over a period of 12 months in accordance with the Company's normal payroll practices, with payments</w:t>
      </w:r>
    </w:p>
    <w:p>
      <w:pPr>
        <w:ind w:left="1304" w:right="140"/>
        <w:spacing w:after="0" w:line="261" w:lineRule="auto"/>
        <w:rPr>
          <w:rFonts w:ascii="Arial" w:cs="Arial" w:eastAsia="Arial" w:hAnsi="Arial"/>
          <w:sz w:val="16"/>
          <w:szCs w:val="16"/>
          <w:color w:val="auto"/>
        </w:rPr>
      </w:pPr>
      <w:r>
        <w:rPr>
          <w:rFonts w:ascii="Arial" w:cs="Arial" w:eastAsia="Arial" w:hAnsi="Arial"/>
          <w:sz w:val="18"/>
          <w:szCs w:val="18"/>
          <w:color w:val="auto"/>
        </w:rPr>
        <w:t>.commencing with the Company's first payroll after the sixtieth (60th) day following Executive's termination of employment, and such first payment shall include any such amounts that would otherwise be due prior thereto;</w:t>
      </w:r>
    </w:p>
    <w:p>
      <w:pPr>
        <w:spacing w:after="0" w:line="183" w:lineRule="exact"/>
        <w:rPr>
          <w:rFonts w:ascii="Arial" w:cs="Arial" w:eastAsia="Arial" w:hAnsi="Arial"/>
          <w:sz w:val="16"/>
          <w:szCs w:val="16"/>
          <w:color w:val="auto"/>
        </w:rPr>
      </w:pPr>
    </w:p>
    <w:p>
      <w:pPr>
        <w:ind w:left="1304" w:right="180" w:hanging="655"/>
        <w:spacing w:after="0" w:line="279" w:lineRule="auto"/>
        <w:tabs>
          <w:tab w:leader="none" w:pos="1304"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 amount equal to the full Target Bonus for the year of termination, less taxes and withholdings, payable in substantially equal installments over a period of 12 months in accordance with the Company's normal payroll practices, with payments commencing with the Company's first payroll after the sixtieth (60th) day following Executive's termination of employment, and such first payment shall include any such amounts that would otherwise be due prior thereto;</w:t>
      </w:r>
    </w:p>
    <w:p>
      <w:pPr>
        <w:spacing w:after="0" w:line="171" w:lineRule="exact"/>
        <w:rPr>
          <w:rFonts w:ascii="Arial" w:cs="Arial" w:eastAsia="Arial" w:hAnsi="Arial"/>
          <w:sz w:val="17"/>
          <w:szCs w:val="17"/>
          <w:color w:val="auto"/>
        </w:rPr>
      </w:pPr>
    </w:p>
    <w:p>
      <w:pPr>
        <w:ind w:left="1304" w:right="140" w:hanging="655"/>
        <w:spacing w:after="0" w:line="293" w:lineRule="auto"/>
        <w:tabs>
          <w:tab w:leader="none" w:pos="13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provided that Executive elects to purchase continued healthcare coverage under COBRA, group medical coverage and continued life insurance during the Severance Period for Executive and Executive's eligible dependents upon the same .terms as provided to similarly situated executive officers of the Company and at the same coverage levels as in effect for active employees during the Severance Period; provided that such continued life insurance and/or group medical coverage shall cease upon Executive becoming eligible for life insurance and/or medical coverage, as applicable, from a prior employer or Executive becoming employed by another employer and eligible for life insurance and/or medical coverage, as applicable, with such other employer.</w:t>
      </w:r>
    </w:p>
    <w:p>
      <w:pPr>
        <w:spacing w:after="0" w:line="164" w:lineRule="exact"/>
        <w:rPr>
          <w:rFonts w:ascii="Arial" w:cs="Arial" w:eastAsia="Arial" w:hAnsi="Arial"/>
          <w:sz w:val="16"/>
          <w:szCs w:val="16"/>
          <w:color w:val="auto"/>
        </w:rPr>
      </w:pPr>
    </w:p>
    <w:p>
      <w:pPr>
        <w:ind w:left="1304" w:right="120" w:hanging="655"/>
        <w:spacing w:after="0" w:line="342" w:lineRule="auto"/>
        <w:tabs>
          <w:tab w:leader="none" w:pos="13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which shall be payable on the 60th day following Executive's termination of employment;</w:t>
      </w:r>
    </w:p>
    <w:p>
      <w:pPr>
        <w:spacing w:after="0" w:line="123" w:lineRule="exact"/>
        <w:rPr>
          <w:rFonts w:ascii="Arial" w:cs="Arial" w:eastAsia="Arial" w:hAnsi="Arial"/>
          <w:sz w:val="16"/>
          <w:szCs w:val="16"/>
          <w:color w:val="auto"/>
        </w:rPr>
      </w:pPr>
    </w:p>
    <w:p>
      <w:pPr>
        <w:ind w:left="1304" w:right="740" w:hanging="655"/>
        <w:spacing w:after="0" w:line="264" w:lineRule="auto"/>
        <w:tabs>
          <w:tab w:leader="none" w:pos="13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on the first payroll date after Executive's termination of employment; and</w:t>
      </w:r>
    </w:p>
    <w:p>
      <w:pPr>
        <w:spacing w:after="0" w:line="181" w:lineRule="exact"/>
        <w:rPr>
          <w:rFonts w:ascii="Arial" w:cs="Arial" w:eastAsia="Arial" w:hAnsi="Arial"/>
          <w:sz w:val="18"/>
          <w:szCs w:val="18"/>
          <w:color w:val="auto"/>
        </w:rPr>
      </w:pPr>
    </w:p>
    <w:p>
      <w:pPr>
        <w:ind w:left="1304" w:hanging="655"/>
        <w:spacing w:after="0" w:line="259" w:lineRule="auto"/>
        <w:tabs>
          <w:tab w:leader="none" w:pos="13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 Executive acknowledges and agrees that, in connection with any Change of Control transaction, except as otherwise provided in a separate agreement, Executive shall not be entitled to receive, and shall not be paid, any transaction, success, sale or similar bonus or payment.</w:t>
      </w:r>
    </w:p>
    <w:p>
      <w:pPr>
        <w:spacing w:after="0" w:line="186" w:lineRule="exact"/>
        <w:rPr>
          <w:rFonts w:ascii="Arial" w:cs="Arial" w:eastAsia="Arial" w:hAnsi="Arial"/>
          <w:sz w:val="18"/>
          <w:szCs w:val="18"/>
          <w:color w:val="auto"/>
        </w:rPr>
      </w:pPr>
    </w:p>
    <w:p>
      <w:pPr>
        <w:ind w:left="644" w:right="20" w:hanging="644"/>
        <w:spacing w:after="0" w:line="308" w:lineRule="auto"/>
        <w:tabs>
          <w:tab w:leader="none" w:pos="6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Termination Due to Death or Permanent Disability. Executive's employment with the Company shall terminate automatically on Executive's death. In the event of Executive's Permanent Disability, the Company shall be entitled to terminate his employment.</w:t>
      </w:r>
    </w:p>
    <w:p>
      <w:pPr>
        <w:spacing w:after="0" w:line="142" w:lineRule="exact"/>
        <w:rPr>
          <w:rFonts w:ascii="Arial" w:cs="Arial" w:eastAsia="Arial" w:hAnsi="Arial"/>
          <w:sz w:val="17"/>
          <w:szCs w:val="17"/>
          <w:color w:val="auto"/>
        </w:rPr>
      </w:pPr>
    </w:p>
    <w:p>
      <w:pPr>
        <w:ind w:left="644" w:right="140"/>
        <w:spacing w:after="0" w:line="281" w:lineRule="auto"/>
        <w:rPr>
          <w:rFonts w:ascii="Arial" w:cs="Arial" w:eastAsia="Arial" w:hAnsi="Arial"/>
          <w:sz w:val="17"/>
          <w:szCs w:val="17"/>
          <w:color w:val="auto"/>
        </w:rPr>
      </w:pPr>
      <w:r>
        <w:rPr>
          <w:rFonts w:ascii="Arial" w:cs="Arial" w:eastAsia="Arial" w:hAnsi="Arial"/>
          <w:sz w:val="17"/>
          <w:szCs w:val="17"/>
          <w:color w:val="auto"/>
        </w:rPr>
        <w:t xml:space="preserve">For purposes of this Agreement, the </w:t>
      </w:r>
      <w:r>
        <w:rPr>
          <w:rFonts w:ascii="Arial" w:cs="Arial" w:eastAsia="Arial" w:hAnsi="Arial"/>
          <w:sz w:val="17"/>
          <w:szCs w:val="17"/>
          <w:b w:val="1"/>
          <w:bCs w:val="1"/>
          <w:color w:val="auto"/>
        </w:rPr>
        <w:t>"Permanent Disability"</w:t>
      </w:r>
      <w:r>
        <w:rPr>
          <w:rFonts w:ascii="Arial" w:cs="Arial" w:eastAsia="Arial" w:hAnsi="Arial"/>
          <w:sz w:val="17"/>
          <w:szCs w:val="17"/>
          <w:color w:val="auto"/>
        </w:rPr>
        <w:t xml:space="preserve"> of Executive shall mean Executive's inability, because of mental or physical illness or incapacity, whether total or partial, to perform one or more of the material functions of Executive's position with or without reasonable accommodation, for a period of: (i) 90 consecutive calendar days or (ii) an aggregate of 120 days out of any consecutive 12 month period, and which entitles Executive to receive benefits under a disability plan provided by the Company.</w:t>
      </w:r>
    </w:p>
    <w:p>
      <w:pPr>
        <w:spacing w:after="0" w:line="168"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In the event of a termination of employment under this section, Executive shall be entitled to following, subject to Section 8(g):</w:t>
      </w:r>
    </w:p>
    <w:p>
      <w:pPr>
        <w:spacing w:after="0" w:line="225" w:lineRule="exact"/>
        <w:rPr>
          <w:rFonts w:ascii="Arial" w:cs="Arial" w:eastAsia="Arial" w:hAnsi="Arial"/>
          <w:sz w:val="17"/>
          <w:szCs w:val="17"/>
          <w:color w:val="auto"/>
        </w:rPr>
      </w:pPr>
    </w:p>
    <w:p>
      <w:pPr>
        <w:ind w:left="1304" w:right="160" w:hanging="655"/>
        <w:spacing w:after="0" w:line="342" w:lineRule="auto"/>
        <w:tabs>
          <w:tab w:leader="none" w:pos="1304"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lump sum amount equal to any earned, but unpaid, Annual Cash Bonus, if any, for the year prior to the year of termination, less taxes and withholdings, payable on the sixtieth (60th) day following Executive's termination of employment;</w:t>
      </w:r>
    </w:p>
    <w:p>
      <w:pPr>
        <w:spacing w:after="0" w:line="123" w:lineRule="exact"/>
        <w:rPr>
          <w:rFonts w:ascii="Arial" w:cs="Arial" w:eastAsia="Arial" w:hAnsi="Arial"/>
          <w:sz w:val="16"/>
          <w:szCs w:val="16"/>
          <w:color w:val="auto"/>
        </w:rPr>
      </w:pPr>
    </w:p>
    <w:p>
      <w:pPr>
        <w:ind w:left="1304" w:right="740" w:hanging="655"/>
        <w:spacing w:after="0" w:line="264" w:lineRule="auto"/>
        <w:tabs>
          <w:tab w:leader="none" w:pos="13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lump sum amount equal to any earned, but unpaid, Base Salary, if any, through the date of Executive's termination of employment, less taxes and withholdings, which shall be payable on the first payroll date after Executive's termination of employment;</w:t>
      </w:r>
    </w:p>
    <w:p>
      <w:pPr>
        <w:spacing w:after="0" w:line="181" w:lineRule="exact"/>
        <w:rPr>
          <w:rFonts w:ascii="Arial" w:cs="Arial" w:eastAsia="Arial" w:hAnsi="Arial"/>
          <w:sz w:val="18"/>
          <w:szCs w:val="18"/>
          <w:color w:val="auto"/>
        </w:rPr>
      </w:pPr>
    </w:p>
    <w:p>
      <w:pPr>
        <w:ind w:left="1304" w:right="220" w:hanging="655"/>
        <w:spacing w:after="0" w:line="277" w:lineRule="auto"/>
        <w:tabs>
          <w:tab w:leader="none" w:pos="13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lump sum amount equal to any unreimbursed business expenses, if any, pursuant to and in accordance with Section 7, incurred through the date of Executive's termination of employment; and</w:t>
      </w:r>
    </w:p>
    <w:p>
      <w:pPr>
        <w:sectPr>
          <w:pgSz w:w="11900" w:h="16838" w:orient="portrait"/>
          <w:cols w:equalWidth="0" w:num="1">
            <w:col w:w="10764"/>
          </w:cols>
          <w:pgMar w:left="896" w:top="800" w:right="239" w:bottom="1440" w:gutter="0" w:footer="0" w:header="0"/>
        </w:sectPr>
      </w:pPr>
    </w:p>
    <w:bookmarkStart w:id="125" w:name="page126"/>
    <w:bookmarkEnd w:id="125"/>
    <w:p>
      <w:pPr>
        <w:ind w:left="1304" w:right="100" w:hanging="655"/>
        <w:spacing w:after="0" w:line="259"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pro rata portion of any Annual Cash Bonus, to the extent earned based on actual performance by the Company, that Executive would have been eligible to receive hereunder in the year of termination, based on the percentage of the fiscal year that shall have elapsed through the date of Executive's termination of employment, payable at such time as any such Annual Cash Bonuses are paid to active senior executives of the Company.</w:t>
      </w:r>
    </w:p>
    <w:p>
      <w:pPr>
        <w:spacing w:after="0" w:line="186" w:lineRule="exact"/>
        <w:rPr>
          <w:rFonts w:ascii="Arial" w:cs="Arial" w:eastAsia="Arial" w:hAnsi="Arial"/>
          <w:sz w:val="18"/>
          <w:szCs w:val="18"/>
          <w:color w:val="auto"/>
        </w:rPr>
      </w:pPr>
    </w:p>
    <w:p>
      <w:pPr>
        <w:ind w:left="644" w:hanging="644"/>
        <w:spacing w:after="0" w:line="269" w:lineRule="auto"/>
        <w:tabs>
          <w:tab w:leader="none" w:pos="644"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Other Terminations.</w:t>
      </w:r>
      <w:r>
        <w:rPr>
          <w:rFonts w:ascii="Arial" w:cs="Arial" w:eastAsia="Arial" w:hAnsi="Arial"/>
          <w:sz w:val="17"/>
          <w:szCs w:val="17"/>
          <w:color w:val="auto"/>
        </w:rPr>
        <w:t xml:space="preserve"> Executive shall not be entitled to the post-termination benefits set forth in Section 8(a), Section 8(b) or Section 8(c) above if his employment with the Company ceases for any reason other than his termination by the Company without Cause, his resignation for Good Reason or his termination as a result of his death or Permanent Disability; it being understood that if Executive's employment with the Company ceases or terminates for any other reason, he will not be entitled to any severance or post-termination benefits or payments, whether hereunder or pursuant to any policy of the Company, other than a lump sum amount equal to any earned, but unpaid, Base Salary, if any, through the date of Executive's termination of employment, less taxes and withholdings (payable on the first payroll date after Executive's termination of employment), and a lump sum amount equal to any unreimbursed business expenses, if any, pursuant to and in accordance with Section 3(e), incurred through the date of Executive's termination of employment; provided, that this paragraph shall not alter Executive's rights or obligations he may have or be subject to in connection with or with respect to his equity interests in Holdings, and Executive's indemnification rights shall continue to be governed in accordance with any Directors and Officers Liability Insurance Policy that the Company may maintain and/or with the Company's certificate of incorporation or by-bylaws or similar governing document, and otherwise in accordance with section 7.</w:t>
      </w:r>
    </w:p>
    <w:p>
      <w:pPr>
        <w:spacing w:after="0" w:line="175" w:lineRule="exact"/>
        <w:rPr>
          <w:rFonts w:ascii="Arial" w:cs="Arial" w:eastAsia="Arial" w:hAnsi="Arial"/>
          <w:sz w:val="17"/>
          <w:szCs w:val="17"/>
          <w:color w:val="auto"/>
        </w:rPr>
      </w:pPr>
    </w:p>
    <w:p>
      <w:pPr>
        <w:ind w:left="644" w:hanging="644"/>
        <w:spacing w:after="0" w:line="254" w:lineRule="auto"/>
        <w:tabs>
          <w:tab w:leader="none" w:pos="6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Cause Definition</w:t>
      </w:r>
      <w:r>
        <w:rPr>
          <w:rFonts w:ascii="Arial" w:cs="Arial" w:eastAsia="Arial" w:hAnsi="Arial"/>
          <w:sz w:val="18"/>
          <w:szCs w:val="18"/>
          <w:color w:val="auto"/>
        </w:rPr>
        <w:t xml:space="preserve">.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xml:space="preserve"> means (i) material failure by Executive to perform Executive's employment duties (other than as a consequence of any illness, accident or disability), (ii) continued, willful failure of Executive to carry out any reasonable lawful direction of the Company, (iii) material failure of Executive to comply with any of the applicable rules of the Company contained in its Employee Handbook or any other Company policy, (iv) fraud, willful malfeasance, gross negligence or recklessness of Executive in the performance of employment duties, (v) willful failure of Executive to comply with any of the material terms of this Agreement, (vi) other serious, willful misconduct of Executive which causes material injury to the Company or its reputation, including, but not limited to, willful or gross misconduct toward any of the Company's other employees, and (vii) conviction of a crime (or a pleading of guilty or nolo contendere), other than one which in the opinion of the Board does not affect Executive's position as an employee of the Company.</w:t>
      </w:r>
    </w:p>
    <w:p>
      <w:pPr>
        <w:spacing w:after="0" w:line="193" w:lineRule="exact"/>
        <w:rPr>
          <w:rFonts w:ascii="Arial" w:cs="Arial" w:eastAsia="Arial" w:hAnsi="Arial"/>
          <w:sz w:val="18"/>
          <w:szCs w:val="18"/>
          <w:color w:val="auto"/>
        </w:rPr>
      </w:pPr>
    </w:p>
    <w:p>
      <w:pPr>
        <w:ind w:left="644" w:right="40" w:hanging="644"/>
        <w:spacing w:after="0" w:line="286" w:lineRule="auto"/>
        <w:tabs>
          <w:tab w:leader="none" w:pos="644"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Good Reason Definition</w:t>
      </w:r>
      <w:r>
        <w:rPr>
          <w:rFonts w:ascii="Arial" w:cs="Arial" w:eastAsia="Arial" w:hAnsi="Arial"/>
          <w:sz w:val="16"/>
          <w:szCs w:val="16"/>
          <w:color w:val="auto"/>
        </w:rPr>
        <w:t>. For purposes of this Agreement, "Good Reason" shall mean, without the Executive's Consent, (A) the failure of the Company to pay, or cause to be paid, Executive's Base Salary or Bonus, as the case may be, when due, (B) a permanent decrease in the Executive's Base Salary, or a failure by the Company to pay material compensation or provide material benefits due and payable to the Executive under his Employment Agreement, (C) the Company requiring the Executive to be based at any office or location that is more than 50 miles from the Company's current headquarters in Billerica, Massachusetts, or (D) the failure of the Company to cause the transferee or successor to all or substantially all of the assets of the Company to assume by operation of law or contractually the Company's obligations hereunder, and provided further that any of the events described in clauses (A) or (D) of this section shall constitute Good Reason only if the Company fails to cure such event within 30 days after receipt from Executive of written notice of the event which constitutes Good Reason, and provided further, that Good Reason shall cease to exist for an event on the 30th day following the later of its occurrence or Executive's knowledge thereof, unless Executive has given the Company written notice thereof prior to such date; For the avoidance of doubt, (x) a change in Executive's reporting relationships, including but not limited to a change in the number of direct or indirect reports to Executive, shall not constitute a material and adverse reduction in Executive's responsibilities, and (y) commensurate with Executive performing his duties Executive will be expected to work at the Company's headquarters in North Billerica, Massachusetts, as necessitated by business demands or as reasonably requested by the Company.</w:t>
      </w:r>
    </w:p>
    <w:p>
      <w:pPr>
        <w:spacing w:after="0" w:line="171" w:lineRule="exact"/>
        <w:rPr>
          <w:rFonts w:ascii="Arial" w:cs="Arial" w:eastAsia="Arial" w:hAnsi="Arial"/>
          <w:sz w:val="16"/>
          <w:szCs w:val="16"/>
          <w:color w:val="auto"/>
        </w:rPr>
      </w:pPr>
    </w:p>
    <w:p>
      <w:pPr>
        <w:ind w:left="644" w:right="80" w:hanging="644"/>
        <w:spacing w:after="0" w:line="297" w:lineRule="auto"/>
        <w:tabs>
          <w:tab w:leader="none" w:pos="644"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General Release</w:t>
      </w:r>
      <w:r>
        <w:rPr>
          <w:rFonts w:ascii="Arial" w:cs="Arial" w:eastAsia="Arial" w:hAnsi="Arial"/>
          <w:sz w:val="16"/>
          <w:szCs w:val="16"/>
          <w:color w:val="auto"/>
        </w:rPr>
        <w:t xml:space="preserve">. The payments and benefits set forth in Sections 8(a), 8(b) and 8(c) above shall be expressly conditioned upon Executive's (or his estate or legal representatives, in the case of Section 4(c)) execution and delivery to the Company of a Separation Agreement and General Release in·a form that is acceptable to the Company (the </w:t>
      </w:r>
      <w:r>
        <w:rPr>
          <w:rFonts w:ascii="Arial" w:cs="Arial" w:eastAsia="Arial" w:hAnsi="Arial"/>
          <w:sz w:val="16"/>
          <w:szCs w:val="16"/>
          <w:b w:val="1"/>
          <w:bCs w:val="1"/>
          <w:color w:val="auto"/>
        </w:rPr>
        <w:t>"Separation Agreement")</w:t>
      </w:r>
      <w:r>
        <w:rPr>
          <w:rFonts w:ascii="Arial" w:cs="Arial" w:eastAsia="Arial" w:hAnsi="Arial"/>
          <w:sz w:val="16"/>
          <w:szCs w:val="16"/>
          <w:color w:val="auto"/>
        </w:rPr>
        <w:t xml:space="preserve"> and such Separation Agreement becoming irrevocable within sixty (60) days following Executive's termination of employment; provided, that any payments or benefits otherwise due prior to such sixtieth (60th) day shall be paid on such sixtieth (60th)</w:t>
      </w:r>
    </w:p>
    <w:p>
      <w:pPr>
        <w:sectPr>
          <w:pgSz w:w="11900" w:h="16838" w:orient="portrait"/>
          <w:cols w:equalWidth="0" w:num="1">
            <w:col w:w="10744"/>
          </w:cols>
          <w:pgMar w:left="896" w:top="800" w:right="259" w:bottom="1440" w:gutter="0" w:footer="0" w:header="0"/>
        </w:sectPr>
      </w:pPr>
    </w:p>
    <w:bookmarkStart w:id="126" w:name="page127"/>
    <w:bookmarkEnd w:id="126"/>
    <w:p>
      <w:pPr>
        <w:ind w:left="1292" w:right="640"/>
        <w:spacing w:after="0" w:line="364" w:lineRule="auto"/>
        <w:rPr>
          <w:sz w:val="20"/>
          <w:szCs w:val="20"/>
          <w:color w:val="auto"/>
        </w:rPr>
      </w:pPr>
      <w:r>
        <w:rPr>
          <w:rFonts w:ascii="Arial" w:cs="Arial" w:eastAsia="Arial" w:hAnsi="Arial"/>
          <w:sz w:val="16"/>
          <w:szCs w:val="16"/>
          <w:color w:val="auto"/>
        </w:rPr>
        <w:t>day. For the avoidance of doubt, the payments and benefits set forth in Sections 8(a), 8(b) and 8(c) above shall be forfeited if such Separation Agreement has not been executed, delivered and become irrevocable within such sixty (60) day period. Such Separation Agreement shall contain release language substantially similar to the language set forth in Exhibit A attached hereto.</w:t>
      </w:r>
    </w:p>
    <w:p>
      <w:pPr>
        <w:spacing w:after="0" w:line="122" w:lineRule="exact"/>
        <w:rPr>
          <w:sz w:val="20"/>
          <w:szCs w:val="20"/>
          <w:color w:val="auto"/>
        </w:rPr>
      </w:pPr>
    </w:p>
    <w:p>
      <w:pPr>
        <w:ind w:left="1292" w:hanging="644"/>
        <w:spacing w:after="0" w:line="264" w:lineRule="auto"/>
        <w:tabs>
          <w:tab w:leader="none" w:pos="1292"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Board/Committee Resignation.</w:t>
      </w:r>
      <w:r>
        <w:rPr>
          <w:rFonts w:ascii="Arial" w:cs="Arial" w:eastAsia="Arial" w:hAnsi="Arial"/>
          <w:sz w:val="18"/>
          <w:szCs w:val="18"/>
          <w:color w:val="auto"/>
        </w:rPr>
        <w:t xml:space="preserve"> Upon termination of Executive's employment for any reason, Executive agrees to resign, as of the date of such termination and to the extent applicable, from the Board (and any committees thereof) and the Board of Directors (and any committees thereof) of any of the Company's subsidiaries or affiliates.</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180" w:hanging="644"/>
        <w:spacing w:after="0" w:line="277" w:lineRule="auto"/>
        <w:tabs>
          <w:tab w:leader="none" w:pos="12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Executive acknowledges and recognizes the highly competitive nature of the businesses of the Company and its affiliates and accordingly agrees as follows:</w:t>
      </w:r>
    </w:p>
    <w:p>
      <w:pPr>
        <w:spacing w:after="0" w:line="170" w:lineRule="exact"/>
        <w:rPr>
          <w:rFonts w:ascii="Arial" w:cs="Arial" w:eastAsia="Arial" w:hAnsi="Arial"/>
          <w:sz w:val="18"/>
          <w:szCs w:val="18"/>
          <w:color w:val="auto"/>
        </w:rPr>
      </w:pPr>
    </w:p>
    <w:p>
      <w:pPr>
        <w:ind w:left="1952" w:right="20" w:hanging="655"/>
        <w:spacing w:after="0" w:line="257" w:lineRule="auto"/>
        <w:tabs>
          <w:tab w:leader="none" w:pos="19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During Executive's employment with the Company and, for a period of one year following the date Executive ceases to be employed by the Company (the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Executive will not, whether on Executive's own behalf or on behalf of or in conjunction with any person, firm, partnership, joint venture, association, corporation or other business organization, entity or enterprise whatsoever </w:t>
      </w:r>
      <w:r>
        <w:rPr>
          <w:rFonts w:ascii="Arial" w:cs="Arial" w:eastAsia="Arial" w:hAnsi="Arial"/>
          <w:sz w:val="18"/>
          <w:szCs w:val="18"/>
          <w:b w:val="1"/>
          <w:bCs w:val="1"/>
          <w:color w:val="auto"/>
        </w:rPr>
        <w:t>("Person"),</w:t>
      </w:r>
      <w:r>
        <w:rPr>
          <w:rFonts w:ascii="Arial" w:cs="Arial" w:eastAsia="Arial" w:hAnsi="Arial"/>
          <w:sz w:val="18"/>
          <w:szCs w:val="18"/>
          <w:color w:val="auto"/>
        </w:rPr>
        <w:t xml:space="preserve"> directly or indirectly solicit or assist in soliciting in competition with the Company, the business of any client or prospective client:</w:t>
      </w:r>
    </w:p>
    <w:p>
      <w:pPr>
        <w:spacing w:after="0" w:line="188" w:lineRule="exact"/>
        <w:rPr>
          <w:rFonts w:ascii="Arial" w:cs="Arial" w:eastAsia="Arial" w:hAnsi="Arial"/>
          <w:sz w:val="18"/>
          <w:szCs w:val="18"/>
          <w:color w:val="auto"/>
        </w:rPr>
      </w:pPr>
    </w:p>
    <w:p>
      <w:pPr>
        <w:ind w:left="2592" w:right="220" w:hanging="647"/>
        <w:spacing w:after="0" w:line="277" w:lineRule="auto"/>
        <w:tabs>
          <w:tab w:leader="none" w:pos="2592" w:val="left"/>
        </w:tabs>
        <w:numPr>
          <w:ilvl w:val="3"/>
          <w:numId w:val="86"/>
        </w:numPr>
        <w:rPr>
          <w:rFonts w:ascii="Arial" w:cs="Arial" w:eastAsia="Arial" w:hAnsi="Arial"/>
          <w:sz w:val="18"/>
          <w:szCs w:val="18"/>
          <w:color w:val="auto"/>
        </w:rPr>
      </w:pPr>
      <w:r>
        <w:rPr>
          <w:rFonts w:ascii="Arial" w:cs="Arial" w:eastAsia="Arial" w:hAnsi="Arial"/>
          <w:sz w:val="18"/>
          <w:szCs w:val="18"/>
          <w:color w:val="auto"/>
        </w:rPr>
        <w:t>with whom Executive had personal contact or dealings on behalf of the Company during the one-year period preceding Executive's termination of employment;</w:t>
      </w:r>
    </w:p>
    <w:p>
      <w:pPr>
        <w:spacing w:after="0" w:line="170" w:lineRule="exact"/>
        <w:rPr>
          <w:rFonts w:ascii="Arial" w:cs="Arial" w:eastAsia="Arial" w:hAnsi="Arial"/>
          <w:sz w:val="18"/>
          <w:szCs w:val="18"/>
          <w:color w:val="auto"/>
        </w:rPr>
      </w:pPr>
    </w:p>
    <w:p>
      <w:pPr>
        <w:ind w:left="2592" w:right="140" w:hanging="647"/>
        <w:spacing w:after="0" w:line="277" w:lineRule="auto"/>
        <w:tabs>
          <w:tab w:leader="none" w:pos="2592" w:val="left"/>
        </w:tabs>
        <w:numPr>
          <w:ilvl w:val="3"/>
          <w:numId w:val="86"/>
        </w:numPr>
        <w:rPr>
          <w:rFonts w:ascii="Arial" w:cs="Arial" w:eastAsia="Arial" w:hAnsi="Arial"/>
          <w:sz w:val="18"/>
          <w:szCs w:val="18"/>
          <w:color w:val="auto"/>
        </w:rPr>
      </w:pPr>
      <w:r>
        <w:rPr>
          <w:rFonts w:ascii="Arial" w:cs="Arial" w:eastAsia="Arial" w:hAnsi="Arial"/>
          <w:sz w:val="18"/>
          <w:szCs w:val="18"/>
          <w:color w:val="auto"/>
        </w:rPr>
        <w:t>with whom employees reporting to Executive had personal contact or dealings on behalf of the Company during the one year immediately preceding the Executive's termination of employment; or</w:t>
      </w:r>
    </w:p>
    <w:p>
      <w:pPr>
        <w:spacing w:after="0" w:line="170" w:lineRule="exact"/>
        <w:rPr>
          <w:rFonts w:ascii="Arial" w:cs="Arial" w:eastAsia="Arial" w:hAnsi="Arial"/>
          <w:sz w:val="18"/>
          <w:szCs w:val="18"/>
          <w:color w:val="auto"/>
        </w:rPr>
      </w:pPr>
    </w:p>
    <w:p>
      <w:pPr>
        <w:ind w:left="2592" w:right="740" w:hanging="647"/>
        <w:spacing w:after="0" w:line="277" w:lineRule="auto"/>
        <w:tabs>
          <w:tab w:leader="none" w:pos="2592" w:val="left"/>
        </w:tabs>
        <w:numPr>
          <w:ilvl w:val="3"/>
          <w:numId w:val="86"/>
        </w:numPr>
        <w:rPr>
          <w:rFonts w:ascii="Arial" w:cs="Arial" w:eastAsia="Arial" w:hAnsi="Arial"/>
          <w:sz w:val="18"/>
          <w:szCs w:val="18"/>
          <w:color w:val="auto"/>
        </w:rPr>
      </w:pPr>
      <w:r>
        <w:rPr>
          <w:rFonts w:ascii="Arial" w:cs="Arial" w:eastAsia="Arial" w:hAnsi="Arial"/>
          <w:sz w:val="18"/>
          <w:szCs w:val="18"/>
          <w:color w:val="auto"/>
        </w:rPr>
        <w:t>for whom Executive had direct or indirect responsibility during the one year immediately preceding Executive's termination of employment.</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During the Restricted Period, Executive will not directly or indirectly:</w:t>
      </w:r>
    </w:p>
    <w:p>
      <w:pPr>
        <w:spacing w:after="0" w:line="225" w:lineRule="exact"/>
        <w:rPr>
          <w:rFonts w:ascii="Arial" w:cs="Arial" w:eastAsia="Arial" w:hAnsi="Arial"/>
          <w:sz w:val="18"/>
          <w:szCs w:val="18"/>
          <w:color w:val="auto"/>
        </w:rPr>
      </w:pPr>
    </w:p>
    <w:p>
      <w:pPr>
        <w:ind w:left="2592" w:right="80" w:hanging="647"/>
        <w:spacing w:after="0" w:line="297" w:lineRule="auto"/>
        <w:tabs>
          <w:tab w:leader="none" w:pos="2592" w:val="left"/>
        </w:tabs>
        <w:numPr>
          <w:ilvl w:val="3"/>
          <w:numId w:val="86"/>
        </w:numPr>
        <w:rPr>
          <w:rFonts w:ascii="Arial" w:cs="Arial" w:eastAsia="Arial" w:hAnsi="Arial"/>
          <w:sz w:val="16"/>
          <w:szCs w:val="16"/>
          <w:color w:val="auto"/>
        </w:rPr>
      </w:pPr>
      <w:r>
        <w:rPr>
          <w:rFonts w:ascii="Arial" w:cs="Arial" w:eastAsia="Arial" w:hAnsi="Arial"/>
          <w:sz w:val="16"/>
          <w:szCs w:val="16"/>
          <w:color w:val="auto"/>
        </w:rPr>
        <w:t xml:space="preserve">engage in any business that competes with the business or businesses of the Company or any of its affiliates, namely in the testing, development and manufacturing services for the development, manufacture, distribution, marketing or sale of radiopharmaceutical products, contrast imaging agents and/or radioactive generators for the global medical imaging and pharmaceutical industries, and including, without limitation, businesses which the Company or its affiliates have specific plans to conduct in the future and as to which Executive is aware of such planning (a </w:t>
      </w:r>
      <w:r>
        <w:rPr>
          <w:rFonts w:ascii="Arial" w:cs="Arial" w:eastAsia="Arial" w:hAnsi="Arial"/>
          <w:sz w:val="16"/>
          <w:szCs w:val="16"/>
          <w:b w:val="1"/>
          <w:bCs w:val="1"/>
          <w:color w:val="auto"/>
        </w:rPr>
        <w:t>"Competitive Business");</w:t>
      </w:r>
    </w:p>
    <w:p>
      <w:pPr>
        <w:spacing w:after="0" w:line="158" w:lineRule="exact"/>
        <w:rPr>
          <w:rFonts w:ascii="Arial" w:cs="Arial" w:eastAsia="Arial" w:hAnsi="Arial"/>
          <w:sz w:val="16"/>
          <w:szCs w:val="16"/>
          <w:color w:val="auto"/>
        </w:rPr>
      </w:pPr>
    </w:p>
    <w:p>
      <w:pPr>
        <w:ind w:left="2592" w:right="360" w:hanging="647"/>
        <w:spacing w:after="0" w:line="277" w:lineRule="auto"/>
        <w:tabs>
          <w:tab w:leader="none" w:pos="2592" w:val="left"/>
        </w:tabs>
        <w:numPr>
          <w:ilvl w:val="3"/>
          <w:numId w:val="86"/>
        </w:numPr>
        <w:rPr>
          <w:rFonts w:ascii="Arial" w:cs="Arial" w:eastAsia="Arial" w:hAnsi="Arial"/>
          <w:sz w:val="18"/>
          <w:szCs w:val="18"/>
          <w:color w:val="auto"/>
        </w:rPr>
      </w:pPr>
      <w:r>
        <w:rPr>
          <w:rFonts w:ascii="Arial" w:cs="Arial" w:eastAsia="Arial" w:hAnsi="Arial"/>
          <w:sz w:val="18"/>
          <w:szCs w:val="18"/>
          <w:color w:val="auto"/>
        </w:rPr>
        <w:t>enter the employ of, or render any services to, any Person (or any division or controlled or controlling affiliate of any Person) who or which engages in a Competitive Business;</w:t>
      </w:r>
    </w:p>
    <w:p>
      <w:pPr>
        <w:spacing w:after="0" w:line="170" w:lineRule="exact"/>
        <w:rPr>
          <w:rFonts w:ascii="Arial" w:cs="Arial" w:eastAsia="Arial" w:hAnsi="Arial"/>
          <w:sz w:val="18"/>
          <w:szCs w:val="18"/>
          <w:color w:val="auto"/>
        </w:rPr>
      </w:pPr>
    </w:p>
    <w:p>
      <w:pPr>
        <w:ind w:left="2592" w:right="660" w:hanging="647"/>
        <w:spacing w:after="0" w:line="342" w:lineRule="auto"/>
        <w:tabs>
          <w:tab w:leader="none" w:pos="2592" w:val="left"/>
        </w:tabs>
        <w:numPr>
          <w:ilvl w:val="3"/>
          <w:numId w:val="86"/>
        </w:numPr>
        <w:rPr>
          <w:rFonts w:ascii="Arial" w:cs="Arial" w:eastAsia="Arial" w:hAnsi="Arial"/>
          <w:sz w:val="16"/>
          <w:szCs w:val="16"/>
          <w:color w:val="auto"/>
        </w:rPr>
      </w:pPr>
      <w:r>
        <w:rPr>
          <w:rFonts w:ascii="Arial" w:cs="Arial" w:eastAsia="Arial" w:hAnsi="Arial"/>
          <w:sz w:val="16"/>
          <w:szCs w:val="16"/>
          <w:color w:val="auto"/>
        </w:rPr>
        <w:t>acquire a financial interest in, or otherwise become actively involved with, any Competitive Business, directly or indirectly, as an individual, partner, shareholder, officer, director, principal, agent, trustee or consultant; or</w:t>
      </w:r>
    </w:p>
    <w:p>
      <w:pPr>
        <w:spacing w:after="0" w:line="123" w:lineRule="exact"/>
        <w:rPr>
          <w:rFonts w:ascii="Arial" w:cs="Arial" w:eastAsia="Arial" w:hAnsi="Arial"/>
          <w:sz w:val="16"/>
          <w:szCs w:val="16"/>
          <w:color w:val="auto"/>
        </w:rPr>
      </w:pPr>
    </w:p>
    <w:p>
      <w:pPr>
        <w:ind w:left="2592" w:right="20" w:hanging="647"/>
        <w:spacing w:after="0" w:line="264" w:lineRule="auto"/>
        <w:tabs>
          <w:tab w:leader="none" w:pos="2592" w:val="left"/>
        </w:tabs>
        <w:numPr>
          <w:ilvl w:val="3"/>
          <w:numId w:val="86"/>
        </w:numPr>
        <w:rPr>
          <w:rFonts w:ascii="Arial" w:cs="Arial" w:eastAsia="Arial" w:hAnsi="Arial"/>
          <w:sz w:val="18"/>
          <w:szCs w:val="18"/>
          <w:color w:val="auto"/>
        </w:rPr>
      </w:pPr>
      <w:r>
        <w:rPr>
          <w:rFonts w:ascii="Arial" w:cs="Arial" w:eastAsia="Arial" w:hAnsi="Arial"/>
          <w:sz w:val="18"/>
          <w:szCs w:val="18"/>
          <w:color w:val="auto"/>
        </w:rPr>
        <w:t>interfere with, or attempt to interfere with, business relationships (whether formed before, on or after the date of this Agreement) between the Company or any of its affiliates and customers, clients, suppliers, partners, members or investors of the Company or its affiliates.</w:t>
      </w:r>
    </w:p>
    <w:p>
      <w:pPr>
        <w:spacing w:after="0" w:line="181" w:lineRule="exact"/>
        <w:rPr>
          <w:rFonts w:ascii="Arial" w:cs="Arial" w:eastAsia="Arial" w:hAnsi="Arial"/>
          <w:sz w:val="18"/>
          <w:szCs w:val="18"/>
          <w:color w:val="auto"/>
        </w:rPr>
      </w:pPr>
    </w:p>
    <w:p>
      <w:pPr>
        <w:ind w:left="1952" w:right="20" w:hanging="655"/>
        <w:spacing w:after="0" w:line="312" w:lineRule="auto"/>
        <w:tabs>
          <w:tab w:leader="none" w:pos="1952" w:val="left"/>
        </w:tabs>
        <w:numPr>
          <w:ilvl w:val="2"/>
          <w:numId w:val="8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Executive may, directly or indirectly, own, solely as an investment, securities of any Person engaged in the business of the Company or its affiliates which are publicly traded on a national or regional stock exchange or on the over-the-counter market if Executive (i) is not a controlling person of, or a member of a group which</w:t>
      </w:r>
    </w:p>
    <w:p>
      <w:pPr>
        <w:sectPr>
          <w:pgSz w:w="11900" w:h="16838" w:orient="portrait"/>
          <w:cols w:equalWidth="0" w:num="1">
            <w:col w:w="11392"/>
          </w:cols>
          <w:pgMar w:left="248" w:top="827" w:right="259" w:bottom="1440" w:gutter="0" w:footer="0" w:header="0"/>
        </w:sectPr>
      </w:pPr>
    </w:p>
    <w:bookmarkStart w:id="127" w:name="page128"/>
    <w:bookmarkEnd w:id="127"/>
    <w:p>
      <w:pPr>
        <w:ind w:left="1952"/>
        <w:spacing w:after="0"/>
        <w:rPr>
          <w:sz w:val="20"/>
          <w:szCs w:val="20"/>
          <w:color w:val="auto"/>
        </w:rPr>
      </w:pPr>
      <w:r>
        <w:rPr>
          <w:rFonts w:ascii="Arial" w:cs="Arial" w:eastAsia="Arial" w:hAnsi="Arial"/>
          <w:sz w:val="17"/>
          <w:szCs w:val="17"/>
          <w:color w:val="auto"/>
        </w:rPr>
        <w:t>controls, such Person and (ii) does not, directly or indirectly, own 5% or more of any class of securities of such Person.</w:t>
      </w:r>
    </w:p>
    <w:p>
      <w:pPr>
        <w:spacing w:after="0" w:line="250" w:lineRule="exact"/>
        <w:rPr>
          <w:sz w:val="20"/>
          <w:szCs w:val="20"/>
          <w:color w:val="auto"/>
        </w:rPr>
      </w:pPr>
    </w:p>
    <w:p>
      <w:pPr>
        <w:ind w:left="1952" w:right="220" w:hanging="655"/>
        <w:spacing w:after="0" w:line="277" w:lineRule="auto"/>
        <w:tabs>
          <w:tab w:leader="none" w:pos="19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During the Restricted Period, Executive will not, whether on Executive’s own behalf or on behalf of or in conjunction with any Person, directly or indirectly:</w:t>
      </w:r>
    </w:p>
    <w:p>
      <w:pPr>
        <w:spacing w:after="0" w:line="170" w:lineRule="exact"/>
        <w:rPr>
          <w:rFonts w:ascii="Arial" w:cs="Arial" w:eastAsia="Arial" w:hAnsi="Arial"/>
          <w:sz w:val="18"/>
          <w:szCs w:val="18"/>
          <w:color w:val="auto"/>
        </w:rPr>
      </w:pPr>
    </w:p>
    <w:p>
      <w:pPr>
        <w:ind w:left="2592" w:right="320" w:hanging="647"/>
        <w:spacing w:after="0" w:line="277" w:lineRule="auto"/>
        <w:tabs>
          <w:tab w:leader="none" w:pos="2592" w:val="left"/>
        </w:tabs>
        <w:numPr>
          <w:ilvl w:val="3"/>
          <w:numId w:val="87"/>
        </w:numPr>
        <w:rPr>
          <w:rFonts w:ascii="Arial" w:cs="Arial" w:eastAsia="Arial" w:hAnsi="Arial"/>
          <w:sz w:val="18"/>
          <w:szCs w:val="18"/>
          <w:color w:val="auto"/>
        </w:rPr>
      </w:pPr>
      <w:r>
        <w:rPr>
          <w:rFonts w:ascii="Arial" w:cs="Arial" w:eastAsia="Arial" w:hAnsi="Arial"/>
          <w:sz w:val="18"/>
          <w:szCs w:val="18"/>
          <w:color w:val="auto"/>
        </w:rPr>
        <w:t>solicit or encourage any employee or consultant of the Company or its affiliates to leave the employment of, or cease providing services to, the Company or its affiliates; or</w:t>
      </w:r>
    </w:p>
    <w:p>
      <w:pPr>
        <w:spacing w:after="0" w:line="170" w:lineRule="exact"/>
        <w:rPr>
          <w:rFonts w:ascii="Arial" w:cs="Arial" w:eastAsia="Arial" w:hAnsi="Arial"/>
          <w:sz w:val="18"/>
          <w:szCs w:val="18"/>
          <w:color w:val="auto"/>
        </w:rPr>
      </w:pPr>
    </w:p>
    <w:p>
      <w:pPr>
        <w:ind w:left="2592" w:right="20" w:hanging="647"/>
        <w:spacing w:after="0" w:line="259" w:lineRule="auto"/>
        <w:tabs>
          <w:tab w:leader="none" w:pos="2592" w:val="left"/>
        </w:tabs>
        <w:numPr>
          <w:ilvl w:val="3"/>
          <w:numId w:val="87"/>
        </w:numPr>
        <w:rPr>
          <w:rFonts w:ascii="Arial" w:cs="Arial" w:eastAsia="Arial" w:hAnsi="Arial"/>
          <w:sz w:val="18"/>
          <w:szCs w:val="18"/>
          <w:color w:val="auto"/>
        </w:rPr>
      </w:pPr>
      <w:r>
        <w:rPr>
          <w:rFonts w:ascii="Arial" w:cs="Arial" w:eastAsia="Arial" w:hAnsi="Arial"/>
          <w:sz w:val="18"/>
          <w:szCs w:val="18"/>
          <w:color w:val="auto"/>
        </w:rPr>
        <w:t>hire any such employee or consultant who was employed by or providing services to the Company or its affiliates as of the date of Executive's termination of employment with the Company or who left the employment of or ceased providing services to the Company or its affiliates coincident with, or within ·one year prior to or after, the termination of Executive's employment with the Company.</w:t>
      </w:r>
    </w:p>
    <w:p>
      <w:pPr>
        <w:spacing w:after="0" w:line="186" w:lineRule="exact"/>
        <w:rPr>
          <w:rFonts w:ascii="Arial" w:cs="Arial" w:eastAsia="Arial" w:hAnsi="Arial"/>
          <w:sz w:val="18"/>
          <w:szCs w:val="18"/>
          <w:color w:val="auto"/>
        </w:rPr>
      </w:pPr>
    </w:p>
    <w:p>
      <w:pPr>
        <w:ind w:left="2592" w:hanging="647"/>
        <w:spacing w:after="0" w:line="271" w:lineRule="auto"/>
        <w:tabs>
          <w:tab w:leader="none" w:pos="2592" w:val="left"/>
        </w:tabs>
        <w:numPr>
          <w:ilvl w:val="3"/>
          <w:numId w:val="87"/>
        </w:numPr>
        <w:rPr>
          <w:rFonts w:ascii="Arial" w:cs="Arial" w:eastAsia="Arial" w:hAnsi="Arial"/>
          <w:sz w:val="17"/>
          <w:szCs w:val="17"/>
          <w:color w:val="auto"/>
        </w:rPr>
      </w:pPr>
      <w:r>
        <w:rPr>
          <w:rFonts w:ascii="Arial" w:cs="Arial" w:eastAsia="Arial" w:hAnsi="Arial"/>
          <w:sz w:val="17"/>
          <w:szCs w:val="17"/>
          <w:color w:val="auto"/>
        </w:rPr>
        <w:t>It is expressly understood and agreed that although Executive and the Company consider the restrictions contained in this Section 9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78" w:lineRule="exact"/>
        <w:rPr>
          <w:rFonts w:ascii="Arial" w:cs="Arial" w:eastAsia="Arial" w:hAnsi="Arial"/>
          <w:sz w:val="17"/>
          <w:szCs w:val="17"/>
          <w:color w:val="auto"/>
        </w:rPr>
      </w:pPr>
    </w:p>
    <w:p>
      <w:pPr>
        <w:ind w:left="1292" w:hanging="644"/>
        <w:spacing w:after="0"/>
        <w:tabs>
          <w:tab w:leader="none" w:pos="129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provisions of this Section 9 shall survive the termination of this Agreement and Executive’s employment for any reason.</w:t>
      </w:r>
    </w:p>
    <w:p>
      <w:pPr>
        <w:spacing w:after="0" w:line="225" w:lineRule="exact"/>
        <w:rPr>
          <w:rFonts w:ascii="Arial" w:cs="Arial" w:eastAsia="Arial" w:hAnsi="Arial"/>
          <w:sz w:val="18"/>
          <w:szCs w:val="18"/>
          <w:color w:val="auto"/>
        </w:rPr>
      </w:pPr>
    </w:p>
    <w:p>
      <w:pPr>
        <w:ind w:left="652" w:right="40" w:hanging="652"/>
        <w:spacing w:after="0" w:line="30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Executive shall not at any time (whether during or after Executive’s employment with the Company) make, or cause to be made, any statement or communicate any information (whether oral or written) that disparages or reflects negatively on the Company or any of its affiliates, except for truthful statements that may be made pursuant to legal process, including without limitation in litigation, arbitration or similar dispute resolution proceedings. This Section 10 shall survive the termination of this Agreement and Executive’s employment for any reason.</w:t>
      </w:r>
    </w:p>
    <w:p>
      <w:pPr>
        <w:spacing w:after="0" w:line="154" w:lineRule="exact"/>
        <w:rPr>
          <w:rFonts w:ascii="Arial" w:cs="Arial" w:eastAsia="Arial" w:hAnsi="Arial"/>
          <w:sz w:val="16"/>
          <w:szCs w:val="16"/>
          <w:color w:val="auto"/>
        </w:rPr>
      </w:pPr>
    </w:p>
    <w:p>
      <w:pPr>
        <w:ind w:left="652" w:hanging="652"/>
        <w:spacing w:after="0"/>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52" w:right="100" w:hanging="655"/>
        <w:spacing w:after="0" w:line="288" w:lineRule="auto"/>
        <w:tabs>
          <w:tab w:leader="none" w:pos="1952" w:val="left"/>
        </w:tabs>
        <w:numPr>
          <w:ilvl w:val="2"/>
          <w:numId w:val="89"/>
        </w:numPr>
        <w:rPr>
          <w:rFonts w:ascii="Arial" w:cs="Arial" w:eastAsia="Arial" w:hAnsi="Arial"/>
          <w:sz w:val="16"/>
          <w:szCs w:val="16"/>
          <w:color w:val="auto"/>
        </w:rPr>
      </w:pPr>
      <w:r>
        <w:rPr>
          <w:rFonts w:ascii="Arial" w:cs="Arial" w:eastAsia="Arial" w:hAnsi="Arial"/>
          <w:sz w:val="16"/>
          <w:szCs w:val="16"/>
          <w:color w:val="auto"/>
        </w:rPr>
        <w:t xml:space="preserve">Executive will not at any time (whether during or after Executive’s employment with the Company) (x) retain or use for the benefit, purposes or account of Executive or any other Person; or (y) disclose, divulge, reveal, communicate, share, transfer or provide access to any Person outside the Company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on a confidential basis </w:t>
      </w: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without the prior written authorization of the Board.</w:t>
      </w:r>
    </w:p>
    <w:p>
      <w:pPr>
        <w:spacing w:after="0" w:line="169" w:lineRule="exact"/>
        <w:rPr>
          <w:rFonts w:ascii="Arial" w:cs="Arial" w:eastAsia="Arial" w:hAnsi="Arial"/>
          <w:sz w:val="16"/>
          <w:szCs w:val="16"/>
          <w:color w:val="auto"/>
        </w:rPr>
      </w:pPr>
    </w:p>
    <w:p>
      <w:pPr>
        <w:ind w:left="1952" w:hanging="655"/>
        <w:spacing w:after="0" w:line="279" w:lineRule="auto"/>
        <w:tabs>
          <w:tab w:leader="none" w:pos="1952" w:val="left"/>
        </w:tabs>
        <w:numPr>
          <w:ilvl w:val="2"/>
          <w:numId w:val="89"/>
        </w:numPr>
        <w:rPr>
          <w:rFonts w:ascii="Arial" w:cs="Arial" w:eastAsia="Arial" w:hAnsi="Arial"/>
          <w:sz w:val="17"/>
          <w:szCs w:val="17"/>
          <w:color w:val="auto"/>
        </w:rPr>
      </w:pPr>
      <w:r>
        <w:rPr>
          <w:rFonts w:ascii="Arial" w:cs="Arial" w:eastAsia="Arial" w:hAnsi="Arial"/>
          <w:sz w:val="17"/>
          <w:szCs w:val="17"/>
          <w:color w:val="auto"/>
        </w:rPr>
        <w:t>Confidential Information shall not include any information that is (A) generally known to the industry or the public other than as a result of Executive’s breach of this covenant or any breach of other confidentiality obligations by third parties; (B) made legitimately available to Executive by a third party without breach of any confidentiality obligation; or (C) required by law to be disclosed; provided that Executive shall give prompt written notice to the Company of such requirement,</w:t>
      </w:r>
    </w:p>
    <w:p>
      <w:pPr>
        <w:sectPr>
          <w:pgSz w:w="11900" w:h="16838" w:orient="portrait"/>
          <w:cols w:equalWidth="0" w:num="1">
            <w:col w:w="11332"/>
          </w:cols>
          <w:pgMar w:left="248" w:top="827" w:right="319" w:bottom="1440" w:gutter="0" w:footer="0" w:header="0"/>
        </w:sectPr>
      </w:pPr>
    </w:p>
    <w:bookmarkStart w:id="128" w:name="page129"/>
    <w:bookmarkEnd w:id="128"/>
    <w:p>
      <w:pPr>
        <w:ind w:left="1304" w:right="140"/>
        <w:spacing w:after="0" w:line="324" w:lineRule="auto"/>
        <w:rPr>
          <w:sz w:val="20"/>
          <w:szCs w:val="20"/>
          <w:color w:val="auto"/>
        </w:rPr>
      </w:pPr>
      <w:r>
        <w:rPr>
          <w:rFonts w:ascii="Arial" w:cs="Arial" w:eastAsia="Arial" w:hAnsi="Arial"/>
          <w:sz w:val="18"/>
          <w:szCs w:val="18"/>
          <w:color w:val="auto"/>
        </w:rPr>
        <w:t>disclose no more information than is so required, and cooperate with any attempts by the Company to obtain a protective order or similar treatment.</w:t>
      </w:r>
    </w:p>
    <w:p>
      <w:pPr>
        <w:spacing w:after="0" w:line="143" w:lineRule="exact"/>
        <w:rPr>
          <w:sz w:val="20"/>
          <w:szCs w:val="20"/>
          <w:color w:val="auto"/>
        </w:rPr>
      </w:pPr>
    </w:p>
    <w:p>
      <w:pPr>
        <w:ind w:left="1304" w:right="40" w:hanging="655"/>
        <w:spacing w:after="0" w:line="312" w:lineRule="auto"/>
        <w:tabs>
          <w:tab w:leader="none" w:pos="13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Except as required by law, Executive will not disclose to anyone, other than Executive’s immediate family and legal or financial advisors, the existence or contents of this Agreement; provided that Executive may disclose to any prospective future employer the provisions of Sections 9, 10 and 11 of this Agreement provided they agree to maintain the confidentiality of such terms.</w:t>
      </w:r>
    </w:p>
    <w:p>
      <w:pPr>
        <w:spacing w:after="0" w:line="146" w:lineRule="exact"/>
        <w:rPr>
          <w:rFonts w:ascii="Arial" w:cs="Arial" w:eastAsia="Arial" w:hAnsi="Arial"/>
          <w:sz w:val="16"/>
          <w:szCs w:val="16"/>
          <w:color w:val="auto"/>
        </w:rPr>
      </w:pPr>
    </w:p>
    <w:p>
      <w:pPr>
        <w:ind w:left="1304" w:right="20" w:hanging="655"/>
        <w:spacing w:after="0" w:line="287" w:lineRule="auto"/>
        <w:tabs>
          <w:tab w:leader="none" w:pos="13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Upon termination of Executive’s employment with the Company for any reason, Executive shall (x)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(y) immediately return to the Company all Company property and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and (z) notify and fully cooperate with the Company regarding the delivery or destruction of any other Confidential Information of which Executive is or becomes aware and promptly return any other Company property in Executive’s possession.</w:t>
      </w:r>
    </w:p>
    <w:p>
      <w:pPr>
        <w:spacing w:after="0" w:line="172" w:lineRule="exact"/>
        <w:rPr>
          <w:rFonts w:ascii="Arial" w:cs="Arial" w:eastAsia="Arial" w:hAnsi="Arial"/>
          <w:sz w:val="16"/>
          <w:szCs w:val="16"/>
          <w:color w:val="auto"/>
        </w:rPr>
      </w:pPr>
    </w:p>
    <w:p>
      <w:pPr>
        <w:ind w:left="644" w:hanging="644"/>
        <w:spacing w:after="0"/>
        <w:tabs>
          <w:tab w:leader="none" w:pos="64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25" w:lineRule="exact"/>
        <w:rPr>
          <w:rFonts w:ascii="Arial" w:cs="Arial" w:eastAsia="Arial" w:hAnsi="Arial"/>
          <w:sz w:val="18"/>
          <w:szCs w:val="18"/>
          <w:color w:val="auto"/>
        </w:rPr>
      </w:pPr>
    </w:p>
    <w:p>
      <w:pPr>
        <w:ind w:left="1304" w:right="220" w:hanging="655"/>
        <w:spacing w:after="0" w:line="290" w:lineRule="auto"/>
        <w:tabs>
          <w:tab w:leader="none" w:pos="1304"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6"/>
          <w:szCs w:val="16"/>
          <w:b w:val="1"/>
          <w:bCs w:val="1"/>
          <w:color w:val="auto"/>
        </w:rPr>
        <w:t>Works</w:t>
      </w:r>
      <w:r>
        <w:rPr>
          <w:rFonts w:ascii="Arial" w:cs="Arial" w:eastAsia="Arial" w:hAnsi="Arial"/>
          <w:sz w:val="16"/>
          <w:szCs w:val="16"/>
          <w:color w:val="auto"/>
        </w:rPr>
        <w:t>”), either alone or with third parties, prior to Executive’s employment by the Company, that are relevant to or implicated by such employment (“</w:t>
      </w:r>
      <w:r>
        <w:rPr>
          <w:rFonts w:ascii="Arial" w:cs="Arial" w:eastAsia="Arial" w:hAnsi="Arial"/>
          <w:sz w:val="16"/>
          <w:szCs w:val="16"/>
          <w:b w:val="1"/>
          <w:bCs w:val="1"/>
          <w:color w:val="auto"/>
        </w:rPr>
        <w:t>Prior</w:t>
      </w:r>
      <w:r>
        <w:rPr>
          <w:rFonts w:ascii="Arial" w:cs="Arial" w:eastAsia="Arial" w:hAnsi="Arial"/>
          <w:sz w:val="16"/>
          <w:szCs w:val="16"/>
          <w:color w:val="auto"/>
        </w:rPr>
        <w:t xml:space="preserve"> </w:t>
      </w:r>
      <w:r>
        <w:rPr>
          <w:rFonts w:ascii="Arial" w:cs="Arial" w:eastAsia="Arial" w:hAnsi="Arial"/>
          <w:sz w:val="16"/>
          <w:szCs w:val="16"/>
          <w:b w:val="1"/>
          <w:bCs w:val="1"/>
          <w:color w:val="auto"/>
        </w:rPr>
        <w:t>Works</w:t>
      </w:r>
      <w:r>
        <w:rPr>
          <w:rFonts w:ascii="Arial" w:cs="Arial" w:eastAsia="Arial" w:hAnsi="Arial"/>
          <w:sz w:val="16"/>
          <w:szCs w:val="16"/>
          <w:color w:val="auto"/>
        </w:rPr>
        <w:t>”), Executive hereby grants the Company a perpetual, nonexclusive, royalty-free, worldwide, assignable, sublicensable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license under all rights and intellectual property rights (including rights under patent, industrial property, copyright, trademark, trade secret, unfair competition and related laws) therein for all purposes in connection with the Company’s current and future business. A list of all such material Works as of the date hereof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304" w:right="120" w:hanging="655"/>
        <w:spacing w:after="0" w:line="293" w:lineRule="auto"/>
        <w:tabs>
          <w:tab w:leader="none" w:pos="1304"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Executive creates, invents, designs, develops, contributes to or improves any Works, either alone or with third parties, at any time during Executive’s employment by the Company and within the scope of such employment and/or with the use of any Company resources (“</w:t>
      </w:r>
      <w:r>
        <w:rPr>
          <w:rFonts w:ascii="Arial" w:cs="Arial" w:eastAsia="Arial" w:hAnsi="Arial"/>
          <w:sz w:val="16"/>
          <w:szCs w:val="16"/>
          <w:b w:val="1"/>
          <w:bCs w:val="1"/>
          <w:color w:val="auto"/>
        </w:rPr>
        <w:t>Company Works</w:t>
      </w:r>
      <w:r>
        <w:rPr>
          <w:rFonts w:ascii="Arial" w:cs="Arial" w:eastAsia="Arial" w:hAnsi="Arial"/>
          <w:sz w:val="16"/>
          <w:szCs w:val="16"/>
          <w:color w:val="auto"/>
        </w:rPr>
        <w:t>”), Executive shall promptly and fully disclose such works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pacing w:after="0" w:line="164" w:lineRule="exact"/>
        <w:rPr>
          <w:rFonts w:ascii="Arial" w:cs="Arial" w:eastAsia="Arial" w:hAnsi="Arial"/>
          <w:sz w:val="16"/>
          <w:szCs w:val="16"/>
          <w:color w:val="auto"/>
        </w:rPr>
      </w:pPr>
    </w:p>
    <w:p>
      <w:pPr>
        <w:ind w:left="1304" w:right="400" w:hanging="655"/>
        <w:spacing w:after="0" w:line="264"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81" w:lineRule="exact"/>
        <w:rPr>
          <w:rFonts w:ascii="Arial" w:cs="Arial" w:eastAsia="Arial" w:hAnsi="Arial"/>
          <w:sz w:val="18"/>
          <w:szCs w:val="18"/>
          <w:color w:val="auto"/>
        </w:rPr>
      </w:pPr>
    </w:p>
    <w:p>
      <w:pPr>
        <w:ind w:left="1304" w:hanging="655"/>
        <w:spacing w:after="0" w:line="255"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attorney-in-fact, to act</w:t>
      </w:r>
    </w:p>
    <w:p>
      <w:pPr>
        <w:sectPr>
          <w:pgSz w:w="11900" w:h="16838" w:orient="portrait"/>
          <w:cols w:equalWidth="0" w:num="1">
            <w:col w:w="10764"/>
          </w:cols>
          <w:pgMar w:left="896" w:top="827" w:right="239" w:bottom="1440" w:gutter="0" w:footer="0" w:header="0"/>
        </w:sectPr>
      </w:pPr>
    </w:p>
    <w:bookmarkStart w:id="129" w:name="page130"/>
    <w:bookmarkEnd w:id="129"/>
    <w:p>
      <w:pPr>
        <w:ind w:left="1952" w:right="680"/>
        <w:spacing w:after="0" w:line="324" w:lineRule="auto"/>
        <w:rPr>
          <w:sz w:val="20"/>
          <w:szCs w:val="20"/>
          <w:color w:val="auto"/>
        </w:rPr>
      </w:pPr>
      <w:r>
        <w:rPr>
          <w:rFonts w:ascii="Arial" w:cs="Arial" w:eastAsia="Arial" w:hAnsi="Arial"/>
          <w:sz w:val="18"/>
          <w:szCs w:val="18"/>
          <w:color w:val="auto"/>
        </w:rPr>
        <w:t>for and on Executive’s behalf to execute any documents and to do all other lawfully permitted acts in connection with the foregoing.</w:t>
      </w:r>
    </w:p>
    <w:p>
      <w:pPr>
        <w:spacing w:after="0" w:line="143" w:lineRule="exact"/>
        <w:rPr>
          <w:sz w:val="20"/>
          <w:szCs w:val="20"/>
          <w:color w:val="auto"/>
        </w:rPr>
      </w:pPr>
    </w:p>
    <w:p>
      <w:pPr>
        <w:ind w:left="1952" w:right="80" w:hanging="655"/>
        <w:spacing w:after="0" w:line="271" w:lineRule="auto"/>
        <w:tabs>
          <w:tab w:leader="none" w:pos="1952" w:val="left"/>
        </w:tabs>
        <w:numPr>
          <w:ilvl w:val="2"/>
          <w:numId w:val="92"/>
        </w:numPr>
        <w:rPr>
          <w:rFonts w:ascii="Arial" w:cs="Arial" w:eastAsia="Arial" w:hAnsi="Arial"/>
          <w:sz w:val="17"/>
          <w:szCs w:val="17"/>
          <w:color w:val="auto"/>
        </w:rPr>
      </w:pPr>
      <w:r>
        <w:rPr>
          <w:rFonts w:ascii="Arial" w:cs="Arial" w:eastAsia="Arial" w:hAnsi="Arial"/>
          <w:sz w:val="17"/>
          <w:szCs w:val="17"/>
          <w:color w:val="auto"/>
        </w:rPr>
        <w:t>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Executive hereby indemnifies, holds harmless and agrees to defend the Company and its officers, directors, partners, employees, agents and representatives from any breach of the foregoing covenant. Executive shall comply with all relevant policies and guidelines of the Company, including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w:t>
      </w:r>
    </w:p>
    <w:p>
      <w:pPr>
        <w:spacing w:after="0" w:line="178" w:lineRule="exact"/>
        <w:rPr>
          <w:rFonts w:ascii="Arial" w:cs="Arial" w:eastAsia="Arial" w:hAnsi="Arial"/>
          <w:sz w:val="17"/>
          <w:szCs w:val="17"/>
          <w:color w:val="auto"/>
        </w:rPr>
      </w:pPr>
    </w:p>
    <w:p>
      <w:pPr>
        <w:ind w:left="1292" w:hanging="644"/>
        <w:spacing w:after="0"/>
        <w:tabs>
          <w:tab w:leader="none" w:pos="12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provisions of this Section 11 shall survive the termination of this Agreement and Executive’s employment for any reason.</w:t>
      </w:r>
    </w:p>
    <w:p>
      <w:pPr>
        <w:spacing w:after="0" w:line="225" w:lineRule="exact"/>
        <w:rPr>
          <w:rFonts w:ascii="Arial" w:cs="Arial" w:eastAsia="Arial" w:hAnsi="Arial"/>
          <w:sz w:val="18"/>
          <w:szCs w:val="18"/>
          <w:color w:val="auto"/>
        </w:rPr>
      </w:pPr>
    </w:p>
    <w:p>
      <w:pPr>
        <w:ind w:left="652" w:hanging="652"/>
        <w:spacing w:after="0" w:line="255"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·Executive acknowledges and agrees that the Company’s remedies at law for a breach or threatened breach of any of the provisions of Section 9, Section 10 or Section 11 would be inadequate and the Company would suffer irreparable damages as a result of such breach or threatened breach. In recognition of this fact, Executive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1292" w:right="60" w:hanging="644"/>
        <w:spacing w:after="0" w:line="277"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construed and interpreted in all respects, in accordance with the laws of the State of New York, without regard to conflicts of laws principles thereof.</w:t>
      </w:r>
    </w:p>
    <w:p>
      <w:pPr>
        <w:spacing w:after="0" w:line="170" w:lineRule="exact"/>
        <w:rPr>
          <w:rFonts w:ascii="Arial" w:cs="Arial" w:eastAsia="Arial" w:hAnsi="Arial"/>
          <w:sz w:val="18"/>
          <w:szCs w:val="18"/>
          <w:color w:val="auto"/>
        </w:rPr>
      </w:pPr>
    </w:p>
    <w:p>
      <w:pPr>
        <w:ind w:left="1292" w:right="40" w:hanging="644"/>
        <w:spacing w:after="0" w:line="255"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Entire Agreement/Amendments</w:t>
      </w:r>
      <w:r>
        <w:rPr>
          <w:rFonts w:ascii="Arial" w:cs="Arial" w:eastAsia="Arial" w:hAnsi="Arial"/>
          <w:sz w:val="18"/>
          <w:szCs w:val="18"/>
          <w:color w:val="auto"/>
        </w:rPr>
        <w:t>. This Agreement contains the entire understanding of the parties with respect to the employment of Executive by the Company and supersedes all prior agreements, understandings, discussions, negotiations and undertakings, whether written or oral between the Executive and the Company or any of its affiliates with respect to the Executive’s employment.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93" w:lineRule="exact"/>
        <w:rPr>
          <w:rFonts w:ascii="Arial" w:cs="Arial" w:eastAsia="Arial" w:hAnsi="Arial"/>
          <w:sz w:val="18"/>
          <w:szCs w:val="18"/>
          <w:color w:val="auto"/>
        </w:rPr>
      </w:pPr>
    </w:p>
    <w:p>
      <w:pPr>
        <w:ind w:left="1292" w:right="20" w:hanging="644"/>
        <w:spacing w:after="0" w:line="264"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81" w:lineRule="exact"/>
        <w:rPr>
          <w:rFonts w:ascii="Arial" w:cs="Arial" w:eastAsia="Arial" w:hAnsi="Arial"/>
          <w:sz w:val="18"/>
          <w:szCs w:val="18"/>
          <w:color w:val="auto"/>
        </w:rPr>
      </w:pPr>
    </w:p>
    <w:p>
      <w:pPr>
        <w:ind w:left="1292" w:right="220" w:hanging="644"/>
        <w:spacing w:after="0" w:line="342" w:lineRule="auto"/>
        <w:tabs>
          <w:tab w:leader="none" w:pos="1292"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23" w:lineRule="exact"/>
        <w:rPr>
          <w:rFonts w:ascii="Arial" w:cs="Arial" w:eastAsia="Arial" w:hAnsi="Arial"/>
          <w:sz w:val="16"/>
          <w:szCs w:val="16"/>
          <w:color w:val="auto"/>
        </w:rPr>
      </w:pPr>
    </w:p>
    <w:p>
      <w:pPr>
        <w:ind w:left="1292" w:right="120" w:hanging="644"/>
        <w:spacing w:after="0" w:line="257"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left="1292" w:right="440" w:hanging="644"/>
        <w:spacing w:after="0" w:line="308" w:lineRule="auto"/>
        <w:tabs>
          <w:tab w:leader="none" w:pos="1292"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Set Off.</w:t>
      </w:r>
      <w:r>
        <w:rPr>
          <w:rFonts w:ascii="Arial" w:cs="Arial" w:eastAsia="Arial" w:hAnsi="Arial"/>
          <w:sz w:val="17"/>
          <w:szCs w:val="17"/>
          <w:color w:val="auto"/>
        </w:rPr>
        <w:t xml:space="preserve"> The Company’s obligation to pay Executive the amounts provided and to make the arrangements provided hereunder shall be subject to set-off, counterclaim or recoupment of amounts owed by Executive to the Company or its affiliates.</w:t>
      </w:r>
    </w:p>
    <w:p>
      <w:pPr>
        <w:spacing w:after="0" w:line="146" w:lineRule="exact"/>
        <w:rPr>
          <w:rFonts w:ascii="Arial" w:cs="Arial" w:eastAsia="Arial" w:hAnsi="Arial"/>
          <w:sz w:val="17"/>
          <w:szCs w:val="17"/>
          <w:color w:val="auto"/>
        </w:rPr>
      </w:pPr>
    </w:p>
    <w:p>
      <w:pPr>
        <w:ind w:left="1292" w:right="520" w:hanging="644"/>
        <w:spacing w:after="0" w:line="277" w:lineRule="auto"/>
        <w:tabs>
          <w:tab w:leader="none" w:pos="12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Except with respect to Sections 9, 10, 11 and 12 hereof, any controversy or claim arising out of or related to any provision of this Agreement that cannot be mutually resolved by the parties hereto</w:t>
      </w:r>
    </w:p>
    <w:p>
      <w:pPr>
        <w:sectPr>
          <w:pgSz w:w="11900" w:h="16838" w:orient="portrait"/>
          <w:cols w:equalWidth="0" w:num="1">
            <w:col w:w="11372"/>
          </w:cols>
          <w:pgMar w:left="248" w:top="828" w:right="279" w:bottom="1440" w:gutter="0" w:footer="0" w:header="0"/>
        </w:sectPr>
      </w:pPr>
    </w:p>
    <w:bookmarkStart w:id="130" w:name="page131"/>
    <w:bookmarkEnd w:id="130"/>
    <w:p>
      <w:pPr>
        <w:ind w:left="644"/>
        <w:spacing w:after="0" w:line="321" w:lineRule="auto"/>
        <w:rPr>
          <w:sz w:val="20"/>
          <w:szCs w:val="20"/>
          <w:color w:val="auto"/>
        </w:rPr>
      </w:pPr>
      <w:r>
        <w:rPr>
          <w:rFonts w:ascii="Arial" w:cs="Arial" w:eastAsia="Arial" w:hAnsi="Arial"/>
          <w:sz w:val="17"/>
          <w:szCs w:val="17"/>
          <w:color w:val="auto"/>
        </w:rPr>
        <w:t>shall be settled by final, binding and nonappealable arbitration in New York, NY by a single mutually-acceptable arbitrator. Subject to the following provisions, the arbitration shall be conducted in accordance with the applicable rules of American Arbitration Association then in effect.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Each party shall be responsible for its own expenses relating to the conduct of the arbitration or litigation (including attorney’s fees and expenses) and shall share the fees of the American Arbitration Association and the arbitrator equally.</w:t>
      </w:r>
    </w:p>
    <w:p>
      <w:pPr>
        <w:spacing w:after="0" w:line="150" w:lineRule="exact"/>
        <w:rPr>
          <w:sz w:val="20"/>
          <w:szCs w:val="20"/>
          <w:color w:val="auto"/>
        </w:rPr>
      </w:pPr>
    </w:p>
    <w:p>
      <w:pPr>
        <w:ind w:left="644" w:right="20" w:hanging="644"/>
        <w:spacing w:after="0" w:line="270" w:lineRule="auto"/>
        <w:tabs>
          <w:tab w:leader="none" w:pos="64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xml:space="preserve"> The parties acknowledge and agree that the interpretation of Section 409 A of the Code and its application to the terms of this Agreement is uncertain and may be subject to change as additional guidance and interpretations become available. Anything to the contrary herein notwithstanding, all benefits or payments provided by the Company to the Executive that would be deemed to constitute "nonqualified deferred compensation" within the meaning of Section 409A of the Code are intended to comply with Section 409A of the Code. If, however, any such benefit or payment is deemed to not comply with Section 409A of the Code, the Company and the Executive agree to renegotiate in good faith any such benefit or payment (including, without limitation, as to the timing of any severance payments payable hereunder), if possible, so that either (i) Section 409A of the Code will not apply or (ii) compliance with Section 409A of the Code will be achieved. The Company shall consult with Executive in good faith regarding the implementation of the provisions of this Section 13(h);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any of its employees or representatives shall have any liability to Executive with respect to thereto.</w:t>
      </w:r>
    </w:p>
    <w:p>
      <w:pPr>
        <w:spacing w:after="0" w:line="177" w:lineRule="exact"/>
        <w:rPr>
          <w:rFonts w:ascii="Arial" w:cs="Arial" w:eastAsia="Arial" w:hAnsi="Arial"/>
          <w:sz w:val="17"/>
          <w:szCs w:val="17"/>
          <w:color w:val="auto"/>
        </w:rPr>
      </w:pPr>
    </w:p>
    <w:p>
      <w:pPr>
        <w:ind w:left="644" w:right="620" w:hanging="644"/>
        <w:spacing w:after="0" w:line="277" w:lineRule="auto"/>
        <w:tabs>
          <w:tab w:leader="none" w:pos="6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xml:space="preserve"> This Agreement shall inure to the benefit of and be binding upon personal or legal representatives, executors, administrators, successors, heirs, distributees, devisees and legatees of the parties hereto.</w:t>
      </w:r>
    </w:p>
    <w:p>
      <w:pPr>
        <w:spacing w:after="0" w:line="170" w:lineRule="exact"/>
        <w:rPr>
          <w:sz w:val="20"/>
          <w:szCs w:val="20"/>
          <w:color w:val="auto"/>
        </w:rPr>
      </w:pPr>
    </w:p>
    <w:p>
      <w:pPr>
        <w:ind w:left="644" w:hanging="644"/>
        <w:spacing w:after="0" w:line="257" w:lineRule="auto"/>
        <w:tabs>
          <w:tab w:leader="none" w:pos="64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88" w:lineRule="exact"/>
        <w:rPr>
          <w:sz w:val="20"/>
          <w:szCs w:val="20"/>
          <w:color w:val="auto"/>
        </w:rPr>
      </w:pPr>
    </w:p>
    <w:p>
      <w:pPr>
        <w:ind w:left="644"/>
        <w:spacing w:after="0"/>
        <w:tabs>
          <w:tab w:leader="none" w:pos="2223"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6"/>
          <w:szCs w:val="16"/>
          <w:color w:val="auto"/>
        </w:rPr>
        <w:t>Lantheus Medical Imaging, Inc.</w:t>
      </w:r>
    </w:p>
    <w:p>
      <w:pPr>
        <w:spacing w:after="0" w:line="23"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331 Treble Cove Rd.</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Bldg. 600-2</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N. Billerica, MA 01862</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Attention: Jeff Bailey,</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Email: Jeff.Bailey@lantheus.com</w:t>
      </w:r>
    </w:p>
    <w:p>
      <w:pPr>
        <w:spacing w:after="0" w:line="211" w:lineRule="exact"/>
        <w:rPr>
          <w:sz w:val="20"/>
          <w:szCs w:val="20"/>
          <w:color w:val="auto"/>
        </w:rPr>
      </w:pPr>
    </w:p>
    <w:p>
      <w:pPr>
        <w:ind w:left="644"/>
        <w:spacing w:after="0"/>
        <w:tabs>
          <w:tab w:leader="none" w:pos="1963" w:val="left"/>
        </w:tabs>
        <w:rPr>
          <w:sz w:val="20"/>
          <w:szCs w:val="20"/>
          <w:color w:val="auto"/>
        </w:rPr>
      </w:pPr>
      <w:r>
        <w:rPr>
          <w:rFonts w:ascii="Arial" w:cs="Arial" w:eastAsia="Arial" w:hAnsi="Arial"/>
          <w:sz w:val="18"/>
          <w:szCs w:val="18"/>
          <w:color w:val="auto"/>
        </w:rPr>
        <w:t>If to Executive:</w:t>
      </w:r>
      <w:r>
        <w:rPr>
          <w:sz w:val="20"/>
          <w:szCs w:val="20"/>
          <w:color w:val="auto"/>
        </w:rPr>
        <w:tab/>
      </w:r>
      <w:r>
        <w:rPr>
          <w:rFonts w:ascii="Arial" w:cs="Arial" w:eastAsia="Arial" w:hAnsi="Arial"/>
          <w:sz w:val="16"/>
          <w:szCs w:val="16"/>
          <w:color w:val="auto"/>
        </w:rPr>
        <w:t>To Executive’s address on file with the Company</w:t>
      </w:r>
    </w:p>
    <w:p>
      <w:pPr>
        <w:spacing w:after="0" w:line="225" w:lineRule="exact"/>
        <w:rPr>
          <w:sz w:val="20"/>
          <w:szCs w:val="20"/>
          <w:color w:val="auto"/>
        </w:rPr>
      </w:pPr>
    </w:p>
    <w:p>
      <w:pPr>
        <w:ind w:left="644" w:right="60" w:hanging="644"/>
        <w:spacing w:after="0" w:line="257"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Executive Representation</w:t>
      </w:r>
      <w:r>
        <w:rPr>
          <w:rFonts w:ascii="Arial" w:cs="Arial" w:eastAsia="Arial" w:hAnsi="Arial"/>
          <w:sz w:val="18"/>
          <w:szCs w:val="18"/>
          <w:color w:val="auto"/>
        </w:rPr>
        <w:t>. Executive hereby represents to the Company that (i) Executive has been provided with sufficient opportunity to review this Agreement and has been advised by the Company to conduct such review with an attorney of his choice, and (ii)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88" w:lineRule="exact"/>
        <w:rPr>
          <w:rFonts w:ascii="Arial" w:cs="Arial" w:eastAsia="Arial" w:hAnsi="Arial"/>
          <w:sz w:val="18"/>
          <w:szCs w:val="18"/>
          <w:color w:val="auto"/>
        </w:rPr>
      </w:pPr>
    </w:p>
    <w:p>
      <w:pPr>
        <w:ind w:left="644" w:right="160" w:hanging="644"/>
        <w:spacing w:after="0" w:line="264"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 or Executive’s employment.</w:t>
      </w:r>
    </w:p>
    <w:p>
      <w:pPr>
        <w:spacing w:after="0" w:line="181" w:lineRule="exact"/>
        <w:rPr>
          <w:rFonts w:ascii="Arial" w:cs="Arial" w:eastAsia="Arial" w:hAnsi="Arial"/>
          <w:sz w:val="18"/>
          <w:szCs w:val="18"/>
          <w:color w:val="auto"/>
        </w:rPr>
      </w:pPr>
    </w:p>
    <w:p>
      <w:pPr>
        <w:ind w:left="644" w:right="340" w:hanging="644"/>
        <w:spacing w:after="0" w:line="277"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ectPr>
          <w:pgSz w:w="11900" w:h="16838" w:orient="portrait"/>
          <w:cols w:equalWidth="0" w:num="1">
            <w:col w:w="10764"/>
          </w:cols>
          <w:pgMar w:left="896" w:top="827" w:right="239" w:bottom="1440" w:gutter="0" w:footer="0" w:header="0"/>
        </w:sectPr>
      </w:pPr>
    </w:p>
    <w:bookmarkStart w:id="131" w:name="page132"/>
    <w:bookmarkEnd w:id="131"/>
    <w:p>
      <w:pPr>
        <w:ind w:left="644" w:hanging="644"/>
        <w:spacing w:after="0" w:line="277" w:lineRule="auto"/>
        <w:tabs>
          <w:tab w:leader="none" w:pos="6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w:t>
      </w:r>
    </w:p>
    <w:p>
      <w:pPr>
        <w:spacing w:after="0" w:line="387"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ectPr>
          <w:pgSz w:w="11900" w:h="16838" w:orient="portrait"/>
          <w:cols w:equalWidth="0" w:num="1">
            <w:col w:w="10484"/>
          </w:cols>
          <w:pgMar w:left="896" w:top="800" w:right="519" w:bottom="1440" w:gutter="0" w:footer="0" w:header="0"/>
        </w:sectPr>
      </w:pPr>
    </w:p>
    <w:bookmarkStart w:id="132" w:name="page133"/>
    <w:bookmarkEnd w:id="132"/>
    <w:p>
      <w:pPr>
        <w:ind w:left="660"/>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Lantheus Medical Imaging, Inc.</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 Jeffrey Bailey/s/ Michael P. Duffy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Jeffrey BaileyMichael Duffy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219"/>
          </w:cols>
          <w:pgMar w:left="240" w:top="1016"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This RELEASE (“</w:t>
      </w:r>
      <w:r>
        <w:rPr>
          <w:rFonts w:ascii="Arial" w:cs="Arial" w:eastAsia="Arial" w:hAnsi="Arial"/>
          <w:sz w:val="17"/>
          <w:szCs w:val="17"/>
          <w:b w:val="1"/>
          <w:bCs w:val="1"/>
          <w:color w:val="auto"/>
        </w:rPr>
        <w:t>Release</w:t>
      </w:r>
      <w:r>
        <w:rPr>
          <w:rFonts w:ascii="Arial" w:cs="Arial" w:eastAsia="Arial" w:hAnsi="Arial"/>
          <w:sz w:val="17"/>
          <w:szCs w:val="17"/>
          <w:color w:val="auto"/>
        </w:rPr>
        <w:t>”) dated as of ____________, 20____between Lantheus Medical Imaging,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WHEREAS, the Company and the Executive previously entered into an employment agreement dated March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2008 (the "</w:t>
      </w:r>
      <w:r>
        <w:rPr>
          <w:rFonts w:ascii="Arial" w:cs="Arial" w:eastAsia="Arial" w:hAnsi="Arial"/>
          <w:sz w:val="17"/>
          <w:szCs w:val="17"/>
          <w:b w:val="1"/>
          <w:bCs w:val="1"/>
          <w:color w:val="auto"/>
        </w:rPr>
        <w:t>Employment</w:t>
      </w:r>
    </w:p>
    <w:p>
      <w:pPr>
        <w:spacing w:after="0" w:line="456" w:lineRule="exact"/>
        <w:rPr>
          <w:sz w:val="20"/>
          <w:szCs w:val="20"/>
          <w:color w:val="auto"/>
        </w:rPr>
      </w:pPr>
    </w:p>
    <w:p>
      <w:pPr>
        <w:sectPr>
          <w:pgSz w:w="11900" w:h="16838" w:orient="portrait"/>
          <w:cols w:equalWidth="0" w:num="2">
            <w:col w:w="9060" w:space="340"/>
            <w:col w:w="2020"/>
          </w:cols>
          <w:pgMar w:left="240" w:top="580"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WHEREAS, the Executive’s employment with the Company has terminated effective _______ ____, 20_____;</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agreements contained herein and in the Employment Agreement, the Company and the Executive agree as follows:</w:t>
      </w:r>
    </w:p>
    <w:p>
      <w:pPr>
        <w:spacing w:after="0" w:line="387" w:lineRule="exact"/>
        <w:rPr>
          <w:sz w:val="20"/>
          <w:szCs w:val="20"/>
          <w:color w:val="auto"/>
        </w:rPr>
      </w:pPr>
    </w:p>
    <w:p>
      <w:pPr>
        <w:ind w:left="660" w:hanging="652"/>
        <w:spacing w:after="0" w:line="284"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Executive agrees to and does waive any claims he may have for employment by the Company and agrees not to seek such employment or reemployment by the Company in the future. The Executive, on his own behalf and on behalf of his heirs, estate and beneficiaries, further does hereby release the Company, and in such capacities, any of its subsidiaries or affiliates, and each of their respective past, present and future. officers, directors, agents, employees, shareholders, investors, employee benefit plans and their administrators or fiduciaries, insurers of any such entities, and its and their successors and assigns and others related to such entities from any and all claims made, to be made, or which might have been made of whatever nature, whether known or unknown; from the .beginning of time, .including those that arose as a consequence of his employment with the Company, or arising_ out of the separation from the Company, the severance of such employment relationship, or any act committed or omitted during or after the existence of such employment relationship, all up through and including the date on which this Release is executed, including, but not limited to, those which were, could have been or could be the subject of an administrative or judicial proceeding filed by the Executive or on his behalf under federal, state or local law, .whether by statute, regulation, in contract or tort, and including, but not limited to, every claim for front pay, back pay, wages, bonus, fringe benefit,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of 1967, as amended, 29 U.S.C. sec. 621, et seq., the Americans with Disabilities Act, the Family and Medical Leave Act, the Civil Rights Act of 1964, Title VII, as amended, the Civil Rights Act of 1991, the Employee Retirement Income Security Act of 1974, as amended, the Equal Pay Act, the· Worker Adjustment and Retraining Notification Act, the New York State Human Rights Law, the New York City Human Rights Law, the Massachusetts Civil Rights Act, the Massachusetts Equal Pay and Maternity Benefits Law, the Massachusetts Equal Rights for Elderly and Disabled Law, the Massachusetts Small Necessities Leave Act, the Massachusetts Age Discrimination Law, or any other federal, state or local law relating to employment, discrimination in employment, termination of employment, wages, benefits or otherwise. The Executive acknowledges and agrees that even though claims and facts in addition to those now known or believed by him to exist may subsequently be discovered, it is his intention to fully settle and release all claims he may have against the Company and the persons and entities described above, whether known, unknown or suspected. Employee does not waive his right to have a charge filed with the Equal Employment Opportunity Commission </w:t>
      </w:r>
      <w:r>
        <w:rPr>
          <w:rFonts w:ascii="Arial" w:cs="Arial" w:eastAsia="Arial" w:hAnsi="Arial"/>
          <w:sz w:val="16"/>
          <w:szCs w:val="16"/>
          <w:b w:val="1"/>
          <w:bCs w:val="1"/>
          <w:color w:val="auto"/>
        </w:rPr>
        <w:t>("EEOC")</w:t>
      </w:r>
      <w:r>
        <w:rPr>
          <w:rFonts w:ascii="Arial" w:cs="Arial" w:eastAsia="Arial" w:hAnsi="Arial"/>
          <w:sz w:val="16"/>
          <w:szCs w:val="16"/>
          <w:color w:val="auto"/>
        </w:rPr>
        <w:t xml:space="preserve"> or any state civil rights agency or to participate in an investigation conducted by the EEOC or any state civil rights agency; however, Employee expressly waives his right to recover any monetary relief should any administrative agency, including but not limited to the EEOC, pursue any claim on Employee's behalf.</w:t>
      </w:r>
    </w:p>
    <w:p>
      <w:pPr>
        <w:spacing w:after="0" w:line="176" w:lineRule="exact"/>
        <w:rPr>
          <w:rFonts w:ascii="Arial" w:cs="Arial" w:eastAsia="Arial" w:hAnsi="Arial"/>
          <w:sz w:val="16"/>
          <w:szCs w:val="16"/>
          <w:color w:val="auto"/>
        </w:rPr>
      </w:pPr>
    </w:p>
    <w:p>
      <w:pPr>
        <w:ind w:left="660" w:right="120" w:hanging="652"/>
        <w:spacing w:after="0" w:line="25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and the Executive acknowledge and agree that the release contained in Paragraph 1 does not, and shall not be construed to, release or limit the scope of any existing obligation of the Company and/or any of its subsidiaries or affiliates (i) to indemnify the Executive for his acts as an officer or director of the Company and/or its subsidiaries or affiliates in accordance with their respective charters or bylaws or under an indemnification agreement to which the Executive arid the Company or any of its subsidiaries are parties or under any applicable Directors and Officers insurance policies or under any applicable law or (ii) to the Executive and his eligible, pa1iicipating dependents or beneficiaries under any existing group welfare (excluding severance), equity, or retirement plan of the Company in which the Executive and/or such dependents are participants.</w:t>
      </w:r>
    </w:p>
    <w:p>
      <w:pPr>
        <w:sectPr>
          <w:pgSz w:w="11900" w:h="16838" w:orient="portrait"/>
          <w:cols w:equalWidth="0" w:num="1">
            <w:col w:w="11420"/>
          </w:cols>
          <w:pgMar w:left="240" w:top="580" w:right="239" w:bottom="1440" w:gutter="0" w:footer="0" w:header="0"/>
          <w:type w:val="continuous"/>
        </w:sectPr>
      </w:pPr>
    </w:p>
    <w:bookmarkStart w:id="134" w:name="page135"/>
    <w:bookmarkEnd w:id="134"/>
    <w:p>
      <w:pPr>
        <w:ind w:left="652" w:hanging="652"/>
        <w:spacing w:after="0" w:line="273" w:lineRule="auto"/>
        <w:tabs>
          <w:tab w:leader="none" w:pos="65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Executive acknowledges that before entering into this Release, he has had the opportunity to consult with any attorney or other advisor of the Executive's choice, and the Executive is hereby advised to consult with an attorney. The Executive further acknowledges that by signing this Release, he does so of his own free will and act, that it is his intention to be legally bound by its terms, and that no promises or representations have been made to the Executive by any person to induce the Executive to enter into this Release other than the express terms set forth herein. The Executive further acknowledges that he has carefully read this Release, knows and understands its contents and its binding legal effect, including the waiver and release of claims set forth in Paragraph 1 above.</w:t>
      </w:r>
    </w:p>
    <w:p>
      <w:pPr>
        <w:spacing w:after="0" w:line="178" w:lineRule="exact"/>
        <w:rPr>
          <w:rFonts w:ascii="Arial" w:cs="Arial" w:eastAsia="Arial" w:hAnsi="Arial"/>
          <w:sz w:val="17"/>
          <w:szCs w:val="17"/>
          <w:color w:val="auto"/>
        </w:rPr>
      </w:pPr>
    </w:p>
    <w:p>
      <w:pPr>
        <w:ind w:left="652" w:right="20" w:hanging="652"/>
        <w:spacing w:after="0" w:line="255" w:lineRule="auto"/>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Executive acknowledges that he has been provided at least 21 days to review the Release. In the event the Executive elects to sign this Release prior to this 21 day period, he agrees that it is a knowing and voluntary waiver of his right to wait the full 21 days. The Executive further understand that he has 7 days after the signing hereof to revoke this Release by so notifying the Company, Lantheus Medical Imaging, Inc., 331 Treble Cove Rd., Bldg. 600-2, N. Billerica, MA 01862, Attention: Michael Duffy in writing, such notice to be received by the Company within the 7 day period. This Release shall not become effective or enforceable, and no payments or benefits under Sections 8(c)(ii)(B),(C) and (D) of the Employment Agreement, as applicable, shall be made or provided, until this seven (7) day revocation period expires without the Executive having revoked this Release.</w:t>
      </w:r>
    </w:p>
    <w:p>
      <w:pPr>
        <w:spacing w:after="0" w:line="200" w:lineRule="exact"/>
        <w:rPr>
          <w:sz w:val="20"/>
          <w:szCs w:val="20"/>
          <w:color w:val="auto"/>
        </w:rPr>
      </w:pPr>
    </w:p>
    <w:p>
      <w:pPr>
        <w:spacing w:after="0" w:line="2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ectPr>
          <w:pgSz w:w="11900" w:h="16838" w:orient="portrait"/>
          <w:cols w:equalWidth="0" w:num="1">
            <w:col w:w="11352"/>
          </w:cols>
          <w:pgMar w:left="248" w:top="800" w:right="29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the parties have executed this Release on the date first above written.</w:t>
      </w:r>
    </w:p>
    <w:p>
      <w:pPr>
        <w:sectPr>
          <w:pgSz w:w="11900" w:h="16838" w:orient="portrait"/>
          <w:cols w:equalWidth="0" w:num="1">
            <w:col w:w="9559"/>
          </w:cols>
          <w:pgMar w:left="900" w:top="1016" w:right="1440" w:bottom="1440" w:gutter="0" w:footer="0" w:header="0"/>
        </w:sect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By: ___________________________</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____________________________</w:t>
      </w:r>
    </w:p>
    <w:p>
      <w:pPr>
        <w:spacing w:after="0" w:line="23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Employee Name</w:t>
      </w:r>
    </w:p>
    <w:p>
      <w:pPr>
        <w:sectPr>
          <w:pgSz w:w="11900" w:h="16838" w:orient="portrait"/>
          <w:cols w:equalWidth="0" w:num="1">
            <w:col w:w="9559"/>
          </w:cols>
          <w:pgMar w:left="900" w:top="1016" w:right="1440" w:bottom="1440" w:gutter="0" w:footer="0" w:header="0"/>
          <w:type w:val="continuous"/>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PRIOR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8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10.70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Lantheus Medical Imaging,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 01862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Severance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sets forth the terms and conditions pursuant to which Lantheus Medical Imaging,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will pay you cash severance if your employment with the Company is terminated in a Qualifying Termination (as defined below). Following your execution of this Agreement, the severance payments and benefits described in this Agreement will be the only severance payments or benefits that you will be entitled to in connection with a termination of your employment and you will not be entitled to any severance payments or benefits under the terms of any other agreement with the Company, including, without limitation, that certain Employment Agreement, dated as of [________] (collectively, and with any and all amendments,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or any plan, policy or program of the Company.</w:t>
      </w:r>
    </w:p>
    <w:p>
      <w:pPr>
        <w:spacing w:after="0" w:line="391"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Severance Payments.</w:t>
      </w:r>
    </w:p>
    <w:p>
      <w:pPr>
        <w:spacing w:after="0" w:line="225" w:lineRule="exact"/>
        <w:rPr>
          <w:rFonts w:ascii="Arial" w:cs="Arial" w:eastAsia="Arial" w:hAnsi="Arial"/>
          <w:sz w:val="18"/>
          <w:szCs w:val="18"/>
          <w:color w:val="auto"/>
        </w:rPr>
      </w:pPr>
    </w:p>
    <w:p>
      <w:pPr>
        <w:ind w:left="1300" w:right="360" w:hanging="644"/>
        <w:spacing w:after="0" w:line="347" w:lineRule="auto"/>
        <w:tabs>
          <w:tab w:leader="none" w:pos="1300"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Non-Change in Control Severance. </w:t>
      </w:r>
      <w:r>
        <w:rPr>
          <w:rFonts w:ascii="Arial" w:cs="Arial" w:eastAsia="Arial" w:hAnsi="Arial"/>
          <w:sz w:val="16"/>
          <w:szCs w:val="16"/>
          <w:color w:val="auto"/>
        </w:rPr>
        <w:t>If your employment with the Company is terminated in a Qualifying Termination other than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twelve (12) months following a Change in Control, then, subject to terms and conditions of this Agreement, the Company will:</w:t>
      </w:r>
    </w:p>
    <w:p>
      <w:pPr>
        <w:spacing w:after="0" w:line="120" w:lineRule="exact"/>
        <w:rPr>
          <w:rFonts w:ascii="Arial" w:cs="Arial" w:eastAsia="Arial" w:hAnsi="Arial"/>
          <w:sz w:val="16"/>
          <w:szCs w:val="16"/>
          <w:color w:val="auto"/>
        </w:rPr>
      </w:pPr>
    </w:p>
    <w:p>
      <w:pPr>
        <w:ind w:left="1960" w:right="120" w:hanging="655"/>
        <w:spacing w:after="0" w:line="279" w:lineRule="auto"/>
        <w:tabs>
          <w:tab w:leader="none" w:pos="1960" w:val="left"/>
        </w:tabs>
        <w:numPr>
          <w:ilvl w:val="2"/>
          <w:numId w:val="101"/>
        </w:numPr>
        <w:rPr>
          <w:rFonts w:ascii="Arial" w:cs="Arial" w:eastAsia="Arial" w:hAnsi="Arial"/>
          <w:sz w:val="17"/>
          <w:szCs w:val="17"/>
          <w:color w:val="auto"/>
        </w:rPr>
      </w:pPr>
      <w:r>
        <w:rPr>
          <w:rFonts w:ascii="Arial" w:cs="Arial" w:eastAsia="Arial" w:hAnsi="Arial"/>
          <w:sz w:val="17"/>
          <w:szCs w:val="17"/>
          <w:color w:val="auto"/>
        </w:rPr>
        <w:t>pay you an amount equal to the sum of (A) one times (1x) your annual base salary and (B) a pro rata portion of your target annual bonus (prorated based on the percentage of the fiscal year that shall have elapsed through the Separation Date), in each case, as in effect on the Separation Date (or, if a reduction in your annual base salary gave rise to Good Reason under this Agreement, as in effect immediately prior to such reduction) (the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1960" w:right="100" w:hanging="655"/>
        <w:spacing w:after="0" w:line="293" w:lineRule="auto"/>
        <w:tabs>
          <w:tab w:leader="none" w:pos="196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provided that you timely and properly elect to purchase continued healthcare coverage under COBRA, pay you a monthly amount equal to the employer portion of the monthly premiums paid under the Company’s group health plans as of the Separation Date, for the period ending on the earliest of (i) the one-year anniversary of the Separation Date, (ii) the date on which you become covered under another employer’s health plan and (iii) the expiration of the maximum COBRA continuation coverage period for which you are eligible under federal law. For the avoidance of doubt, you will be responsible for paying the applicable COBRA premiums directly to the Company’s COBRA administrator (the “</w:t>
      </w:r>
      <w:r>
        <w:rPr>
          <w:rFonts w:ascii="Arial" w:cs="Arial" w:eastAsia="Arial" w:hAnsi="Arial"/>
          <w:sz w:val="16"/>
          <w:szCs w:val="16"/>
          <w:b w:val="1"/>
          <w:bCs w:val="1"/>
          <w:i w:val="1"/>
          <w:iCs w:val="1"/>
          <w:color w:val="auto"/>
        </w:rPr>
        <w:t>COBRA Payment</w:t>
      </w:r>
      <w:r>
        <w:rPr>
          <w:rFonts w:ascii="Arial" w:cs="Arial" w:eastAsia="Arial" w:hAnsi="Arial"/>
          <w:sz w:val="16"/>
          <w:szCs w:val="16"/>
          <w:color w:val="auto"/>
        </w:rPr>
        <w:t>”).</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Severance Payment and COBRA Payment (to the extent payable as described above) will be paid in substantially equal installments over a period of twelve (12) months following the Separation Date in accordance with the Company’s regular payroll practices, beginning on the Company’s first regular payroll date following the date that the Separation Agreement (as defined below) becomes fully effective and irrevocable (and the first installment will include all amounts that would have been paid on the regular payroll dates of the Company following the Separation Date prior to such date), except as described in Section 6 below; provided, however, to the extent any severance payments or benefits that you were entitled to receive under the Employment Agreement were subject to Section 409A (as determined in good faith by the Company with the advice of outside counsel), the Severance Payment shall be paid on the schedule set forth in the Employment Agreement to the extent required to prevent any accelerated or additional tax or adverse consequences under Section 409A.</w:t>
      </w:r>
    </w:p>
    <w:p>
      <w:pPr>
        <w:spacing w:after="0" w:line="188" w:lineRule="exact"/>
        <w:rPr>
          <w:sz w:val="20"/>
          <w:szCs w:val="20"/>
          <w:color w:val="auto"/>
        </w:rPr>
      </w:pPr>
    </w:p>
    <w:p>
      <w:pPr>
        <w:jc w:val="both"/>
        <w:ind w:left="1300" w:right="100" w:hanging="644"/>
        <w:spacing w:after="0" w:line="266"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Severance. </w:t>
      </w:r>
      <w:r>
        <w:rPr>
          <w:rFonts w:ascii="Arial" w:cs="Arial" w:eastAsia="Arial" w:hAnsi="Arial"/>
          <w:sz w:val="18"/>
          <w:szCs w:val="18"/>
          <w:color w:val="auto"/>
        </w:rPr>
        <w:t>If your employment with the Company is terminated in a Qualifying Termination on or within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then, in lieu of the payments described in Section 1(a) above and subject to terms and conditions of this Agreement, the Company will provide you with the following benefits:</w:t>
      </w:r>
    </w:p>
    <w:p>
      <w:pPr>
        <w:spacing w:after="0" w:line="180" w:lineRule="exact"/>
        <w:rPr>
          <w:rFonts w:ascii="Arial" w:cs="Arial" w:eastAsia="Arial" w:hAnsi="Arial"/>
          <w:sz w:val="18"/>
          <w:szCs w:val="18"/>
          <w:color w:val="auto"/>
        </w:rPr>
      </w:pPr>
    </w:p>
    <w:p>
      <w:pPr>
        <w:ind w:left="1960" w:right="20" w:hanging="655"/>
        <w:spacing w:after="0" w:line="264" w:lineRule="auto"/>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pay you an amount equal to two times (2x) the sum of your annual base salary and target annual bonus, in each case, as in effect on the Separation Date (or, if a reduction in your annual base salary gave rise to Good Reason under this Agreement, as in effect immediately prior to such reduction);</w:t>
      </w:r>
    </w:p>
    <w:p>
      <w:pPr>
        <w:sectPr>
          <w:pgSz w:w="11900" w:h="16838" w:orient="portrait"/>
          <w:cols w:equalWidth="0" w:num="1">
            <w:col w:w="11420"/>
          </w:cols>
          <w:pgMar w:left="240" w:top="580" w:right="239" w:bottom="1440" w:gutter="0" w:footer="0" w:header="0"/>
        </w:sectPr>
      </w:pPr>
    </w:p>
    <w:bookmarkStart w:id="138" w:name="page139"/>
    <w:bookmarkEnd w:id="138"/>
    <w:p>
      <w:pPr>
        <w:ind w:left="1960" w:right="100" w:hanging="655"/>
        <w:spacing w:after="0" w:line="264" w:lineRule="auto"/>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 you an aggregate amount equal to the employer portion of the monthly premiums paid under the Company’s group health plans as of the Separation Date multiplied by twenty four (24) (the sum of (i) and (ii), “</w:t>
      </w:r>
      <w:r>
        <w:rPr>
          <w:rFonts w:ascii="Arial" w:cs="Arial" w:eastAsia="Arial" w:hAnsi="Arial"/>
          <w:sz w:val="18"/>
          <w:szCs w:val="18"/>
          <w:b w:val="1"/>
          <w:bCs w:val="1"/>
          <w:i w:val="1"/>
          <w:iCs w:val="1"/>
          <w:color w:val="auto"/>
        </w:rPr>
        <w:t>Change in Control Severance Payment</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1960" w:right="140" w:hanging="655"/>
        <w:spacing w:after="0" w:line="264" w:lineRule="auto"/>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stock options or other equity-based award that you hold on the Separation Date, to the extent then-unvested, shall vest in full, with performance-based awards vesting at target, and, in the case of stock options, shall remain exercisable as provided in the equity plan or award agreement under which they were granted.</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Change in Control Severance Payment will be paid in substantially equal installments over a period of twelve (12) months following the Separation Date in accordance with the Company’s regular payroll practices, beginning on the Company’s first regular payroll date following the date that the Separation Agreement becomes fully effective and irrevocable (and the first installment will include all amounts that would have been paid on the regular payroll dates of the Company following the Separation Date prior to such date), except as described in Section 6 below; provided, however, that the Company shall pay the greatest portion of the Change in Control Severance Payment that is permissible under Section 409A (as determined in good faith by the Company with the advice of outside counsel) without resulting in any accelerated or additional tax or other adverse consequences under Section 409A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 but in no event will be paid later than March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year following the year in which the Separation Date occurs.</w:t>
      </w:r>
    </w:p>
    <w:p>
      <w:pPr>
        <w:spacing w:after="0" w:line="79" w:lineRule="exact"/>
        <w:rPr>
          <w:sz w:val="20"/>
          <w:szCs w:val="20"/>
          <w:color w:val="auto"/>
        </w:rPr>
      </w:pPr>
    </w:p>
    <w:p>
      <w:pPr>
        <w:ind w:left="1300" w:right="20" w:hanging="644"/>
        <w:spacing w:after="0" w:line="26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Death or Permanent Disability Severance</w:t>
      </w:r>
      <w:r>
        <w:rPr>
          <w:rFonts w:ascii="Arial" w:cs="Arial" w:eastAsia="Arial" w:hAnsi="Arial"/>
          <w:sz w:val="18"/>
          <w:szCs w:val="18"/>
          <w:color w:val="auto"/>
        </w:rPr>
        <w:t>. If your employment with the Company is terminated due to your death or by the Company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your Permanent Disability, then, in lieu of the payments described in Sections 1(a) or 1(b) above and subject to terms and conditions of this Agreement, the Company will provide you with the following benefits:</w:t>
      </w:r>
    </w:p>
    <w:p>
      <w:pPr>
        <w:spacing w:after="0" w:line="180" w:lineRule="exact"/>
        <w:rPr>
          <w:rFonts w:ascii="Arial" w:cs="Arial" w:eastAsia="Arial" w:hAnsi="Arial"/>
          <w:sz w:val="18"/>
          <w:szCs w:val="18"/>
          <w:color w:val="auto"/>
        </w:rPr>
      </w:pPr>
    </w:p>
    <w:p>
      <w:pPr>
        <w:ind w:left="1960" w:right="60" w:hanging="655"/>
        <w:spacing w:after="0" w:line="302" w:lineRule="auto"/>
        <w:tabs>
          <w:tab w:leader="none" w:pos="19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pro rata portion of your target annual bonus for the year of termination, based on the percentage of the fiscal year that shall have elapsed through the Separation Date, payable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 (the “</w:t>
      </w:r>
      <w:r>
        <w:rPr>
          <w:rFonts w:ascii="Arial" w:cs="Arial" w:eastAsia="Arial" w:hAnsi="Arial"/>
          <w:sz w:val="16"/>
          <w:szCs w:val="16"/>
          <w:b w:val="1"/>
          <w:bCs w:val="1"/>
          <w:i w:val="1"/>
          <w:iCs w:val="1"/>
          <w:color w:val="auto"/>
        </w:rPr>
        <w:t>Death/Disability Payment</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purposes of this Agreement, the following terms shall have the following meanings:</w:t>
      </w:r>
    </w:p>
    <w:p>
      <w:pPr>
        <w:spacing w:after="0" w:line="229" w:lineRule="exact"/>
        <w:rPr>
          <w:rFonts w:ascii="Arial" w:cs="Arial" w:eastAsia="Arial" w:hAnsi="Arial"/>
          <w:sz w:val="18"/>
          <w:szCs w:val="18"/>
          <w:color w:val="auto"/>
        </w:rPr>
      </w:pPr>
    </w:p>
    <w:p>
      <w:pPr>
        <w:ind w:left="1960" w:right="320" w:hanging="655"/>
        <w:spacing w:after="0" w:line="277" w:lineRule="auto"/>
        <w:tabs>
          <w:tab w:leader="none" w:pos="1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ascribed to such term in Rule 13d-3 under the Securities Exchange Act of 1934, as amended.</w:t>
      </w:r>
    </w:p>
    <w:p>
      <w:pPr>
        <w:spacing w:after="0" w:line="170" w:lineRule="exact"/>
        <w:rPr>
          <w:rFonts w:ascii="Arial" w:cs="Arial" w:eastAsia="Arial" w:hAnsi="Arial"/>
          <w:sz w:val="18"/>
          <w:szCs w:val="18"/>
          <w:color w:val="auto"/>
        </w:rPr>
      </w:pPr>
    </w:p>
    <w:p>
      <w:pPr>
        <w:ind w:left="1960" w:right="80" w:hanging="655"/>
        <w:spacing w:after="0" w:line="270" w:lineRule="auto"/>
        <w:tabs>
          <w:tab w:leader="none" w:pos="19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any of the following: (i) your material failure to perform your employment duties (other than as a consequence of any illness, accident or disability); (ii) your continued, willful failure to carry out any reasonable lawful direction of the Company; (iii) your material failure to comply with any of the applicable rules of the Company contained in its Employee Handbook or any other Company policy; (iv) your fraud, willful malfeasance, gross negligence or recklessness in the performance of your employment duties; (v) your willful failure to comply with any of the material terms of any agreement between you and the Company; (vi) your other serious willful misconduct which causes material injury to the Company or its reputation, including, but not limited to, willful or gross misconduct toward any of the Company’s other employees, or (vii) your conviction of a crime (or a pleading of guilt or nolo contendere), other than one which in the opinion of the board of directors of the Company does not affect your position as an employee of the Company.</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1"/>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any of the following:</w:t>
      </w:r>
    </w:p>
    <w:p>
      <w:pPr>
        <w:spacing w:after="0" w:line="225" w:lineRule="exact"/>
        <w:rPr>
          <w:sz w:val="20"/>
          <w:szCs w:val="20"/>
          <w:color w:val="auto"/>
        </w:rPr>
      </w:pPr>
    </w:p>
    <w:p>
      <w:pPr>
        <w:ind w:left="2600" w:right="20" w:hanging="647"/>
        <w:spacing w:after="0" w:line="276" w:lineRule="auto"/>
        <w:tabs>
          <w:tab w:leader="none" w:pos="2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more than fifty percent (50%) of the combined voting power, excluding any Person who is the Beneficial Owner of fifty percent (50%) or more of the voting power on the date this Agreement is accepted and agreed to by you, of the then outstanding voting securities of the Company entitled to vote generally in the election of its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including by way of merger, consolidation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w:t>
      </w:r>
    </w:p>
    <w:p>
      <w:pPr>
        <w:sectPr>
          <w:pgSz w:w="11900" w:h="16838" w:orient="portrait"/>
          <w:cols w:equalWidth="0" w:num="1">
            <w:col w:w="11420"/>
          </w:cols>
          <w:pgMar w:left="240" w:top="800" w:right="239" w:bottom="1440" w:gutter="0" w:footer="0" w:header="0"/>
        </w:sectPr>
      </w:pPr>
    </w:p>
    <w:bookmarkStart w:id="139" w:name="page140"/>
    <w:bookmarkEnd w:id="139"/>
    <w:p>
      <w:pPr>
        <w:ind w:left="1400" w:right="80"/>
        <w:spacing w:after="0" w:line="304" w:lineRule="auto"/>
        <w:rPr>
          <w:sz w:val="20"/>
          <w:szCs w:val="20"/>
          <w:color w:val="auto"/>
        </w:rPr>
      </w:pPr>
      <w:r>
        <w:rPr>
          <w:rFonts w:ascii="Arial" w:cs="Arial" w:eastAsia="Arial" w:hAnsi="Arial"/>
          <w:sz w:val="18"/>
          <w:szCs w:val="18"/>
          <w:color w:val="auto"/>
        </w:rPr>
        <w:t>purposes of this definition, the following acquisitions shall not constitute a Change in Control: (i) any acquisition of Outstanding Company Voting Securities directly from the Company, including, without limitation, in a public offering of securities, or (ii) any acquisition of Outstanding Company Voting Securities by the Company or any of its Subsidiaries, including, without limitation, an acquisition by any employee benefit plan or related trust sponsored or maintained by the Company or any of its Subsidiaries.</w:t>
      </w:r>
    </w:p>
    <w:p>
      <w:pPr>
        <w:spacing w:after="0" w:line="161" w:lineRule="exact"/>
        <w:rPr>
          <w:sz w:val="20"/>
          <w:szCs w:val="20"/>
          <w:color w:val="auto"/>
        </w:rPr>
      </w:pPr>
    </w:p>
    <w:p>
      <w:pPr>
        <w:ind w:left="1400" w:hanging="647"/>
        <w:spacing w:after="0" w:line="268" w:lineRule="auto"/>
        <w:tabs>
          <w:tab w:leader="none" w:pos="14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to which the Company is a party or a sale or other disposition of all or substantially all of the assets of the Company or the line of business to which your employment principally relates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83" w:lineRule="exact"/>
        <w:rPr>
          <w:rFonts w:ascii="Arial" w:cs="Arial" w:eastAsia="Arial" w:hAnsi="Arial"/>
          <w:sz w:val="17"/>
          <w:szCs w:val="17"/>
          <w:color w:val="auto"/>
        </w:rPr>
      </w:pPr>
    </w:p>
    <w:p>
      <w:pPr>
        <w:ind w:left="1400" w:hanging="647"/>
        <w:spacing w:after="0"/>
        <w:tabs>
          <w:tab w:leader="none" w:pos="14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60" w:hanging="655"/>
        <w:spacing w:after="0" w:line="289" w:lineRule="auto"/>
        <w:tabs>
          <w:tab w:leader="none" w:pos="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without your consent: (i) a material decrease in your base salary or failure to pay salary when due; (ii) a material diminution in your duties or responsibilities (provided however, that a mere change in your title or reporting relationship alone shall not constitute “Good Reason”); (iii) the failure of the Company to cause the transferee or successor to all or substantially all of the assets of the Company or line of business to which your employment principally relates to assume by operation of law or contractually the Company’s obligations hereunder; or (iv) the relocation of your principal work location to a location more than fifty (50) miles from its current location; provided, in each case, that (A) you provide written notice to the Company, setting forth in reasonable detail the event giving rise to Good Reason within thirty (30) days following the initial occurrence of such event, (B) such event is not cured by the Company within thirty (30) days following its receipt of such written notice, and (C) you actually terminate your employment not later than thirty (30) days following the expiration of such cure period.</w:t>
      </w:r>
    </w:p>
    <w:p>
      <w:pPr>
        <w:spacing w:after="0" w:line="166" w:lineRule="exact"/>
        <w:rPr>
          <w:rFonts w:ascii="Arial" w:cs="Arial" w:eastAsia="Arial" w:hAnsi="Arial"/>
          <w:sz w:val="16"/>
          <w:szCs w:val="16"/>
          <w:color w:val="auto"/>
        </w:rPr>
      </w:pPr>
    </w:p>
    <w:p>
      <w:pPr>
        <w:ind w:left="760" w:right="360" w:hanging="655"/>
        <w:spacing w:after="0" w:line="302" w:lineRule="auto"/>
        <w:tabs>
          <w:tab w:leader="none" w:pos="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Permanent Disability</w:t>
      </w:r>
      <w:r>
        <w:rPr>
          <w:rFonts w:ascii="Arial" w:cs="Arial" w:eastAsia="Arial" w:hAnsi="Arial"/>
          <w:sz w:val="16"/>
          <w:szCs w:val="16"/>
          <w:color w:val="auto"/>
        </w:rPr>
        <w:t>” means your inability, because of mental or physical illness or incapacity, whether total or partial, to perform one or more of the material functions of your position with or without reasonable accommodation, for a period of: (i) ninety (90) consecutive calendar days or (ii) an aggregate of one hundred and twenty (120) days out of any consecutive twelve (12)-month period, and which entitles you to receive benefits under a disability plan provided by the Company.</w:t>
      </w:r>
    </w:p>
    <w:p>
      <w:pPr>
        <w:spacing w:after="0" w:line="154" w:lineRule="exact"/>
        <w:rPr>
          <w:rFonts w:ascii="Arial" w:cs="Arial" w:eastAsia="Arial" w:hAnsi="Arial"/>
          <w:sz w:val="16"/>
          <w:szCs w:val="16"/>
          <w:color w:val="auto"/>
        </w:rPr>
      </w:pPr>
    </w:p>
    <w:p>
      <w:pPr>
        <w:ind w:left="760" w:right="100" w:hanging="655"/>
        <w:spacing w:after="0" w:line="277"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entity, or organization, including a government or political subdivision, department, or agency of a government.</w:t>
      </w:r>
    </w:p>
    <w:p>
      <w:pPr>
        <w:spacing w:after="0" w:line="170" w:lineRule="exact"/>
        <w:rPr>
          <w:rFonts w:ascii="Arial" w:cs="Arial" w:eastAsia="Arial" w:hAnsi="Arial"/>
          <w:sz w:val="18"/>
          <w:szCs w:val="18"/>
          <w:color w:val="auto"/>
        </w:rPr>
      </w:pPr>
    </w:p>
    <w:p>
      <w:pPr>
        <w:ind w:left="760" w:right="140" w:hanging="655"/>
        <w:spacing w:after="0" w:line="264"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a termination of your employment by the Company without Cause or your resignation from the Company for Good Reason. “Qualifying Termination” does not include a termination of your employment due to your death or Permanent Disability.</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means the date your employment with the Company terminates.</w:t>
      </w:r>
    </w:p>
    <w:p>
      <w:pPr>
        <w:sectPr>
          <w:pgSz w:w="11900" w:h="16838" w:orient="portrait"/>
          <w:cols w:equalWidth="0" w:num="1">
            <w:col w:w="10220"/>
          </w:cols>
          <w:pgMar w:left="1440" w:top="827" w:right="239" w:bottom="1440" w:gutter="0" w:footer="0" w:header="0"/>
        </w:sectPr>
      </w:pPr>
    </w:p>
    <w:bookmarkStart w:id="140" w:name="page141"/>
    <w:bookmarkEnd w:id="140"/>
    <w:p>
      <w:pPr>
        <w:jc w:val="both"/>
        <w:ind w:left="1952" w:right="100" w:hanging="655"/>
        <w:spacing w:after="0" w:line="264" w:lineRule="auto"/>
        <w:tabs>
          <w:tab w:leader="none" w:pos="195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 entity (whether or not a corporation) that is wholly or majority owned or controlled, directly or indirectly, by the Company or any other affiliate of the Company that is so designated, from time to time, by the Company, during the period of such affiliated status.</w:t>
      </w:r>
    </w:p>
    <w:p>
      <w:pPr>
        <w:spacing w:after="0" w:line="177" w:lineRule="exact"/>
        <w:rPr>
          <w:rFonts w:ascii="Arial" w:cs="Arial" w:eastAsia="Arial" w:hAnsi="Arial"/>
          <w:sz w:val="18"/>
          <w:szCs w:val="18"/>
          <w:color w:val="auto"/>
        </w:rPr>
      </w:pPr>
    </w:p>
    <w:p>
      <w:pPr>
        <w:ind w:left="652" w:hanging="652"/>
        <w:spacing w:after="0" w:line="290" w:lineRule="auto"/>
        <w:tabs>
          <w:tab w:leader="none" w:pos="652"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Conditions to Payment</w:t>
      </w:r>
      <w:r>
        <w:rPr>
          <w:rFonts w:ascii="Arial" w:cs="Arial" w:eastAsia="Arial" w:hAnsi="Arial"/>
          <w:sz w:val="16"/>
          <w:szCs w:val="16"/>
          <w:color w:val="auto"/>
        </w:rPr>
        <w:t>. Any obligation of the Company to pay you the Cash Severance Payment, the COBRA Payment, the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Payment or the Death/Disability Payment is conditioned upon (i) your continued compliance with all confidentiality, non-solicitation, no-hire, non-disparagement, invention assignment, cooperation and other similar obligations to, and other restrictive covenants in favor of, the Company or any of its subsidiaries or affiliates to which you are currently obligated, including, without limitation, those restrictive covenants included in the Employment Agreement, which shall remain in full force and effect in accordance with their terms (the “</w:t>
      </w:r>
      <w:r>
        <w:rPr>
          <w:rFonts w:ascii="Arial" w:cs="Arial" w:eastAsia="Arial" w:hAnsi="Arial"/>
          <w:sz w:val="16"/>
          <w:szCs w:val="16"/>
          <w:b w:val="1"/>
          <w:bCs w:val="1"/>
          <w:i w:val="1"/>
          <w:iCs w:val="1"/>
          <w:color w:val="auto"/>
        </w:rPr>
        <w:t>Restrictive Covenants</w:t>
      </w:r>
      <w:r>
        <w:rPr>
          <w:rFonts w:ascii="Arial" w:cs="Arial" w:eastAsia="Arial" w:hAnsi="Arial"/>
          <w:sz w:val="16"/>
          <w:szCs w:val="16"/>
          <w:color w:val="auto"/>
        </w:rPr>
        <w:t>”), and (ii) your (or your estate’s or legal representative’s, in the event of your death or Permanent Disability) execution and delivery to the Company of a separation agreement that includes a non-competition covenant that applies for one year following your termination of employment and general release and waiver in favor of the Company in a form reasonably acceptable to the Company (a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and such Separation Agreement becoming fully effective and irrevocable by the date specified therein, but in no event more than sixty (60) days following the Separation Date.</w:t>
      </w:r>
    </w:p>
    <w:p>
      <w:pPr>
        <w:spacing w:after="0" w:line="159" w:lineRule="exact"/>
        <w:rPr>
          <w:rFonts w:ascii="Arial" w:cs="Arial" w:eastAsia="Arial" w:hAnsi="Arial"/>
          <w:sz w:val="16"/>
          <w:szCs w:val="16"/>
          <w:color w:val="auto"/>
        </w:rPr>
      </w:pPr>
    </w:p>
    <w:p>
      <w:pPr>
        <w:ind w:left="652" w:right="100" w:hanging="652"/>
        <w:spacing w:after="0" w:line="266"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No Other Severance Benefits</w:t>
      </w:r>
      <w:r>
        <w:rPr>
          <w:rFonts w:ascii="Arial" w:cs="Arial" w:eastAsia="Arial" w:hAnsi="Arial"/>
          <w:sz w:val="18"/>
          <w:szCs w:val="18"/>
          <w:color w:val="auto"/>
        </w:rPr>
        <w:t>. The payments provided by this Agreement are in lieu of any severance or similar payments or benefits that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entitled to upon termination of employment with the Company or any of its subsidiaries or affiliates, including, without limitation, under any severance policy of the Company or any of its subsidiaries or affiliates.</w:t>
      </w:r>
    </w:p>
    <w:p>
      <w:pPr>
        <w:spacing w:after="0" w:line="176" w:lineRule="exact"/>
        <w:rPr>
          <w:rFonts w:ascii="Arial" w:cs="Arial" w:eastAsia="Arial" w:hAnsi="Arial"/>
          <w:sz w:val="18"/>
          <w:szCs w:val="18"/>
          <w:color w:val="auto"/>
        </w:rPr>
      </w:pPr>
    </w:p>
    <w:p>
      <w:pPr>
        <w:ind w:left="652" w:right="600" w:hanging="652"/>
        <w:spacing w:after="0" w:line="282"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withhold from all amounts payable under this Agreement any taxes or other amounts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 as determined by the Company in its sole discretion.</w:t>
      </w:r>
    </w:p>
    <w:p>
      <w:pPr>
        <w:spacing w:after="0" w:line="161" w:lineRule="exact"/>
        <w:rPr>
          <w:rFonts w:ascii="Arial" w:cs="Arial" w:eastAsia="Arial" w:hAnsi="Arial"/>
          <w:sz w:val="18"/>
          <w:szCs w:val="18"/>
          <w:color w:val="auto"/>
        </w:rPr>
      </w:pPr>
    </w:p>
    <w:p>
      <w:pPr>
        <w:ind w:left="652" w:hanging="652"/>
        <w:spacing w:after="0" w:line="266"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Scope of Agreement</w:t>
      </w:r>
      <w:r>
        <w:rPr>
          <w:rFonts w:ascii="Arial" w:cs="Arial" w:eastAsia="Arial" w:hAnsi="Arial"/>
          <w:sz w:val="18"/>
          <w:szCs w:val="18"/>
          <w:color w:val="auto"/>
        </w:rPr>
        <w:t>. Nothing in this Agreement will be deemed to entitle you to continued employment with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or affiliates, limit the Company’s right to terminate your employment at any time for any reason or alter the at-will nature of your employment with the Company.</w:t>
      </w:r>
    </w:p>
    <w:p>
      <w:pPr>
        <w:spacing w:after="0" w:line="176" w:lineRule="exact"/>
        <w:rPr>
          <w:rFonts w:ascii="Arial" w:cs="Arial" w:eastAsia="Arial" w:hAnsi="Arial"/>
          <w:sz w:val="18"/>
          <w:szCs w:val="18"/>
          <w:color w:val="auto"/>
        </w:rPr>
      </w:pPr>
    </w:p>
    <w:p>
      <w:pPr>
        <w:ind w:left="652" w:right="60" w:hanging="652"/>
        <w:spacing w:after="0" w:line="285" w:lineRule="auto"/>
        <w:tabs>
          <w:tab w:leader="none" w:pos="652"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All amounts payable under this Agreement are intended to be exempt from, or comply with, the requirements of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required to comply with or be exempt from Section 409A, you will not be considered to have terminated employment with the Company for purposes of this Agreement, and no payment will be due to you under this Agreement, until you have incurred a “separation from service” from the Company within the meaning of Section 409A (after giving effect to the presumptions set forth therein). If you are determined to be a “specified employee” at the time of your separation from service then, to the extent necessary to prevent any accelerated or additional tax under Section 409A, payment of the amounts payable under this Agreement will be delayed until the earlier of (i) the date that is six months and one day following your separation from service or (ii) your death. Each amount paid to you pursuant to this Agreement shall be treated as a separate payment for purposes of Section 409A and the right to a series of installment payments under this Agreement shall be treated as the right to a series of separate payments. To the extent required to comply with Section 409A, if the period available to execute (and not revoke) the Separation Agreement spans two calendar years, the Cash Severance Payment, the COBRA Payment, the Change in Control Severance Payment or the Death/Disability Payment will be paid in the second calendar year. To the extent required to comply with Section 409A, a Change in Control will not be deemed to occur for purposes of this Agreement unless it is a “change in control event” as defined in Section 1.409A-3(i)(5)(i) of the Treasury Regulations, and if it is not a “change in control event,” payment of the severance described in Section 1(b) of this Agreement shall instead be paid as provided under Section 1(a) of this Agreement (unless the severance, or portion thereof, could be paid earlier without resulting in adverse tax consequences under Section 409A). Any reimbursement payable under this Agreement that is subject to Section 409A is subject to the following additional rules: (A) the amount of expenses eligible for reimbursement during any taxable year shall not affect the amount of expenses eligible for reimbursement in any other taxable year; (B) reimbursement of the expense shall be made, if at all, promptly, but not later than the end of the calendar year following the calendar year in which the expense was incurred, and (C) the right to reimbursement shall not be subject to liquidation or exchange for any other benefit. Notwithstanding the foregoing or anything to the contrary in this Agreement, neither the Company nor any other person will be liable to you by reason of any acceleration of income, or any additional tax (including any interest and penalties), asserted with respect to any of the payments under this Agreement, including by reason of the failure of this Agreement to satisfy the applicable requirements of Section 409A in form or in operation.</w:t>
      </w:r>
    </w:p>
    <w:p>
      <w:pPr>
        <w:sectPr>
          <w:pgSz w:w="11900" w:h="16838" w:orient="portrait"/>
          <w:cols w:equalWidth="0" w:num="1">
            <w:col w:w="11412"/>
          </w:cols>
          <w:pgMar w:left="248" w:top="800" w:right="239" w:bottom="1440" w:gutter="0" w:footer="0" w:header="0"/>
        </w:sectPr>
      </w:pPr>
    </w:p>
    <w:bookmarkStart w:id="141" w:name="page142"/>
    <w:bookmarkEnd w:id="141"/>
    <w:p>
      <w:pPr>
        <w:ind w:left="652" w:right="140" w:hanging="652"/>
        <w:spacing w:after="0" w:line="271" w:lineRule="auto"/>
        <w:tabs>
          <w:tab w:leader="none" w:pos="652"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Section 280G</w:t>
      </w:r>
      <w:r>
        <w:rPr>
          <w:rFonts w:ascii="Arial" w:cs="Arial" w:eastAsia="Arial" w:hAnsi="Arial"/>
          <w:sz w:val="17"/>
          <w:szCs w:val="17"/>
          <w:color w:val="auto"/>
        </w:rPr>
        <w:t>. If all, or any portion, of the payments or benefits provided under this Agreement, either alone or together with any other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that you receive or are entitled to receive from the Company or any of its subsidiaries or affiliates, would constitute an “excess parachute payment” within the meaning of Section 280G of the Code, then, notwithstanding anything in this Agreement or any other agreement or plan to the contrary, you will be entitled to receive: (A) the amount of such payments or benefits, reduced such that no portion thereof shall fail to be tax deductible under Section 280G of the Code (the “</w:t>
      </w:r>
      <w:r>
        <w:rPr>
          <w:rFonts w:ascii="Arial" w:cs="Arial" w:eastAsia="Arial" w:hAnsi="Arial"/>
          <w:sz w:val="17"/>
          <w:szCs w:val="17"/>
          <w:b w:val="1"/>
          <w:bCs w:val="1"/>
          <w:i w:val="1"/>
          <w:iCs w:val="1"/>
          <w:color w:val="auto"/>
        </w:rPr>
        <w:t>Limited Amount</w:t>
      </w:r>
      <w:r>
        <w:rPr>
          <w:rFonts w:ascii="Arial" w:cs="Arial" w:eastAsia="Arial" w:hAnsi="Arial"/>
          <w:sz w:val="17"/>
          <w:szCs w:val="17"/>
          <w:color w:val="auto"/>
        </w:rPr>
        <w:t>”), or (B) if the amounts otherwise payable hereunder and under any other agreements and plans of the Company and its subsidiaries and affiliates (without regard to clause (A)), reduced by all taxes applicable thereto (including, for the avoidance of doubt, the excise tax imposed by Section 4999 of the Code) would be greater than the Limited Amount reduced by all taxes applicable thereto, the amounts otherwise payable hereunder and thereunder. All determinations under this Section 7 will be made by an accounting, consulting, or valuation firm selected, and paid for, by the Company.</w:t>
      </w:r>
    </w:p>
    <w:p>
      <w:pPr>
        <w:spacing w:after="0" w:line="174" w:lineRule="exact"/>
        <w:rPr>
          <w:rFonts w:ascii="Arial" w:cs="Arial" w:eastAsia="Arial" w:hAnsi="Arial"/>
          <w:sz w:val="17"/>
          <w:szCs w:val="17"/>
          <w:color w:val="auto"/>
        </w:rPr>
      </w:pPr>
    </w:p>
    <w:p>
      <w:pPr>
        <w:ind w:left="652" w:hanging="652"/>
        <w:spacing w:after="0" w:line="273" w:lineRule="auto"/>
        <w:tabs>
          <w:tab w:leader="none" w:pos="652"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Assignment</w:t>
      </w:r>
      <w:r>
        <w:rPr>
          <w:rFonts w:ascii="Arial" w:cs="Arial" w:eastAsia="Arial" w:hAnsi="Arial"/>
          <w:sz w:val="17"/>
          <w:szCs w:val="17"/>
          <w:color w:val="auto"/>
        </w:rPr>
        <w:t>. Neither the Company nor you may assign any rights or obligations under this Agreement, by operation of law or otherwise,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consent of the other, except that the Company may assign its rights and obligations under this Agreement without your consent in the event that you are transferred to a position with any of the Company’s subsidiaries or affiliates, and the Company will assign its rights and obligations under this Agreement in the event of a reorganization, consolidation, or merger involving the Company or any of its subsidiaries or affiliates in which the Company is not the surviving entity, or a transfer of all or substantially all of the Company’s assets or line of business to which your employment principally relates. This Agreement shall inure to the benefit of and be binding upon you and the Company and your and its respective successors, executors, administrators, heirs and permitted assigns.</w:t>
      </w:r>
    </w:p>
    <w:p>
      <w:pPr>
        <w:spacing w:after="0" w:line="172" w:lineRule="exact"/>
        <w:rPr>
          <w:rFonts w:ascii="Arial" w:cs="Arial" w:eastAsia="Arial" w:hAnsi="Arial"/>
          <w:sz w:val="17"/>
          <w:szCs w:val="17"/>
          <w:color w:val="auto"/>
        </w:rPr>
      </w:pPr>
    </w:p>
    <w:p>
      <w:pPr>
        <w:ind w:left="652" w:right="100" w:hanging="652"/>
        <w:spacing w:after="0" w:line="258"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Governing Law; Validity</w:t>
      </w:r>
      <w:r>
        <w:rPr>
          <w:rFonts w:ascii="Arial" w:cs="Arial" w:eastAsia="Arial" w:hAnsi="Arial"/>
          <w:sz w:val="18"/>
          <w:szCs w:val="18"/>
          <w:color w:val="auto"/>
        </w:rPr>
        <w:t>. The laws of the Commonwealth of Massachusetts will govern all questions concerning the relative rights of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other questions concerning the construction, validity and interpretation of this Agreement, without giving effect to any choice of law or conflict of law provision or rule that would cause the application of the laws of any jurisdiction. The invalidity or unenforceability of any provision of this Agreement will not affect the validity or enforceability of any other provisions of this Agreement, which other provisions will remain in full force and effect.</w:t>
      </w:r>
    </w:p>
    <w:p>
      <w:pPr>
        <w:spacing w:after="0" w:line="183" w:lineRule="exact"/>
        <w:rPr>
          <w:rFonts w:ascii="Arial" w:cs="Arial" w:eastAsia="Arial" w:hAnsi="Arial"/>
          <w:sz w:val="18"/>
          <w:szCs w:val="18"/>
          <w:color w:val="auto"/>
        </w:rPr>
      </w:pPr>
    </w:p>
    <w:p>
      <w:pPr>
        <w:ind w:left="652" w:right="20" w:hanging="652"/>
        <w:spacing w:after="0" w:line="303" w:lineRule="auto"/>
        <w:tabs>
          <w:tab w:leader="none" w:pos="652"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For purposes of this Agreement, notices and all other communications provided for in the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ectPr>
          <w:pgSz w:w="11900" w:h="16838" w:orient="portrait"/>
          <w:cols w:equalWidth="0" w:num="1">
            <w:col w:w="11392"/>
          </w:cols>
          <w:pgMar w:left="248" w:top="796" w:right="259" w:bottom="1440" w:gutter="0" w:footer="0" w:header="0"/>
        </w:sectPr>
      </w:pPr>
    </w:p>
    <w:p>
      <w:pPr>
        <w:spacing w:after="0" w:line="15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Lantheus Medical Imaging,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331 Treble Cove Rd.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 Billerica, MA 01862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2012" w:space="360"/>
            <w:col w:w="9020"/>
          </w:cols>
          <w:pgMar w:left="248" w:top="796" w:right="259" w:bottom="1440" w:gutter="0" w:footer="0" w:header="0"/>
          <w:type w:val="continuous"/>
        </w:sectPr>
      </w:pPr>
    </w:p>
    <w:p>
      <w:pPr>
        <w:spacing w:after="0" w:line="34"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If to you:</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 your address on file with the Company</w:t>
      </w:r>
    </w:p>
    <w:p>
      <w:pPr>
        <w:spacing w:after="0" w:line="211" w:lineRule="exact"/>
        <w:rPr>
          <w:sz w:val="20"/>
          <w:szCs w:val="20"/>
          <w:color w:val="auto"/>
        </w:rPr>
      </w:pPr>
    </w:p>
    <w:p>
      <w:pPr>
        <w:sectPr>
          <w:pgSz w:w="11900" w:h="16838" w:orient="portrait"/>
          <w:cols w:equalWidth="0" w:num="2">
            <w:col w:w="1312" w:space="540"/>
            <w:col w:w="9540"/>
          </w:cols>
          <w:pgMar w:left="248" w:top="796" w:right="259" w:bottom="1440" w:gutter="0" w:footer="0" w:header="0"/>
          <w:type w:val="continuous"/>
        </w:sectPr>
      </w:pPr>
    </w:p>
    <w:p>
      <w:pPr>
        <w:spacing w:after="0" w:line="33" w:lineRule="exact"/>
        <w:rPr>
          <w:sz w:val="20"/>
          <w:szCs w:val="20"/>
          <w:color w:val="auto"/>
        </w:rPr>
      </w:pPr>
    </w:p>
    <w:p>
      <w:pPr>
        <w:ind w:left="652" w:right="60" w:hanging="652"/>
        <w:spacing w:after="0" w:line="303"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letter agreement (and those Restrictive Covenants, which shall remain in full force and effect in accordance with their terms) is</w:t>
      </w:r>
      <w:r>
        <w:rPr>
          <w:rFonts w:ascii="Arial" w:cs="Arial" w:eastAsia="Arial" w:hAnsi="Arial"/>
          <w:sz w:val="16"/>
          <w:szCs w:val="16"/>
          <w:b w:val="1"/>
          <w:bCs w:val="1"/>
          <w:color w:val="auto"/>
        </w:rPr>
        <w:t xml:space="preserve"> </w:t>
      </w:r>
      <w:r>
        <w:rPr>
          <w:rFonts w:ascii="Arial" w:cs="Arial" w:eastAsia="Arial" w:hAnsi="Arial"/>
          <w:sz w:val="16"/>
          <w:szCs w:val="16"/>
          <w:color w:val="auto"/>
        </w:rPr>
        <w:t>the entire agreement between you and the Company, and replaces all prior and contemporaneous communications, agreements, and understandings, whether written or oral, with respect to the subject matter described herein. No modification or amendment of this Agreement will be valid unless such modification or amendment is agreed to in writing and signed by you and by a duly authorized officer of the Company.</w:t>
      </w:r>
    </w:p>
    <w:p>
      <w:pPr>
        <w:spacing w:after="0" w:line="151" w:lineRule="exact"/>
        <w:rPr>
          <w:rFonts w:ascii="Arial" w:cs="Arial" w:eastAsia="Arial" w:hAnsi="Arial"/>
          <w:sz w:val="16"/>
          <w:szCs w:val="16"/>
          <w:color w:val="auto"/>
        </w:rPr>
      </w:pPr>
    </w:p>
    <w:p>
      <w:pPr>
        <w:ind w:left="652" w:right="520" w:hanging="652"/>
        <w:spacing w:after="0" w:line="282"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will be an original and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instrument.</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the page is intentionally left blank</w:t>
      </w:r>
      <w:r>
        <w:rPr>
          <w:rFonts w:ascii="Arial" w:cs="Arial" w:eastAsia="Arial" w:hAnsi="Arial"/>
          <w:sz w:val="18"/>
          <w:szCs w:val="18"/>
          <w:color w:val="auto"/>
        </w:rPr>
        <w:t>.]</w:t>
      </w:r>
    </w:p>
    <w:p>
      <w:pPr>
        <w:sectPr>
          <w:pgSz w:w="11900" w:h="16838" w:orient="portrait"/>
          <w:cols w:equalWidth="0" w:num="1">
            <w:col w:w="11392"/>
          </w:cols>
          <w:pgMar w:left="248" w:top="796" w:right="259" w:bottom="1440" w:gutter="0" w:footer="0" w:header="0"/>
          <w:type w:val="continuous"/>
        </w:sectPr>
      </w:pPr>
    </w:p>
    <w:bookmarkStart w:id="142" w:name="page143"/>
    <w:bookmarkEnd w:id="142"/>
    <w:p>
      <w:pPr>
        <w:spacing w:after="0" w:line="277" w:lineRule="auto"/>
        <w:rPr>
          <w:sz w:val="20"/>
          <w:szCs w:val="20"/>
          <w:color w:val="auto"/>
        </w:rPr>
      </w:pPr>
      <w:r>
        <w:rPr>
          <w:rFonts w:ascii="Arial" w:cs="Arial" w:eastAsia="Arial" w:hAnsi="Arial"/>
          <w:sz w:val="18"/>
          <w:szCs w:val="18"/>
          <w:color w:val="auto"/>
        </w:rPr>
        <w:t>You acknowledge that the Company provided you with this Agreement at least ten (10) business days before it was to be effective. You acknowledge that you have been and are hereby advised of your right to consult an attorney before signing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w:t>
      </w:r>
    </w:p>
    <w:p>
      <w:pPr>
        <w:spacing w:after="0" w:line="38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LANTHEUS MEDICAL IMAGING, INC.</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[Name]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[Name]</w:t>
      </w:r>
    </w:p>
    <w:p>
      <w:pPr>
        <w:sectPr>
          <w:pgSz w:w="11900" w:h="16838" w:orient="portrait"/>
          <w:cols w:equalWidth="0" w:num="1">
            <w:col w:w="11420"/>
          </w:cols>
          <w:pgMar w:left="240" w:top="58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10.71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Lantheus Medical Imaging,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 01862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Severance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sets forth the terms and conditions pursuant to which Lantheus Medical Imaging,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will pay you cash severance if your employment with the Company is terminated in a Qualifying Termination (as defined below).</w:t>
      </w:r>
    </w:p>
    <w:p>
      <w:pPr>
        <w:spacing w:after="0" w:line="35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Severance Payments.</w:t>
      </w:r>
    </w:p>
    <w:p>
      <w:pPr>
        <w:spacing w:after="0" w:line="225" w:lineRule="exact"/>
        <w:rPr>
          <w:rFonts w:ascii="Arial" w:cs="Arial" w:eastAsia="Arial" w:hAnsi="Arial"/>
          <w:sz w:val="18"/>
          <w:szCs w:val="18"/>
          <w:color w:val="auto"/>
        </w:rPr>
      </w:pPr>
    </w:p>
    <w:p>
      <w:pPr>
        <w:ind w:left="1300" w:right="360" w:hanging="644"/>
        <w:spacing w:after="0" w:line="347"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Non-Change in Control Severance. </w:t>
      </w:r>
      <w:r>
        <w:rPr>
          <w:rFonts w:ascii="Arial" w:cs="Arial" w:eastAsia="Arial" w:hAnsi="Arial"/>
          <w:sz w:val="16"/>
          <w:szCs w:val="16"/>
          <w:color w:val="auto"/>
        </w:rPr>
        <w:t>If your employment with the Company is terminated in a Qualifying Termination other than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twelve (12) months following a Change in Control, then, subject to terms and conditions of this Agreement, the Company will:</w:t>
      </w:r>
    </w:p>
    <w:p>
      <w:pPr>
        <w:spacing w:after="0" w:line="120" w:lineRule="exact"/>
        <w:rPr>
          <w:rFonts w:ascii="Arial" w:cs="Arial" w:eastAsia="Arial" w:hAnsi="Arial"/>
          <w:sz w:val="16"/>
          <w:szCs w:val="16"/>
          <w:color w:val="auto"/>
        </w:rPr>
      </w:pPr>
    </w:p>
    <w:p>
      <w:pPr>
        <w:ind w:left="1960" w:right="120" w:hanging="655"/>
        <w:spacing w:after="0" w:line="279" w:lineRule="auto"/>
        <w:tabs>
          <w:tab w:leader="none" w:pos="196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pay you an amount equal to the sum of (A) one times (1x) your annual base salary and (B) a pro rata portion of your target annual bonus (prorated based on the percentage of the fiscal year that shall have elapsed through the Separation Date), in each case, as in effect on the Separation Date (or, if a reduction in your annual base salary gave rise to Good Reason under this Agreement, as in effect immediately prior to such reduction) (the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1960" w:right="100" w:hanging="655"/>
        <w:spacing w:after="0" w:line="293" w:lineRule="auto"/>
        <w:tabs>
          <w:tab w:leader="none" w:pos="196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provided that you timely and properly elect to purchase continued healthcare coverage under COBRA, pay you a monthly amount equal to the employer portion of the monthly premiums paid under the Company’s group health plans as of the Separation Date, for the period ending on the earliest of (i) the one-year anniversary of the Separation Date, (ii) the date on which you become covered under another employer’s health plan and (iii) the expiration of the maximum COBRA continuation coverage period for which you are eligible under federal law. For the avoidance of doubt, you will be responsible for paying the applicable COBRA premiums directly to the Company’s COBRA administrator (the “</w:t>
      </w:r>
      <w:r>
        <w:rPr>
          <w:rFonts w:ascii="Arial" w:cs="Arial" w:eastAsia="Arial" w:hAnsi="Arial"/>
          <w:sz w:val="16"/>
          <w:szCs w:val="16"/>
          <w:b w:val="1"/>
          <w:bCs w:val="1"/>
          <w:i w:val="1"/>
          <w:iCs w:val="1"/>
          <w:color w:val="auto"/>
        </w:rPr>
        <w:t>COBRA Payment</w:t>
      </w:r>
      <w:r>
        <w:rPr>
          <w:rFonts w:ascii="Arial" w:cs="Arial" w:eastAsia="Arial" w:hAnsi="Arial"/>
          <w:sz w:val="16"/>
          <w:szCs w:val="16"/>
          <w:color w:val="auto"/>
        </w:rPr>
        <w:t>”).</w:t>
      </w:r>
    </w:p>
    <w:p>
      <w:pPr>
        <w:spacing w:after="0" w:line="16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Severance Payment and COBRA Payment (to the extent payable as described above) will be paid in substantially equal installments over a period of twelve (12) months following the Separation Date in accordance with the Company’s regular payroll practices, beginning on the Company’s first regular payroll date following the date that the Separation Agreement (as defined below) becomes fully effective and irrevocable (and the first installment will include all amounts that would have been paid on the regular payroll dates of the Company following the Separation Date prior to such date), except as described in Section 6 below.</w:t>
      </w:r>
    </w:p>
    <w:p>
      <w:pPr>
        <w:spacing w:after="0" w:line="184" w:lineRule="exact"/>
        <w:rPr>
          <w:sz w:val="20"/>
          <w:szCs w:val="20"/>
          <w:color w:val="auto"/>
        </w:rPr>
      </w:pPr>
    </w:p>
    <w:p>
      <w:pPr>
        <w:jc w:val="both"/>
        <w:ind w:left="1300" w:right="100" w:hanging="644"/>
        <w:spacing w:after="0" w:line="26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Severance. </w:t>
      </w:r>
      <w:r>
        <w:rPr>
          <w:rFonts w:ascii="Arial" w:cs="Arial" w:eastAsia="Arial" w:hAnsi="Arial"/>
          <w:sz w:val="18"/>
          <w:szCs w:val="18"/>
          <w:color w:val="auto"/>
        </w:rPr>
        <w:t>If your employment with the Company is terminated in a Qualifying Termination on or within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then, in lieu of the payments described in Section 1(a) above and subject to terms and conditions of this Agreement, the Company will provide you with the following benefits:</w:t>
      </w:r>
    </w:p>
    <w:p>
      <w:pPr>
        <w:spacing w:after="0" w:line="180" w:lineRule="exact"/>
        <w:rPr>
          <w:rFonts w:ascii="Arial" w:cs="Arial" w:eastAsia="Arial" w:hAnsi="Arial"/>
          <w:sz w:val="18"/>
          <w:szCs w:val="18"/>
          <w:color w:val="auto"/>
        </w:rPr>
      </w:pPr>
    </w:p>
    <w:p>
      <w:pPr>
        <w:ind w:left="1960" w:right="20" w:hanging="655"/>
        <w:spacing w:after="0" w:line="264" w:lineRule="auto"/>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pay you an amount equal to two times (2x) the sum of your annual base salary and target annual bonus, in each case, as in effect on the Separation Date (or, if a reduction in your annual base salary gave rise to Good Reason under this Agreement, as in effect immediately prior to such reduction);</w:t>
      </w:r>
    </w:p>
    <w:p>
      <w:pPr>
        <w:spacing w:after="0" w:line="181" w:lineRule="exact"/>
        <w:rPr>
          <w:rFonts w:ascii="Arial" w:cs="Arial" w:eastAsia="Arial" w:hAnsi="Arial"/>
          <w:sz w:val="18"/>
          <w:szCs w:val="18"/>
          <w:color w:val="auto"/>
        </w:rPr>
      </w:pPr>
    </w:p>
    <w:p>
      <w:pPr>
        <w:ind w:left="1960" w:right="100" w:hanging="655"/>
        <w:spacing w:after="0" w:line="264" w:lineRule="auto"/>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pay you an aggregate amount equal to the employer portion of the monthly premiums paid under the Company’s group health plans as of the Separation Date multiplied by twenty four (24) (the sum of (i) and (ii), “</w:t>
      </w:r>
      <w:r>
        <w:rPr>
          <w:rFonts w:ascii="Arial" w:cs="Arial" w:eastAsia="Arial" w:hAnsi="Arial"/>
          <w:sz w:val="18"/>
          <w:szCs w:val="18"/>
          <w:b w:val="1"/>
          <w:bCs w:val="1"/>
          <w:i w:val="1"/>
          <w:iCs w:val="1"/>
          <w:color w:val="auto"/>
        </w:rPr>
        <w:t>Change in Control Severance Payment</w:t>
      </w:r>
      <w:r>
        <w:rPr>
          <w:rFonts w:ascii="Arial" w:cs="Arial" w:eastAsia="Arial" w:hAnsi="Arial"/>
          <w:sz w:val="18"/>
          <w:szCs w:val="18"/>
          <w:color w:val="auto"/>
        </w:rPr>
        <w:t>”); and</w:t>
      </w:r>
    </w:p>
    <w:p>
      <w:pPr>
        <w:sectPr>
          <w:pgSz w:w="11900" w:h="16838" w:orient="portrait"/>
          <w:cols w:equalWidth="0" w:num="1">
            <w:col w:w="11420"/>
          </w:cols>
          <w:pgMar w:left="240" w:top="580" w:right="239" w:bottom="1440" w:gutter="0" w:footer="0" w:header="0"/>
        </w:sectPr>
      </w:pPr>
    </w:p>
    <w:bookmarkStart w:id="144" w:name="page145"/>
    <w:bookmarkEnd w:id="144"/>
    <w:p>
      <w:pPr>
        <w:ind w:left="1960" w:right="140" w:hanging="655"/>
        <w:spacing w:after="0" w:line="264" w:lineRule="auto"/>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stock options or other equity-based award that you hold on the Separation Date, to the extent then-unvested, shall vest in full, with performance-based awards vesting at target, and, in the case of stock options, shall remain exercisable as provided in the equity plan or award agreement under which they were granted.</w:t>
      </w:r>
    </w:p>
    <w:p>
      <w:pPr>
        <w:spacing w:after="0" w:line="181" w:lineRule="exact"/>
        <w:rPr>
          <w:sz w:val="20"/>
          <w:szCs w:val="20"/>
          <w:color w:val="auto"/>
        </w:rPr>
      </w:pPr>
    </w:p>
    <w:p>
      <w:pPr>
        <w:ind w:right="420"/>
        <w:spacing w:after="0" w:line="232" w:lineRule="auto"/>
        <w:rPr>
          <w:sz w:val="20"/>
          <w:szCs w:val="20"/>
          <w:color w:val="auto"/>
        </w:rPr>
      </w:pPr>
      <w:r>
        <w:rPr>
          <w:rFonts w:ascii="Arial" w:cs="Arial" w:eastAsia="Arial" w:hAnsi="Arial"/>
          <w:sz w:val="18"/>
          <w:szCs w:val="18"/>
          <w:color w:val="auto"/>
        </w:rPr>
        <w:t>The Change in Control Severance Payment will be paid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 except as described in Section 6 below, but in no event will be paid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year following the year in which the Separation Date occurs.</w:t>
      </w:r>
    </w:p>
    <w:p>
      <w:pPr>
        <w:spacing w:after="0" w:line="198" w:lineRule="exact"/>
        <w:rPr>
          <w:sz w:val="20"/>
          <w:szCs w:val="20"/>
          <w:color w:val="auto"/>
        </w:rPr>
      </w:pPr>
    </w:p>
    <w:p>
      <w:pPr>
        <w:ind w:left="1300" w:right="20" w:hanging="644"/>
        <w:spacing w:after="0" w:line="26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Death or Permanent Disability Severance</w:t>
      </w:r>
      <w:r>
        <w:rPr>
          <w:rFonts w:ascii="Arial" w:cs="Arial" w:eastAsia="Arial" w:hAnsi="Arial"/>
          <w:sz w:val="18"/>
          <w:szCs w:val="18"/>
          <w:color w:val="auto"/>
        </w:rPr>
        <w:t>. If your employment with the Company is terminated due to your death or by the Company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your Permanent Disability, then, in lieu of the payments described in Sections 1(a) or 1(b) above and subject to terms and conditions of this Agreement, the Company will provide you with the following benefits:</w:t>
      </w:r>
    </w:p>
    <w:p>
      <w:pPr>
        <w:spacing w:after="0" w:line="180" w:lineRule="exact"/>
        <w:rPr>
          <w:rFonts w:ascii="Arial" w:cs="Arial" w:eastAsia="Arial" w:hAnsi="Arial"/>
          <w:sz w:val="18"/>
          <w:szCs w:val="18"/>
          <w:color w:val="auto"/>
        </w:rPr>
      </w:pPr>
    </w:p>
    <w:p>
      <w:pPr>
        <w:ind w:left="1960" w:right="60" w:hanging="655"/>
        <w:spacing w:after="0" w:line="302" w:lineRule="auto"/>
        <w:tabs>
          <w:tab w:leader="none" w:pos="19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 pro rata portion of your target annual bonus for the year of termination, based on the percentage of the fiscal year that shall have elapsed through the Separation Date, payable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 (the “</w:t>
      </w:r>
      <w:r>
        <w:rPr>
          <w:rFonts w:ascii="Arial" w:cs="Arial" w:eastAsia="Arial" w:hAnsi="Arial"/>
          <w:sz w:val="16"/>
          <w:szCs w:val="16"/>
          <w:b w:val="1"/>
          <w:bCs w:val="1"/>
          <w:i w:val="1"/>
          <w:iCs w:val="1"/>
          <w:color w:val="auto"/>
        </w:rPr>
        <w:t>Death/Disability Payment</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purposes of this Agreement, the following terms shall have the following meanings:</w:t>
      </w:r>
    </w:p>
    <w:p>
      <w:pPr>
        <w:spacing w:after="0" w:line="229" w:lineRule="exact"/>
        <w:rPr>
          <w:rFonts w:ascii="Arial" w:cs="Arial" w:eastAsia="Arial" w:hAnsi="Arial"/>
          <w:sz w:val="18"/>
          <w:szCs w:val="18"/>
          <w:color w:val="auto"/>
        </w:rPr>
      </w:pPr>
    </w:p>
    <w:p>
      <w:pPr>
        <w:ind w:left="1960" w:right="320" w:hanging="655"/>
        <w:spacing w:after="0" w:line="277" w:lineRule="auto"/>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ascribed to such term in Rule 13d-3 under the Securities Exchange Act of 1934, as amended.</w:t>
      </w:r>
    </w:p>
    <w:p>
      <w:pPr>
        <w:spacing w:after="0" w:line="170" w:lineRule="exact"/>
        <w:rPr>
          <w:rFonts w:ascii="Arial" w:cs="Arial" w:eastAsia="Arial" w:hAnsi="Arial"/>
          <w:sz w:val="18"/>
          <w:szCs w:val="18"/>
          <w:color w:val="auto"/>
        </w:rPr>
      </w:pPr>
    </w:p>
    <w:p>
      <w:pPr>
        <w:ind w:left="1960" w:right="80" w:hanging="655"/>
        <w:spacing w:after="0" w:line="270" w:lineRule="auto"/>
        <w:tabs>
          <w:tab w:leader="none" w:pos="19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any of the following: (i) your material failure to perform your employment duties (other than as a consequence of any illness, accident or disability); (ii) your continued, willful failure to carry out any reasonable lawful direction of the Company; (iii) your material failure to comply with any of the applicable rules of the Company contained in its Employee Handbook or any other Company policy; (iv) your fraud, willful malfeasance, gross negligence or recklessness in the performance of your employment duties; (v) your willful failure to comply with any of the material terms of any agreement between you and the Company; (vi) your other serious willful misconduct which causes material injury to the Company or its reputation, including, but not limited to, willful or gross misconduct toward any of the Company’s other employees, or (vii) your conviction of a crime (or a pleading of guilt or nolo contendere), other than one which in the opinion of the board of directors of the Company does not affect your position as an employee of the Company.</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any of the following:</w:t>
      </w:r>
    </w:p>
    <w:p>
      <w:pPr>
        <w:spacing w:after="0" w:line="225" w:lineRule="exact"/>
        <w:rPr>
          <w:sz w:val="20"/>
          <w:szCs w:val="20"/>
          <w:color w:val="auto"/>
        </w:rPr>
      </w:pPr>
    </w:p>
    <w:p>
      <w:pPr>
        <w:ind w:left="2600" w:right="20" w:hanging="647"/>
        <w:spacing w:after="0" w:line="289" w:lineRule="auto"/>
        <w:tabs>
          <w:tab w:leader="none" w:pos="26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more than fifty percent (50%) of the combined voting power, excluding any Person who is the Beneficial Owner of fifty percent (50%) or more of the voting power on the date this Agreement is accepted and agreed to by you, of the then outstanding voting securities of the Company entitled to vote generally in the election of its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xml:space="preserve">”), including by way of merger, consolidation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definition, the following acquisitions shall not constitute a Change in Control: (i) any acquisition of Outstanding Company Voting Securities directly from the Company, including, without limitation, in a public offering of securities, or (ii) any acquisition of Outstanding Company Voting Securities by the Company or any of its Subsidiaries, including, without limitation, an acquisition by any employee benefit plan or related trust sponsored or maintained by the Company or any of its Subsidiaries.</w:t>
      </w:r>
    </w:p>
    <w:p>
      <w:pPr>
        <w:spacing w:after="0" w:line="166" w:lineRule="exact"/>
        <w:rPr>
          <w:rFonts w:ascii="Arial" w:cs="Arial" w:eastAsia="Arial" w:hAnsi="Arial"/>
          <w:sz w:val="16"/>
          <w:szCs w:val="16"/>
          <w:color w:val="auto"/>
        </w:rPr>
      </w:pPr>
    </w:p>
    <w:p>
      <w:pPr>
        <w:ind w:left="2600" w:hanging="647"/>
        <w:spacing w:after="0" w:line="264" w:lineRule="auto"/>
        <w:tabs>
          <w:tab w:leader="none" w:pos="2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to which the Company is a party or a sale or other disposition of all or substantially all of the assets of the Company or the line of business to which your employment principally relates (a “</w:t>
      </w:r>
      <w:r>
        <w:rPr>
          <w:rFonts w:ascii="Arial" w:cs="Arial" w:eastAsia="Arial" w:hAnsi="Arial"/>
          <w:sz w:val="18"/>
          <w:szCs w:val="18"/>
          <w:b w:val="1"/>
          <w:bCs w:val="1"/>
          <w:i w:val="1"/>
          <w:iCs w:val="1"/>
          <w:color w:val="auto"/>
        </w:rPr>
        <w:t>Business</w:t>
      </w:r>
    </w:p>
    <w:p>
      <w:pPr>
        <w:sectPr>
          <w:pgSz w:w="11900" w:h="16838" w:orient="portrait"/>
          <w:cols w:equalWidth="0" w:num="1">
            <w:col w:w="11420"/>
          </w:cols>
          <w:pgMar w:left="240" w:top="800" w:right="239" w:bottom="1440" w:gutter="0" w:footer="0" w:header="0"/>
        </w:sectPr>
      </w:pPr>
    </w:p>
    <w:bookmarkStart w:id="145" w:name="page146"/>
    <w:bookmarkEnd w:id="145"/>
    <w:p>
      <w:pPr>
        <w:ind w:left="2592" w:right="20"/>
        <w:spacing w:after="0" w:line="340" w:lineRule="auto"/>
        <w:rPr>
          <w:sz w:val="20"/>
          <w:szCs w:val="20"/>
          <w:color w:val="auto"/>
        </w:rPr>
      </w:pPr>
      <w:r>
        <w:rPr>
          <w:rFonts w:ascii="Arial" w:cs="Arial" w:eastAsia="Arial" w:hAnsi="Arial"/>
          <w:sz w:val="16"/>
          <w:szCs w:val="16"/>
          <w:b w:val="1"/>
          <w:bCs w:val="1"/>
          <w:i w:val="1"/>
          <w:iCs w:val="1"/>
          <w:color w:val="auto"/>
        </w:rPr>
        <w:t>Combination</w:t>
      </w:r>
      <w:r>
        <w:rPr>
          <w:rFonts w:ascii="Arial" w:cs="Arial" w:eastAsia="Arial" w:hAnsi="Arial"/>
          <w:sz w:val="16"/>
          <w:szCs w:val="16"/>
          <w:color w:val="auto"/>
        </w:rPr>
        <w:t>”), unless, following such Business Combination: (i) any Persons who were the Beneficial Owners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41"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Approval by the shareholders of the Company of a complete liquidation or dissolution of the Company.</w:t>
      </w:r>
    </w:p>
    <w:p>
      <w:pPr>
        <w:spacing w:after="0" w:line="225" w:lineRule="exact"/>
        <w:rPr>
          <w:sz w:val="20"/>
          <w:szCs w:val="20"/>
          <w:color w:val="auto"/>
        </w:rPr>
      </w:pPr>
    </w:p>
    <w:p>
      <w:pPr>
        <w:ind w:left="1952" w:hanging="655"/>
        <w:spacing w:after="0" w:line="289" w:lineRule="auto"/>
        <w:tabs>
          <w:tab w:leader="none" w:pos="1952" w:val="left"/>
        </w:tabs>
        <w:numPr>
          <w:ilvl w:val="2"/>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without your consent: (i) a material decrease in your base salary or failure to pay salary when due; (ii) a material diminution in your duties or responsibilities (provided however, that a mere change in your title or reporting relationship alone shall not constitute “Good Reason”); (iii) the failure of the Company to cause the transferee or successor to all or substantially all of the assets of the Company or line of business to which your employment principally relates to assume by operation of law or contractually the Company’s obligations hereunder; or (iv) the relocation of your principal work location to a location more than fifty (50) miles from its current location; provided, in each case, that (A) you provide written notice to the Company, setting forth in reasonable detail the event giving rise to Good Reason within thirty (30) days following the initial occurrence of such event, (B) such event is not cured by the Company within thirty (30) days following its receipt of such written notice, and (C) you actually terminate your employment not later than thirty (30) days following the expiration of such cure period.</w:t>
      </w:r>
    </w:p>
    <w:p>
      <w:pPr>
        <w:spacing w:after="0" w:line="166" w:lineRule="exact"/>
        <w:rPr>
          <w:rFonts w:ascii="Arial" w:cs="Arial" w:eastAsia="Arial" w:hAnsi="Arial"/>
          <w:sz w:val="16"/>
          <w:szCs w:val="16"/>
          <w:color w:val="auto"/>
        </w:rPr>
      </w:pPr>
    </w:p>
    <w:p>
      <w:pPr>
        <w:ind w:left="1952" w:right="360" w:hanging="655"/>
        <w:spacing w:after="0" w:line="302" w:lineRule="auto"/>
        <w:tabs>
          <w:tab w:leader="none" w:pos="1952" w:val="left"/>
        </w:tabs>
        <w:numPr>
          <w:ilvl w:val="2"/>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Permanent Disability</w:t>
      </w:r>
      <w:r>
        <w:rPr>
          <w:rFonts w:ascii="Arial" w:cs="Arial" w:eastAsia="Arial" w:hAnsi="Arial"/>
          <w:sz w:val="16"/>
          <w:szCs w:val="16"/>
          <w:color w:val="auto"/>
        </w:rPr>
        <w:t>” means your inability, because of mental or physical illness or incapacity, whether total or partial, to perform one or more of the material functions of your position with or without reasonable accommodation, for a period of: (i) ninety (90) consecutive calendar days or (ii) an aggregate of one hundred and twenty (120) days out of any consecutive twelve (12)-month period, and which entitles you to receive benefits under a disability plan provided by the Company.</w:t>
      </w:r>
    </w:p>
    <w:p>
      <w:pPr>
        <w:spacing w:after="0" w:line="154" w:lineRule="exact"/>
        <w:rPr>
          <w:rFonts w:ascii="Arial" w:cs="Arial" w:eastAsia="Arial" w:hAnsi="Arial"/>
          <w:sz w:val="16"/>
          <w:szCs w:val="16"/>
          <w:color w:val="auto"/>
        </w:rPr>
      </w:pPr>
    </w:p>
    <w:p>
      <w:pPr>
        <w:ind w:left="1952" w:right="100" w:hanging="655"/>
        <w:spacing w:after="0" w:line="277"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entity, or organization, including a government or political subdivision, department, or agency of a government.</w:t>
      </w:r>
    </w:p>
    <w:p>
      <w:pPr>
        <w:spacing w:after="0" w:line="170" w:lineRule="exact"/>
        <w:rPr>
          <w:rFonts w:ascii="Arial" w:cs="Arial" w:eastAsia="Arial" w:hAnsi="Arial"/>
          <w:sz w:val="18"/>
          <w:szCs w:val="18"/>
          <w:color w:val="auto"/>
        </w:rPr>
      </w:pPr>
    </w:p>
    <w:p>
      <w:pPr>
        <w:ind w:left="1952" w:right="140" w:hanging="655"/>
        <w:spacing w:after="0" w:line="264"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a termination of your employment by the Company without Cause or your resignation from the Company for Good Reason. “Qualifying Termination” does not include a termination of your employment due to your death or Permanent Disability.</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means the date your employment with the Company terminates.</w:t>
      </w:r>
    </w:p>
    <w:p>
      <w:pPr>
        <w:spacing w:after="0" w:line="225" w:lineRule="exact"/>
        <w:rPr>
          <w:rFonts w:ascii="Arial" w:cs="Arial" w:eastAsia="Arial" w:hAnsi="Arial"/>
          <w:sz w:val="18"/>
          <w:szCs w:val="18"/>
          <w:color w:val="auto"/>
        </w:rPr>
      </w:pPr>
    </w:p>
    <w:p>
      <w:pPr>
        <w:jc w:val="both"/>
        <w:ind w:left="1952" w:right="100" w:hanging="655"/>
        <w:spacing w:after="0" w:line="264"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 entity (whether or not a corporation) that is wholly or majority owned or controlled, directly or indirectly, by the Company or any other affiliate of the Company that is so designated, from time to time, by the Company, during the period of such affiliated status.</w:t>
      </w:r>
    </w:p>
    <w:p>
      <w:pPr>
        <w:spacing w:after="0" w:line="177" w:lineRule="exact"/>
        <w:rPr>
          <w:rFonts w:ascii="Arial" w:cs="Arial" w:eastAsia="Arial" w:hAnsi="Arial"/>
          <w:sz w:val="18"/>
          <w:szCs w:val="18"/>
          <w:color w:val="auto"/>
        </w:rPr>
      </w:pPr>
    </w:p>
    <w:p>
      <w:pPr>
        <w:ind w:left="652" w:hanging="652"/>
        <w:spacing w:after="0" w:line="287"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Conditions to Payment</w:t>
      </w:r>
      <w:r>
        <w:rPr>
          <w:rFonts w:ascii="Arial" w:cs="Arial" w:eastAsia="Arial" w:hAnsi="Arial"/>
          <w:sz w:val="16"/>
          <w:szCs w:val="16"/>
          <w:color w:val="auto"/>
        </w:rPr>
        <w:t>. Any obligation of the Company to pay you the Cash Severance Payment, the COBRA Payment, the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Severance Payment or the Death/Disability Payment is conditioned upon (i) your continued compliance with all confidentiality, non-solicitation, no-hire, non-disparagement, invention assignment, cooperation and other similar obligations to, and other restrictive covenants in favor of, the Company or any of its subsidiaries or affiliates to which you are currently obligated, as well as those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Restrictive Covenants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912" w:hanging="264"/>
        <w:spacing w:after="0"/>
        <w:tabs>
          <w:tab w:leader="none" w:pos="91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your (or your estate’s or legal representative’s, in the event of your death or Permanent</w:t>
      </w:r>
    </w:p>
    <w:p>
      <w:pPr>
        <w:sectPr>
          <w:pgSz w:w="11900" w:h="16838" w:orient="portrait"/>
          <w:cols w:equalWidth="0" w:num="1">
            <w:col w:w="11412"/>
          </w:cols>
          <w:pgMar w:left="248" w:top="827" w:right="239" w:bottom="1440" w:gutter="0" w:footer="0" w:header="0"/>
        </w:sectPr>
      </w:pPr>
    </w:p>
    <w:bookmarkStart w:id="146" w:name="page147"/>
    <w:bookmarkEnd w:id="146"/>
    <w:p>
      <w:pPr>
        <w:ind w:left="652" w:right="60"/>
        <w:spacing w:after="0" w:line="306" w:lineRule="auto"/>
        <w:rPr>
          <w:sz w:val="20"/>
          <w:szCs w:val="20"/>
          <w:color w:val="auto"/>
        </w:rPr>
      </w:pPr>
      <w:r>
        <w:rPr>
          <w:rFonts w:ascii="Arial" w:cs="Arial" w:eastAsia="Arial" w:hAnsi="Arial"/>
          <w:sz w:val="18"/>
          <w:szCs w:val="18"/>
          <w:color w:val="auto"/>
        </w:rPr>
        <w:t>Disability) execution and delivery to the Company of a separation agreement that includes a non-competition covenant that applies for one year following your termination of employment and general release and waiver in favor of the Company in a form reasonably acceptable to the Company (a “</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and such Separation Agreement becoming fully effective and irrevocable by the date specified therein, but in no event more than sixty (60) days following the Separation Date.</w:t>
      </w:r>
    </w:p>
    <w:p>
      <w:pPr>
        <w:spacing w:after="0" w:line="156" w:lineRule="exact"/>
        <w:rPr>
          <w:sz w:val="20"/>
          <w:szCs w:val="20"/>
          <w:color w:val="auto"/>
        </w:rPr>
      </w:pPr>
    </w:p>
    <w:p>
      <w:pPr>
        <w:ind w:left="652" w:right="100" w:hanging="652"/>
        <w:spacing w:after="0" w:line="266" w:lineRule="auto"/>
        <w:tabs>
          <w:tab w:leader="none" w:pos="6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 Other Severance Benefits</w:t>
      </w:r>
      <w:r>
        <w:rPr>
          <w:rFonts w:ascii="Arial" w:cs="Arial" w:eastAsia="Arial" w:hAnsi="Arial"/>
          <w:sz w:val="18"/>
          <w:szCs w:val="18"/>
          <w:color w:val="auto"/>
        </w:rPr>
        <w:t>. The payments provided by this Agreement are in lieu of any severance or similar payments or benefits that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entitled to upon termination of employment with the Company or any of its subsidiaries or affiliates, including, without limitation, under any severance policy of the Company or any of its subsidiaries or affiliates.</w:t>
      </w:r>
    </w:p>
    <w:p>
      <w:pPr>
        <w:spacing w:after="0" w:line="176" w:lineRule="exact"/>
        <w:rPr>
          <w:rFonts w:ascii="Arial" w:cs="Arial" w:eastAsia="Arial" w:hAnsi="Arial"/>
          <w:sz w:val="18"/>
          <w:szCs w:val="18"/>
          <w:color w:val="auto"/>
        </w:rPr>
      </w:pPr>
    </w:p>
    <w:p>
      <w:pPr>
        <w:ind w:left="652" w:right="600" w:hanging="652"/>
        <w:spacing w:after="0" w:line="282" w:lineRule="auto"/>
        <w:tabs>
          <w:tab w:leader="none" w:pos="6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withhold from all amounts payable under this Agreement any taxes or other amounts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 as determined by the Company in its sole discretion.</w:t>
      </w:r>
    </w:p>
    <w:p>
      <w:pPr>
        <w:spacing w:after="0" w:line="161" w:lineRule="exact"/>
        <w:rPr>
          <w:rFonts w:ascii="Arial" w:cs="Arial" w:eastAsia="Arial" w:hAnsi="Arial"/>
          <w:sz w:val="18"/>
          <w:szCs w:val="18"/>
          <w:color w:val="auto"/>
        </w:rPr>
      </w:pPr>
    </w:p>
    <w:p>
      <w:pPr>
        <w:ind w:left="652" w:hanging="652"/>
        <w:spacing w:after="0" w:line="266" w:lineRule="auto"/>
        <w:tabs>
          <w:tab w:leader="none" w:pos="6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Scope of Agreement</w:t>
      </w:r>
      <w:r>
        <w:rPr>
          <w:rFonts w:ascii="Arial" w:cs="Arial" w:eastAsia="Arial" w:hAnsi="Arial"/>
          <w:sz w:val="18"/>
          <w:szCs w:val="18"/>
          <w:color w:val="auto"/>
        </w:rPr>
        <w:t>. Nothing in this Agreement will be deemed to entitle you to continued employment with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or affiliates, limit the Company’s right to terminate your employment at any time for any reason or alter the at-will nature of your employment with the Company.</w:t>
      </w:r>
    </w:p>
    <w:p>
      <w:pPr>
        <w:spacing w:after="0" w:line="176" w:lineRule="exact"/>
        <w:rPr>
          <w:rFonts w:ascii="Arial" w:cs="Arial" w:eastAsia="Arial" w:hAnsi="Arial"/>
          <w:sz w:val="18"/>
          <w:szCs w:val="18"/>
          <w:color w:val="auto"/>
        </w:rPr>
      </w:pPr>
    </w:p>
    <w:p>
      <w:pPr>
        <w:ind w:left="652" w:right="60" w:hanging="652"/>
        <w:spacing w:after="0" w:line="285" w:lineRule="auto"/>
        <w:tabs>
          <w:tab w:leader="none" w:pos="652"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All amounts payable under this Agreement are intended to be exempt from, or comply with, the requirements of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required to comply with or be exempt from Section 409A, you will not be considered to have terminated employment with the Company for purposes of this Agreement, and no payment will be due to you under this Agreement, until you have incurred a “separation from service” from the Company within the meaning of Section 409A (after giving effect to the presumptions set forth therein). If you are determined to be a “specified employee” at the time of your separation from service then, to the extent necessary to prevent any accelerated or additional tax under Section 409A, payment of the amounts payable under this Agreement will be delayed until the earlier of (i) the date that is six months and one day following your separation from service or (ii) your death. Each amount paid to you pursuant to this Agreement shall be treated as a separate payment for purposes of Section 409A and the right to a series of installment payments under this Agreement shall be treated as the right to a series of separate payments. To the extent required to comply with Section 409A, if the period available to execute (and not revoke) the Separation Agreement spans two calendar years, the Cash Severance Payment, the COBRA Payment, the Change in Control Severance Payment or the Death/Disability Payment will be paid in the second calendar year. To the extent required to comply with Section 409A, a Change in Control will not be deemed to occur for purposes of this Agreement unless it is a “change in control event” as defined in Section 1.409A-3(i)(5)(i) of the Treasury Regulations, and if it is not a “change in control event,” payment of the severance described in Section 1(b) of this Agreement shall instead be paid as provided under Section 1(a) of this Agreement (unless the severance, or portion thereof, could be paid earlier without resulting in adverse tax consequences under Section 409A). Any reimbursement payable under this Agreement that is subject to Section 409A is subject to the following additional rules: (A) the amount of expenses eligible for reimbursement during any taxable year shall not affect the amount of expenses eligible for reimbursement in any other taxable year; (B) reimbursement of the expense shall be made, if at all, promptly, but not later than the end of the calendar year following the calendar year in which the expense was incurred, and (C) the right to reimbursement shall not be subject to liquidation or exchange for any other benefit. Notwithstanding the foregoing or anything to the contrary in this Agreement, neither the Company nor any other person will be liable to you by reason of any acceleration of income, or any additional tax (including any interest and penalties), asserted with respect to any of the payments under this Agreement, including by reason of the failure of this Agreement to satisfy the applicable requirements of Section 409A in form or in operation.</w:t>
      </w:r>
    </w:p>
    <w:p>
      <w:pPr>
        <w:spacing w:after="0" w:line="163" w:lineRule="exact"/>
        <w:rPr>
          <w:rFonts w:ascii="Arial" w:cs="Arial" w:eastAsia="Arial" w:hAnsi="Arial"/>
          <w:sz w:val="16"/>
          <w:szCs w:val="16"/>
          <w:color w:val="auto"/>
        </w:rPr>
      </w:pPr>
    </w:p>
    <w:p>
      <w:pPr>
        <w:ind w:left="652" w:right="160" w:hanging="652"/>
        <w:spacing w:after="0" w:line="271" w:lineRule="auto"/>
        <w:tabs>
          <w:tab w:leader="none" w:pos="652"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Section 280G</w:t>
      </w:r>
      <w:r>
        <w:rPr>
          <w:rFonts w:ascii="Arial" w:cs="Arial" w:eastAsia="Arial" w:hAnsi="Arial"/>
          <w:sz w:val="17"/>
          <w:szCs w:val="17"/>
          <w:color w:val="auto"/>
        </w:rPr>
        <w:t>. If all, or any portion, of the payments or benefits provided under this Agreement, either alone or together with any other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that you receive or are entitled to receive from the Company or any of its subsidiaries or affiliates, would constitute an “excess parachute payment” within the meaning of Section 280G of the Code, then, notwithstanding anything in this Agreement or any other agreement or plan to the contrary, you will be entitled to receive: (A) the amount of such payments or benefits, reduced such that no portion thereof shall fail to be tax deductible under Section 280G of the Code (the “</w:t>
      </w:r>
      <w:r>
        <w:rPr>
          <w:rFonts w:ascii="Arial" w:cs="Arial" w:eastAsia="Arial" w:hAnsi="Arial"/>
          <w:sz w:val="17"/>
          <w:szCs w:val="17"/>
          <w:b w:val="1"/>
          <w:bCs w:val="1"/>
          <w:i w:val="1"/>
          <w:iCs w:val="1"/>
          <w:color w:val="auto"/>
        </w:rPr>
        <w:t>Limited Amount</w:t>
      </w:r>
      <w:r>
        <w:rPr>
          <w:rFonts w:ascii="Arial" w:cs="Arial" w:eastAsia="Arial" w:hAnsi="Arial"/>
          <w:sz w:val="17"/>
          <w:szCs w:val="17"/>
          <w:color w:val="auto"/>
        </w:rPr>
        <w:t>”), or (B) if the amounts otherwise payable hereunder and under any other agreements and plans of the Company and its subsidiaries and affiliates (without regard to clause (A)), reduced by all taxes applicable thereto (including, for the avoidance of doubt, the excise tax imposed by Section 4999 of the Code) would be greater than the Limited Amount reduced by all taxes applicable thereto, the amounts otherwise payable hereunder and thereunder. All determinations under this Section 7 will be made by an accounting, consulting, or valuation firm selected, and paid for, by the Company.</w:t>
      </w:r>
    </w:p>
    <w:p>
      <w:pPr>
        <w:sectPr>
          <w:pgSz w:w="11900" w:h="16838" w:orient="portrait"/>
          <w:cols w:equalWidth="0" w:num="1">
            <w:col w:w="11412"/>
          </w:cols>
          <w:pgMar w:left="248" w:top="827" w:right="239" w:bottom="1440" w:gutter="0" w:footer="0" w:header="0"/>
        </w:sectPr>
      </w:pPr>
    </w:p>
    <w:bookmarkStart w:id="147" w:name="page148"/>
    <w:bookmarkEnd w:id="147"/>
    <w:p>
      <w:pPr>
        <w:ind w:left="652" w:hanging="652"/>
        <w:spacing w:after="0" w:line="273" w:lineRule="auto"/>
        <w:tabs>
          <w:tab w:leader="none" w:pos="652"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Assignment</w:t>
      </w:r>
      <w:r>
        <w:rPr>
          <w:rFonts w:ascii="Arial" w:cs="Arial" w:eastAsia="Arial" w:hAnsi="Arial"/>
          <w:sz w:val="17"/>
          <w:szCs w:val="17"/>
          <w:color w:val="auto"/>
        </w:rPr>
        <w:t>. Neither the Company nor you may assign any rights or obligations under this Agreement, by operation of law or otherwise,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consent of the other, except that the Company may assign its rights and obligations under this Agreement without your consent in the event that you are transferred to a position with any of the Company’s subsidiaries or affiliates, and the Company will assign its rights and obligations under this Agreement in the event of a reorganization, consolidation, or merger involving the Company or any of its subsidiaries or affiliates in which the Company is not the surviving entity, or a transfer of all or substantially all of the Company’s assets or line of business to which your employment principally relates. This Agreement shall inure to the benefit of and be binding upon you and the Company and your and its respective successors, executors, administrators, heirs and permitted assigns.</w:t>
      </w:r>
    </w:p>
    <w:p>
      <w:pPr>
        <w:spacing w:after="0" w:line="172" w:lineRule="exact"/>
        <w:rPr>
          <w:rFonts w:ascii="Arial" w:cs="Arial" w:eastAsia="Arial" w:hAnsi="Arial"/>
          <w:sz w:val="17"/>
          <w:szCs w:val="17"/>
          <w:color w:val="auto"/>
        </w:rPr>
      </w:pPr>
    </w:p>
    <w:p>
      <w:pPr>
        <w:ind w:left="652" w:right="100" w:hanging="652"/>
        <w:spacing w:after="0" w:line="258" w:lineRule="auto"/>
        <w:tabs>
          <w:tab w:leader="none" w:pos="65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Governing Law; Validity</w:t>
      </w:r>
      <w:r>
        <w:rPr>
          <w:rFonts w:ascii="Arial" w:cs="Arial" w:eastAsia="Arial" w:hAnsi="Arial"/>
          <w:sz w:val="18"/>
          <w:szCs w:val="18"/>
          <w:color w:val="auto"/>
        </w:rPr>
        <w:t>. The laws of the Commonwealth of Massachusetts will govern all questions concerning the relative rights of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other questions concerning the construction, validity and interpretation of this Agreement, without giving effect to any choice of law or conflict of law provision or rule that would cause the application of the laws of any jurisdiction. The invalidity or unenforceability of any provision of this Agreement will not affect the validity or enforceability of any other provisions of this Agreement, which other provisions will remain in full force and effect.</w:t>
      </w:r>
    </w:p>
    <w:p>
      <w:pPr>
        <w:spacing w:after="0" w:line="183" w:lineRule="exact"/>
        <w:rPr>
          <w:rFonts w:ascii="Arial" w:cs="Arial" w:eastAsia="Arial" w:hAnsi="Arial"/>
          <w:sz w:val="18"/>
          <w:szCs w:val="18"/>
          <w:color w:val="auto"/>
        </w:rPr>
      </w:pPr>
    </w:p>
    <w:p>
      <w:pPr>
        <w:ind w:left="652" w:right="60" w:hanging="652"/>
        <w:spacing w:after="0" w:line="256" w:lineRule="auto"/>
        <w:tabs>
          <w:tab w:leader="none" w:pos="65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Specific Performance</w:t>
      </w:r>
      <w:r>
        <w:rPr>
          <w:rFonts w:ascii="Arial" w:cs="Arial" w:eastAsia="Arial" w:hAnsi="Arial"/>
          <w:sz w:val="18"/>
          <w:szCs w:val="18"/>
          <w:color w:val="auto"/>
        </w:rPr>
        <w:t>. ·You acknowledge and agree that the Company’s remedies at law for a breach or threatened breach of any of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would be inadequate and the Company would suffer irreparable damages as a result of such breach or threatened breach. In recognition of this fact, you agree that, in the event of such a breach or threatened breach, in addition to any remedies at law, the Company, without posting any bond or proving damages,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187" w:lineRule="exact"/>
        <w:rPr>
          <w:rFonts w:ascii="Arial" w:cs="Arial" w:eastAsia="Arial" w:hAnsi="Arial"/>
          <w:sz w:val="18"/>
          <w:szCs w:val="18"/>
          <w:color w:val="auto"/>
        </w:rPr>
      </w:pPr>
    </w:p>
    <w:p>
      <w:pPr>
        <w:ind w:left="652" w:right="20" w:hanging="652"/>
        <w:spacing w:after="0" w:line="303" w:lineRule="auto"/>
        <w:tabs>
          <w:tab w:leader="none" w:pos="652"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For purposes of this Agreement, notices and all other communications provided for in the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ectPr>
          <w:pgSz w:w="11900" w:h="16838" w:orient="portrait"/>
          <w:cols w:equalWidth="0" w:num="1">
            <w:col w:w="11392"/>
          </w:cols>
          <w:pgMar w:left="248" w:top="796" w:right="259" w:bottom="1440" w:gutter="0" w:footer="0" w:header="0"/>
        </w:sectPr>
      </w:pPr>
    </w:p>
    <w:p>
      <w:pPr>
        <w:spacing w:after="0" w:line="15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Lantheus Medical Imaging,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331 Treble Cove Rd.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 Billerica, MA 01862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2012" w:space="360"/>
            <w:col w:w="9020"/>
          </w:cols>
          <w:pgMar w:left="248" w:top="796" w:right="259" w:bottom="1440" w:gutter="0" w:footer="0" w:header="0"/>
          <w:type w:val="continuous"/>
        </w:sectPr>
      </w:pPr>
    </w:p>
    <w:p>
      <w:pPr>
        <w:spacing w:after="0" w:line="34"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If to you:</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 your address on file with the Company</w:t>
      </w:r>
    </w:p>
    <w:p>
      <w:pPr>
        <w:spacing w:after="0" w:line="211" w:lineRule="exact"/>
        <w:rPr>
          <w:sz w:val="20"/>
          <w:szCs w:val="20"/>
          <w:color w:val="auto"/>
        </w:rPr>
      </w:pPr>
    </w:p>
    <w:p>
      <w:pPr>
        <w:sectPr>
          <w:pgSz w:w="11900" w:h="16838" w:orient="portrait"/>
          <w:cols w:equalWidth="0" w:num="2">
            <w:col w:w="1312" w:space="540"/>
            <w:col w:w="9540"/>
          </w:cols>
          <w:pgMar w:left="248" w:top="796" w:right="259" w:bottom="1440" w:gutter="0" w:footer="0" w:header="0"/>
          <w:type w:val="continuous"/>
        </w:sectPr>
      </w:pPr>
    </w:p>
    <w:p>
      <w:pPr>
        <w:spacing w:after="0" w:line="33" w:lineRule="exact"/>
        <w:rPr>
          <w:sz w:val="20"/>
          <w:szCs w:val="20"/>
          <w:color w:val="auto"/>
        </w:rPr>
      </w:pPr>
    </w:p>
    <w:p>
      <w:pPr>
        <w:ind w:left="652" w:right="20" w:hanging="652"/>
        <w:spacing w:after="0" w:line="261" w:lineRule="auto"/>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agreement (including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is the entire agreement between you and the Company, and replaces all prior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 communications, agreements, and understandings, whether written or oral, with respect to the subject matter described herein. No modification or amendment of this Agreement will be valid unless such modification or amendment is agreed to in writing and signed by you and by a duly authorized officer of the Company.</w:t>
      </w:r>
    </w:p>
    <w:p>
      <w:pPr>
        <w:spacing w:after="0" w:line="180" w:lineRule="exact"/>
        <w:rPr>
          <w:rFonts w:ascii="Arial" w:cs="Arial" w:eastAsia="Arial" w:hAnsi="Arial"/>
          <w:sz w:val="18"/>
          <w:szCs w:val="18"/>
          <w:color w:val="auto"/>
        </w:rPr>
      </w:pPr>
    </w:p>
    <w:p>
      <w:pPr>
        <w:ind w:left="652" w:right="520" w:hanging="652"/>
        <w:spacing w:after="0" w:line="282" w:lineRule="auto"/>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will be an original and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instrument.</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the page is intentionally left blank</w:t>
      </w:r>
      <w:r>
        <w:rPr>
          <w:rFonts w:ascii="Arial" w:cs="Arial" w:eastAsia="Arial" w:hAnsi="Arial"/>
          <w:sz w:val="18"/>
          <w:szCs w:val="18"/>
          <w:color w:val="auto"/>
        </w:rPr>
        <w:t>.]</w:t>
      </w:r>
    </w:p>
    <w:p>
      <w:pPr>
        <w:sectPr>
          <w:pgSz w:w="11900" w:h="16838" w:orient="portrait"/>
          <w:cols w:equalWidth="0" w:num="1">
            <w:col w:w="11392"/>
          </w:cols>
          <w:pgMar w:left="248" w:top="796" w:right="259" w:bottom="1440" w:gutter="0" w:footer="0" w:header="0"/>
          <w:type w:val="continuous"/>
        </w:sectPr>
      </w:pPr>
    </w:p>
    <w:bookmarkStart w:id="148" w:name="page149"/>
    <w:bookmarkEnd w:id="148"/>
    <w:p>
      <w:pPr>
        <w:spacing w:after="0" w:line="277" w:lineRule="auto"/>
        <w:rPr>
          <w:sz w:val="20"/>
          <w:szCs w:val="20"/>
          <w:color w:val="auto"/>
        </w:rPr>
      </w:pPr>
      <w:r>
        <w:rPr>
          <w:rFonts w:ascii="Arial" w:cs="Arial" w:eastAsia="Arial" w:hAnsi="Arial"/>
          <w:sz w:val="18"/>
          <w:szCs w:val="18"/>
          <w:color w:val="auto"/>
        </w:rPr>
        <w:t>You acknowledge that the Company provided you with this Agreement at least ten (10) business days before it was to be effective. You acknowledge that you have been and are hereby advised of your right to consult an attorney before signing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w:t>
      </w:r>
    </w:p>
    <w:p>
      <w:pPr>
        <w:spacing w:after="0" w:line="38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LANTHEUS MEDICAL IMAGING, INC.</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[Name]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[Name]</w:t>
      </w:r>
    </w:p>
    <w:p>
      <w:pPr>
        <w:sectPr>
          <w:pgSz w:w="11900" w:h="16838" w:orient="portrait"/>
          <w:cols w:equalWidth="0" w:num="1">
            <w:col w:w="11420"/>
          </w:cols>
          <w:pgMar w:left="240" w:top="584"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 acknowledge and recognize (i) the highly competitive nature of the businesses of the Company and its affiliates, (ii) the Company’s and its affiliates’ relationships with their actual and prospective customers, strategic or otherwise critical suppliers and service providers, licensors, licensees and other business partners (each, a “</w:t>
      </w:r>
      <w:r>
        <w:rPr>
          <w:rFonts w:ascii="Arial" w:cs="Arial" w:eastAsia="Arial" w:hAnsi="Arial"/>
          <w:sz w:val="16"/>
          <w:szCs w:val="16"/>
          <w:b w:val="1"/>
          <w:bCs w:val="1"/>
          <w:color w:val="auto"/>
        </w:rPr>
        <w:t>Business Partner</w:t>
      </w:r>
      <w:r>
        <w:rPr>
          <w:rFonts w:ascii="Arial" w:cs="Arial" w:eastAsia="Arial" w:hAnsi="Arial"/>
          <w:sz w:val="16"/>
          <w:szCs w:val="16"/>
          <w:color w:val="auto"/>
        </w:rPr>
        <w:t>”) are of great competitive and strategic value, (iii) the Company and its affiliates have invested, and continue to invest, substantial resources in developing and preserving those Business Partner relationships and goodwill, (iv) the loss of any Business Partner relationship or goodwill will cause significant and irreparable harm to the Company and its affiliates and, (v) during the course of your employment with the Company, (A) you will be in a position of trust and confidence with the Company and its affiliates, (B) as such, you will have access to, and/or participate substantively in, communications, discussions, meetings, deliberations, decisions and/or other activities relating to Business Partner relationships, (C) you will have access to other confidential information of the Company and its affiliates, including their trade secrets, and (D) you will benefit from the goodwill of the Company and its affiliates. In consideration of the circumstances described above and as a condition of your employment by the Company, the severance pay and benefits set forth in the Agreement and other good and valuable consideration, the receipt and sufficiency of which you acknowledge, you hereby acknowledge and agree that you will be bound by the provisions set forth below (collectively, the “</w:t>
      </w:r>
      <w:r>
        <w:rPr>
          <w:rFonts w:ascii="Arial" w:cs="Arial" w:eastAsia="Arial" w:hAnsi="Arial"/>
          <w:sz w:val="16"/>
          <w:szCs w:val="16"/>
          <w:b w:val="1"/>
          <w:bCs w:val="1"/>
          <w:color w:val="auto"/>
        </w:rPr>
        <w:t>On-Going Obligations</w:t>
      </w:r>
      <w:r>
        <w:rPr>
          <w:rFonts w:ascii="Arial" w:cs="Arial" w:eastAsia="Arial" w:hAnsi="Arial"/>
          <w:sz w:val="16"/>
          <w:szCs w:val="16"/>
          <w:color w:val="auto"/>
        </w:rPr>
        <w:t>”):</w:t>
      </w:r>
    </w:p>
    <w:p>
      <w:pPr>
        <w:spacing w:after="0" w:line="173"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Non-Solicitation and Non-Compete.</w:t>
      </w:r>
    </w:p>
    <w:p>
      <w:pPr>
        <w:spacing w:after="0" w:line="225" w:lineRule="exact"/>
        <w:rPr>
          <w:rFonts w:ascii="Arial" w:cs="Arial" w:eastAsia="Arial" w:hAnsi="Arial"/>
          <w:sz w:val="18"/>
          <w:szCs w:val="18"/>
          <w:color w:val="auto"/>
        </w:rPr>
      </w:pPr>
    </w:p>
    <w:p>
      <w:pPr>
        <w:ind w:left="1300" w:right="40" w:hanging="644"/>
        <w:spacing w:after="0" w:line="276" w:lineRule="auto"/>
        <w:tabs>
          <w:tab w:leader="none" w:pos="13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During your employment with the Company and for a period of one year following the date on which you cease to be employed by the Company (the “</w:t>
      </w:r>
      <w:r>
        <w:rPr>
          <w:rFonts w:ascii="Arial" w:cs="Arial" w:eastAsia="Arial" w:hAnsi="Arial"/>
          <w:sz w:val="17"/>
          <w:szCs w:val="17"/>
          <w:b w:val="1"/>
          <w:bCs w:val="1"/>
          <w:color w:val="auto"/>
        </w:rPr>
        <w:t>Non-Solicitation Period</w:t>
      </w:r>
      <w:r>
        <w:rPr>
          <w:rFonts w:ascii="Arial" w:cs="Arial" w:eastAsia="Arial" w:hAnsi="Arial"/>
          <w:sz w:val="17"/>
          <w:szCs w:val="17"/>
          <w:color w:val="auto"/>
        </w:rPr>
        <w:t>”), you will not, whether on your own behalf or on behalf of or in conjunction with any person, firm, partnership, joint venture, association, corporation or other business organization, entity or enterprise whatsoever (“</w:t>
      </w:r>
      <w:r>
        <w:rPr>
          <w:rFonts w:ascii="Arial" w:cs="Arial" w:eastAsia="Arial" w:hAnsi="Arial"/>
          <w:sz w:val="17"/>
          <w:szCs w:val="17"/>
          <w:b w:val="1"/>
          <w:bCs w:val="1"/>
          <w:color w:val="auto"/>
        </w:rPr>
        <w:t>Person</w:t>
      </w:r>
      <w:r>
        <w:rPr>
          <w:rFonts w:ascii="Arial" w:cs="Arial" w:eastAsia="Arial" w:hAnsi="Arial"/>
          <w:sz w:val="17"/>
          <w:szCs w:val="17"/>
          <w:color w:val="auto"/>
        </w:rPr>
        <w:t>”), directly or indirectly solicit or assist in soliciting for purposes of offering or accepting goods or services similar to or competitive with those offered by or to the Company or any of its affiliates, to or from any of the Company’s or any of its affiliates’ Business Partners:</w:t>
      </w:r>
    </w:p>
    <w:p>
      <w:pPr>
        <w:spacing w:after="0" w:line="172" w:lineRule="exact"/>
        <w:rPr>
          <w:rFonts w:ascii="Arial" w:cs="Arial" w:eastAsia="Arial" w:hAnsi="Arial"/>
          <w:sz w:val="17"/>
          <w:szCs w:val="17"/>
          <w:color w:val="auto"/>
        </w:rPr>
      </w:pPr>
    </w:p>
    <w:p>
      <w:pPr>
        <w:ind w:left="1960" w:right="60" w:hanging="655"/>
        <w:spacing w:after="0" w:line="277" w:lineRule="auto"/>
        <w:tabs>
          <w:tab w:leader="none" w:pos="19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with whom you or any employee reporting directly or indirectly to you had personal contact or dealings on behalf of the Company during the two years preceding your termination of employment;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for whom you had direct or indirect responsibility during the two years immediately preceding your termination of employment.</w:t>
      </w:r>
    </w:p>
    <w:p>
      <w:pPr>
        <w:spacing w:after="0" w:line="236" w:lineRule="exact"/>
        <w:rPr>
          <w:rFonts w:ascii="Arial" w:cs="Arial" w:eastAsia="Arial" w:hAnsi="Arial"/>
          <w:sz w:val="17"/>
          <w:szCs w:val="17"/>
          <w:color w:val="auto"/>
        </w:rPr>
      </w:pPr>
    </w:p>
    <w:p>
      <w:pPr>
        <w:ind w:left="1300" w:right="60" w:hanging="644"/>
        <w:spacing w:after="0" w:line="277"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During the Non-Solicitation Period, you will not, whether on your own behalf or on behalf of or in conjunction with any Person, directly or indirectly:</w:t>
      </w:r>
    </w:p>
    <w:p>
      <w:pPr>
        <w:spacing w:after="0" w:line="170" w:lineRule="exact"/>
        <w:rPr>
          <w:rFonts w:ascii="Arial" w:cs="Arial" w:eastAsia="Arial" w:hAnsi="Arial"/>
          <w:sz w:val="18"/>
          <w:szCs w:val="18"/>
          <w:color w:val="auto"/>
        </w:rPr>
      </w:pPr>
    </w:p>
    <w:p>
      <w:pPr>
        <w:ind w:left="1960" w:right="280" w:hanging="655"/>
        <w:spacing w:after="0" w:line="277" w:lineRule="auto"/>
        <w:tabs>
          <w:tab w:leader="none" w:pos="19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solicit or encourage any employee or contractor of the Company or its affiliates to leave the employment of, or cease providing services to, the Company or its affiliates; or</w:t>
      </w:r>
    </w:p>
    <w:p>
      <w:pPr>
        <w:spacing w:after="0" w:line="170" w:lineRule="exact"/>
        <w:rPr>
          <w:rFonts w:ascii="Arial" w:cs="Arial" w:eastAsia="Arial" w:hAnsi="Arial"/>
          <w:sz w:val="18"/>
          <w:szCs w:val="18"/>
          <w:color w:val="auto"/>
        </w:rPr>
      </w:pPr>
    </w:p>
    <w:p>
      <w:pPr>
        <w:ind w:left="1960" w:hanging="655"/>
        <w:spacing w:after="0" w:line="312" w:lineRule="auto"/>
        <w:tabs>
          <w:tab w:leader="none" w:pos="196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hire any such employee or contractor who was employed by or providing services to the Company or its affiliates as of the date of your termination of employment with the Company or who left the employment of or ceased providing services to the Company or its affiliates coincident with, or within one year prior to or after, the termination of your employment with the Company.</w:t>
      </w:r>
    </w:p>
    <w:p>
      <w:pPr>
        <w:spacing w:after="0" w:line="142" w:lineRule="exact"/>
        <w:rPr>
          <w:rFonts w:ascii="Arial" w:cs="Arial" w:eastAsia="Arial" w:hAnsi="Arial"/>
          <w:sz w:val="16"/>
          <w:szCs w:val="16"/>
          <w:color w:val="auto"/>
        </w:rPr>
      </w:pPr>
    </w:p>
    <w:p>
      <w:pPr>
        <w:ind w:left="1300" w:hanging="644"/>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During your employment with the Company (the “</w:t>
      </w:r>
      <w:r>
        <w:rPr>
          <w:rFonts w:ascii="Arial" w:cs="Arial" w:eastAsia="Arial" w:hAnsi="Arial"/>
          <w:sz w:val="18"/>
          <w:szCs w:val="18"/>
          <w:b w:val="1"/>
          <w:bCs w:val="1"/>
          <w:color w:val="auto"/>
        </w:rPr>
        <w:t>Non-Competition Period</w:t>
      </w:r>
      <w:r>
        <w:rPr>
          <w:rFonts w:ascii="Arial" w:cs="Arial" w:eastAsia="Arial" w:hAnsi="Arial"/>
          <w:sz w:val="18"/>
          <w:szCs w:val="18"/>
          <w:color w:val="auto"/>
        </w:rPr>
        <w:t>”), you will not, directly or indirectly:</w:t>
      </w:r>
    </w:p>
    <w:p>
      <w:pPr>
        <w:spacing w:after="0" w:line="229" w:lineRule="exact"/>
        <w:rPr>
          <w:rFonts w:ascii="Arial" w:cs="Arial" w:eastAsia="Arial" w:hAnsi="Arial"/>
          <w:sz w:val="18"/>
          <w:szCs w:val="18"/>
          <w:color w:val="auto"/>
        </w:rPr>
      </w:pPr>
    </w:p>
    <w:p>
      <w:pPr>
        <w:ind w:left="1960" w:right="20" w:hanging="655"/>
        <w:spacing w:after="0" w:line="270" w:lineRule="auto"/>
        <w:tabs>
          <w:tab w:leader="none" w:pos="196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 xml:space="preserve">engage in or undertake any planning to engage in any business that competes with the business or businesses of the Company or any of its affiliates, namely in the testing, development and manufacturing services for the development, manufacture, distribution, marketing or sale of radiopharmaceutical products, contrast imaging agents and/or radioactive generators for the global medical and pharmaceutical industries (or any businesses which the Company or its affiliates has specific plans to conduct in the future and as to which you are aware of such planning) (each, a </w:t>
      </w:r>
      <w:r>
        <w:rPr>
          <w:rFonts w:ascii="Arial" w:cs="Arial" w:eastAsia="Arial" w:hAnsi="Arial"/>
          <w:sz w:val="17"/>
          <w:szCs w:val="17"/>
          <w:b w:val="1"/>
          <w:bCs w:val="1"/>
          <w:color w:val="auto"/>
        </w:rPr>
        <w:t>“Competitive Business</w:t>
      </w:r>
      <w:r>
        <w:rPr>
          <w:rFonts w:ascii="Arial" w:cs="Arial" w:eastAsia="Arial" w:hAnsi="Arial"/>
          <w:sz w:val="17"/>
          <w:szCs w:val="17"/>
          <w:color w:val="auto"/>
        </w:rPr>
        <w:t>”), including any of the services that you provided to the Company or its affiliates at any time (collectively, the “</w:t>
      </w:r>
      <w:r>
        <w:rPr>
          <w:rFonts w:ascii="Arial" w:cs="Arial" w:eastAsia="Arial" w:hAnsi="Arial"/>
          <w:sz w:val="17"/>
          <w:szCs w:val="17"/>
          <w:b w:val="1"/>
          <w:bCs w:val="1"/>
          <w:color w:val="auto"/>
        </w:rPr>
        <w:t>Restricted Services</w:t>
      </w:r>
      <w:r>
        <w:rPr>
          <w:rFonts w:ascii="Arial" w:cs="Arial" w:eastAsia="Arial" w:hAnsi="Arial"/>
          <w:sz w:val="17"/>
          <w:szCs w:val="17"/>
          <w:color w:val="auto"/>
        </w:rPr>
        <w:t>”), in each case, in any geographic area in which the Company or any of its affiliates does business (or has specific plans to conduct business in the future and as to which you are aware of such planning) or in any geographic area in which you at any time provided services or had a material presence or influence (collectively, the “</w:t>
      </w:r>
      <w:r>
        <w:rPr>
          <w:rFonts w:ascii="Arial" w:cs="Arial" w:eastAsia="Arial" w:hAnsi="Arial"/>
          <w:sz w:val="17"/>
          <w:szCs w:val="17"/>
          <w:b w:val="1"/>
          <w:bCs w:val="1"/>
          <w:color w:val="auto"/>
        </w:rPr>
        <w:t>Restricted Geography</w:t>
      </w:r>
      <w:r>
        <w:rPr>
          <w:rFonts w:ascii="Arial" w:cs="Arial" w:eastAsia="Arial" w:hAnsi="Arial"/>
          <w:sz w:val="17"/>
          <w:szCs w:val="17"/>
          <w:color w:val="auto"/>
        </w:rPr>
        <w:t>”); or</w:t>
      </w:r>
    </w:p>
    <w:p>
      <w:pPr>
        <w:sectPr>
          <w:pgSz w:w="11900" w:h="16838" w:orient="portrait"/>
          <w:cols w:equalWidth="0" w:num="1">
            <w:col w:w="11400"/>
          </w:cols>
          <w:pgMar w:left="240" w:top="584" w:right="259" w:bottom="1440" w:gutter="0" w:footer="0" w:header="0"/>
        </w:sectPr>
      </w:pPr>
    </w:p>
    <w:bookmarkStart w:id="150" w:name="page151"/>
    <w:bookmarkEnd w:id="150"/>
    <w:p>
      <w:pPr>
        <w:ind w:left="1952" w:right="160" w:hanging="655"/>
        <w:spacing w:after="0" w:line="264" w:lineRule="auto"/>
        <w:tabs>
          <w:tab w:leader="none" w:pos="195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render any of the Restricted Services to any Person (or any division or controlled or controlling affiliate of any Person) who or which engages in a Competitive Business in the Restricted Geography, whether directly or indirectly, as an employee, contractor, individual, partner, shareholder, officer, director, principal, agent, trustee or consultant.</w:t>
      </w:r>
    </w:p>
    <w:p>
      <w:pPr>
        <w:spacing w:after="0" w:line="181" w:lineRule="exact"/>
        <w:rPr>
          <w:rFonts w:ascii="Arial" w:cs="Arial" w:eastAsia="Arial" w:hAnsi="Arial"/>
          <w:sz w:val="18"/>
          <w:szCs w:val="18"/>
          <w:color w:val="auto"/>
        </w:rPr>
      </w:pPr>
    </w:p>
    <w:p>
      <w:pPr>
        <w:ind w:left="1292" w:right="60" w:hanging="644"/>
        <w:spacing w:after="0" w:line="259" w:lineRule="auto"/>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you may, directly or indirectly, own, solely as an investment, securities of any Person engaged in the business of the Company or its affiliates which are publicly traded on a national or regional stock exchange or on the over-the-counter market if you (i) are not a controlling person of, or a member of a group which controls, such Person and (ii) does not, directly or indirectly, own 5% or more of any class of securities of such Person.</w:t>
      </w:r>
    </w:p>
    <w:p>
      <w:pPr>
        <w:spacing w:after="0" w:line="186" w:lineRule="exact"/>
        <w:rPr>
          <w:rFonts w:ascii="Arial" w:cs="Arial" w:eastAsia="Arial" w:hAnsi="Arial"/>
          <w:sz w:val="18"/>
          <w:szCs w:val="18"/>
          <w:color w:val="auto"/>
        </w:rPr>
      </w:pPr>
    </w:p>
    <w:p>
      <w:pPr>
        <w:ind w:left="1292" w:right="320" w:hanging="644"/>
        <w:spacing w:after="0" w:line="272" w:lineRule="auto"/>
        <w:tabs>
          <w:tab w:leader="none" w:pos="129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It is expressly understood and agreed that although you and the Company consider the restrictions contained in this Section 1 to be reasonable, if a final judicial determination is made by a court of competent jurisdiction that the time or territory or any other restriction contained in this Agreement is an unenforceable restriction against you,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provisions contained herein.</w:t>
      </w:r>
    </w:p>
    <w:p>
      <w:pPr>
        <w:spacing w:after="0" w:line="177" w:lineRule="exact"/>
        <w:rPr>
          <w:rFonts w:ascii="Arial" w:cs="Arial" w:eastAsia="Arial" w:hAnsi="Arial"/>
          <w:sz w:val="17"/>
          <w:szCs w:val="17"/>
          <w:color w:val="auto"/>
        </w:rPr>
      </w:pPr>
    </w:p>
    <w:p>
      <w:pPr>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provisions of this Section 1 shall survive the termination of this Agreement and your employment for any reason.</w:t>
      </w:r>
    </w:p>
    <w:p>
      <w:pPr>
        <w:spacing w:after="0" w:line="225" w:lineRule="exact"/>
        <w:rPr>
          <w:rFonts w:ascii="Arial" w:cs="Arial" w:eastAsia="Arial" w:hAnsi="Arial"/>
          <w:sz w:val="18"/>
          <w:szCs w:val="18"/>
          <w:color w:val="auto"/>
        </w:rPr>
      </w:pPr>
    </w:p>
    <w:p>
      <w:pPr>
        <w:ind w:left="652" w:right="160" w:hanging="652"/>
        <w:spacing w:after="0" w:line="257" w:lineRule="auto"/>
        <w:tabs>
          <w:tab w:leader="none" w:pos="65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Subject to Section 3(a)(iii), neither you nor the Company will at any time (whether during or after your employment with the Company) make, publish or communicate to any person or entity or in any public forum any defamatory, maliciously false or disparaging remarks, comments, or statements concerning the other party, except for truthful statements that may be made pursuant to legal process, including without limitation in litigation, arbitration or similar dispute resolution proceedings. This Section 2 will survive the termination of the Agreement and your employment for any reason.</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52" w:hanging="655"/>
        <w:spacing w:after="0" w:line="270" w:lineRule="auto"/>
        <w:tabs>
          <w:tab w:leader="none" w:pos="1952" w:val="left"/>
        </w:tabs>
        <w:numPr>
          <w:ilvl w:val="2"/>
          <w:numId w:val="125"/>
        </w:numPr>
        <w:rPr>
          <w:rFonts w:ascii="Arial" w:cs="Arial" w:eastAsia="Arial" w:hAnsi="Arial"/>
          <w:sz w:val="17"/>
          <w:szCs w:val="17"/>
          <w:color w:val="auto"/>
        </w:rPr>
      </w:pPr>
      <w:r>
        <w:rPr>
          <w:rFonts w:ascii="Arial" w:cs="Arial" w:eastAsia="Arial" w:hAnsi="Arial"/>
          <w:sz w:val="17"/>
          <w:szCs w:val="17"/>
          <w:color w:val="auto"/>
        </w:rPr>
        <w:t>You will not at any time (whether during or after your employment with the Company) (x) retain or use for the benefit, purposes or account of you or any other Person; or (y) disclose, divulge, reveal, communicate, share, transfer or provide access to any Person outside the Company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on a confidential basis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without the prior written authorization of the Board.</w:t>
      </w:r>
    </w:p>
    <w:p>
      <w:pPr>
        <w:spacing w:after="0" w:line="178" w:lineRule="exact"/>
        <w:rPr>
          <w:sz w:val="20"/>
          <w:szCs w:val="20"/>
          <w:color w:val="auto"/>
        </w:rPr>
      </w:pPr>
    </w:p>
    <w:p>
      <w:pPr>
        <w:ind w:left="1952" w:right="60" w:hanging="655"/>
        <w:spacing w:after="0" w:line="297" w:lineRule="auto"/>
        <w:tabs>
          <w:tab w:leader="none" w:pos="19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Confidential Information shall not include any information that is (A) generally known to the industry or the public other than as a result of your breach of this covenant or any breach of other confidentiality obligations by third parties; (B) made legitimately available to you by a third party without breach of any confidentiality obligation; or (C) required by law, regulation or legal process to be disclosed; provided that you will give prompt written notice to the Company of such requirement, disclose no more information than is so required, and cooperate with any attempts by the Company to obtain a protective order or similar treatment.</w:t>
      </w:r>
    </w:p>
    <w:p>
      <w:pPr>
        <w:spacing w:after="0" w:line="158" w:lineRule="exact"/>
        <w:rPr>
          <w:rFonts w:ascii="Arial" w:cs="Arial" w:eastAsia="Arial" w:hAnsi="Arial"/>
          <w:sz w:val="16"/>
          <w:szCs w:val="16"/>
          <w:color w:val="auto"/>
        </w:rPr>
      </w:pPr>
    </w:p>
    <w:p>
      <w:pPr>
        <w:ind w:left="1952" w:right="440" w:hanging="655"/>
        <w:spacing w:after="0" w:line="277"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Nothing in this Agreement limits, restricts or in any other way affects your communicating with any governmental agency or entity, or communicating with any official or staff person of a governmental</w:t>
      </w:r>
    </w:p>
    <w:p>
      <w:pPr>
        <w:sectPr>
          <w:pgSz w:w="11900" w:h="16838" w:orient="portrait"/>
          <w:cols w:equalWidth="0" w:num="1">
            <w:col w:w="11392"/>
          </w:cols>
          <w:pgMar w:left="248" w:top="800" w:right="259" w:bottom="1440" w:gutter="0" w:footer="0" w:header="0"/>
        </w:sectPr>
      </w:pPr>
    </w:p>
    <w:bookmarkStart w:id="151" w:name="page152"/>
    <w:bookmarkEnd w:id="151"/>
    <w:p>
      <w:pPr>
        <w:ind w:left="1304"/>
        <w:spacing w:after="0" w:line="340" w:lineRule="auto"/>
        <w:rPr>
          <w:sz w:val="20"/>
          <w:szCs w:val="20"/>
          <w:color w:val="auto"/>
        </w:rPr>
      </w:pPr>
      <w:r>
        <w:rPr>
          <w:rFonts w:ascii="Arial" w:cs="Arial" w:eastAsia="Arial" w:hAnsi="Arial"/>
          <w:sz w:val="16"/>
          <w:szCs w:val="16"/>
          <w:color w:val="auto"/>
        </w:rPr>
        <w:t>agency or entity, concerning matters relevant to the governmental agency or entity or requires you to furnish prior notice to the Company of the same. You are hereby advised and acknowledge that you understand that you cannot be held criminally or civilly liable under any federal or state trade secret law for disclosing a trade secret (a) in confidence to a federal, state, or local government official, either directly or indirectly, or to an attorney, solely for the purpose of reporting or investigating a suspected violation of law, or (b) in a complaint or other document filed under seal in a lawsuit or other proceeding. Notwithstanding this immunity from liability, you are hereby advised and acknowledge that you understand that you may be held liable if you unlawfully access trade secrets by unauthorized means. Nothing in this Agreement limits, restricts, impedes or in any other way affects your ability to exercise any protected rights to the extent that such rights cannot be waived by agreement or to comply with any applicable law or regulation or a valid order of a court of competent jurisdiction or an authorized government agency, provided that you will give prompt written notice to the Company of such requirement, disclose no more information than is so required, and cooperate with any attempts by the Company to obtain a protective order or similar treatment.</w:t>
      </w:r>
    </w:p>
    <w:p>
      <w:pPr>
        <w:spacing w:after="0" w:line="145" w:lineRule="exact"/>
        <w:rPr>
          <w:sz w:val="20"/>
          <w:szCs w:val="20"/>
          <w:color w:val="auto"/>
        </w:rPr>
      </w:pPr>
    </w:p>
    <w:p>
      <w:pPr>
        <w:ind w:left="1304" w:right="220" w:hanging="655"/>
        <w:spacing w:after="0" w:line="286" w:lineRule="auto"/>
        <w:tabs>
          <w:tab w:leader="none" w:pos="130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Except as required by law, you will not disclose to anyone, other than your immediate family and legal or financial advisors, the existence or contents of this Agreement; provided that you may disclose to any prospective future employer the provisions of Sections 1, 2 and 3 of this Agreement provided they agree to maintain the confidentiality of such terms.</w:t>
      </w:r>
    </w:p>
    <w:p>
      <w:pPr>
        <w:spacing w:after="0" w:line="165" w:lineRule="exact"/>
        <w:rPr>
          <w:rFonts w:ascii="Arial" w:cs="Arial" w:eastAsia="Arial" w:hAnsi="Arial"/>
          <w:sz w:val="17"/>
          <w:szCs w:val="17"/>
          <w:color w:val="auto"/>
        </w:rPr>
      </w:pPr>
    </w:p>
    <w:p>
      <w:pPr>
        <w:ind w:left="1304" w:right="100" w:hanging="655"/>
        <w:spacing w:after="0" w:line="288" w:lineRule="auto"/>
        <w:tabs>
          <w:tab w:leader="none" w:pos="130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Upon termination of your employment with the Company for any reason, you will (x)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w:t>
      </w:r>
    </w:p>
    <w:p>
      <w:pPr>
        <w:ind w:left="1304" w:right="320"/>
        <w:spacing w:after="0" w:line="268" w:lineRule="auto"/>
        <w:rPr>
          <w:rFonts w:ascii="Arial" w:cs="Arial" w:eastAsia="Arial" w:hAnsi="Arial"/>
          <w:sz w:val="16"/>
          <w:szCs w:val="16"/>
          <w:color w:val="auto"/>
        </w:rPr>
      </w:pPr>
      <w:r>
        <w:rPr>
          <w:rFonts w:ascii="Arial" w:cs="Arial" w:eastAsia="Arial" w:hAnsi="Arial"/>
          <w:sz w:val="17"/>
          <w:szCs w:val="17"/>
          <w:color w:val="auto"/>
        </w:rPr>
        <w:t>(y) immediately return to the Company all Company property and destroy, delete, or return to the Company, at the Company’s option, all originals and copies in any form or medium (including memoranda, books, papers, plans, computer files, letters and other data) in your possession or control (including any of the foregoing stored or located in your office, home, laptop or other computer, whether or not Company property) that contain Confidential Information or otherwise relate to the business of the Company, its affiliates and subsidiaries, except that you may retain only those portions of any personal notes, notebooks and diaries that do not contain any Confidential Information; and (z) notify and fully cooperate with the Company regarding the delivery or destruction of any other Confidential Information of which you are or become aware and promptly return any other Company property in your possession.</w:t>
      </w:r>
    </w:p>
    <w:p>
      <w:pPr>
        <w:spacing w:after="0" w:line="184" w:lineRule="exact"/>
        <w:rPr>
          <w:rFonts w:ascii="Arial" w:cs="Arial" w:eastAsia="Arial" w:hAnsi="Arial"/>
          <w:sz w:val="16"/>
          <w:szCs w:val="16"/>
          <w:color w:val="auto"/>
        </w:rPr>
      </w:pPr>
    </w:p>
    <w:p>
      <w:pPr>
        <w:ind w:left="644" w:hanging="644"/>
        <w:spacing w:after="0"/>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25" w:lineRule="exact"/>
        <w:rPr>
          <w:rFonts w:ascii="Arial" w:cs="Arial" w:eastAsia="Arial" w:hAnsi="Arial"/>
          <w:sz w:val="18"/>
          <w:szCs w:val="18"/>
          <w:color w:val="auto"/>
        </w:rPr>
      </w:pPr>
    </w:p>
    <w:p>
      <w:pPr>
        <w:ind w:left="1304" w:right="20" w:hanging="655"/>
        <w:spacing w:after="0" w:line="254" w:lineRule="auto"/>
        <w:tabs>
          <w:tab w:leader="none" w:pos="130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you have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8"/>
          <w:szCs w:val="18"/>
          <w:b w:val="1"/>
          <w:bCs w:val="1"/>
          <w:color w:val="auto"/>
        </w:rPr>
        <w:t>Works</w:t>
      </w:r>
      <w:r>
        <w:rPr>
          <w:rFonts w:ascii="Arial" w:cs="Arial" w:eastAsia="Arial" w:hAnsi="Arial"/>
          <w:sz w:val="18"/>
          <w:szCs w:val="18"/>
          <w:color w:val="auto"/>
        </w:rPr>
        <w:t>”), either alone or with third parties, prior to your employment by the Company, that are relevant to or implicated by such employment (“</w:t>
      </w:r>
      <w:r>
        <w:rPr>
          <w:rFonts w:ascii="Arial" w:cs="Arial" w:eastAsia="Arial" w:hAnsi="Arial"/>
          <w:sz w:val="18"/>
          <w:szCs w:val="18"/>
          <w:b w:val="1"/>
          <w:bCs w:val="1"/>
          <w:color w:val="auto"/>
        </w:rPr>
        <w:t>Prior Works</w:t>
      </w:r>
      <w:r>
        <w:rPr>
          <w:rFonts w:ascii="Arial" w:cs="Arial" w:eastAsia="Arial" w:hAnsi="Arial"/>
          <w:sz w:val="18"/>
          <w:szCs w:val="18"/>
          <w:color w:val="auto"/>
        </w:rPr>
        <w:t xml:space="preserve">”), except with respect to the Prior Works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you hereby grant the Company a perpetual, nonexclusive, royalty-free, worldwide, assignable, sublicensable license under all rights and intellectual property rights (including rights under patent, industrial property, copyright, trademark, trade secret, unfair competition and related laws) therein for all purposes in connection with the Company’s current and future business.</w:t>
      </w:r>
    </w:p>
    <w:p>
      <w:pPr>
        <w:spacing w:after="0" w:line="192" w:lineRule="exact"/>
        <w:rPr>
          <w:rFonts w:ascii="Arial" w:cs="Arial" w:eastAsia="Arial" w:hAnsi="Arial"/>
          <w:sz w:val="18"/>
          <w:szCs w:val="18"/>
          <w:color w:val="auto"/>
        </w:rPr>
      </w:pPr>
    </w:p>
    <w:p>
      <w:pPr>
        <w:ind w:left="1304" w:right="240" w:hanging="655"/>
        <w:spacing w:after="0" w:line="293" w:lineRule="auto"/>
        <w:tabs>
          <w:tab w:leader="none" w:pos="130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you create, invent, design, develop, contribute to or improve any Works, either alone or with third parties, at any time during your employment by the Company and within the scope of such employment and/or with the use of any Company resources (“</w:t>
      </w:r>
      <w:r>
        <w:rPr>
          <w:rFonts w:ascii="Arial" w:cs="Arial" w:eastAsia="Arial" w:hAnsi="Arial"/>
          <w:sz w:val="16"/>
          <w:szCs w:val="16"/>
          <w:b w:val="1"/>
          <w:bCs w:val="1"/>
          <w:color w:val="auto"/>
        </w:rPr>
        <w:t>Company Works</w:t>
      </w:r>
      <w:r>
        <w:rPr>
          <w:rFonts w:ascii="Arial" w:cs="Arial" w:eastAsia="Arial" w:hAnsi="Arial"/>
          <w:sz w:val="16"/>
          <w:szCs w:val="16"/>
          <w:color w:val="auto"/>
        </w:rPr>
        <w:t>”), you will promptly and fully disclose such Works to the Company and you hereby irrevocably assign, transfer and convey,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ectPr>
          <w:pgSz w:w="11900" w:h="16838" w:orient="portrait"/>
          <w:cols w:equalWidth="0" w:num="1">
            <w:col w:w="10744"/>
          </w:cols>
          <w:pgMar w:left="896" w:top="827" w:right="259" w:bottom="1440" w:gutter="0" w:footer="0" w:header="0"/>
        </w:sectPr>
      </w:pPr>
    </w:p>
    <w:bookmarkStart w:id="152" w:name="page153"/>
    <w:bookmarkEnd w:id="152"/>
    <w:p>
      <w:pPr>
        <w:ind w:left="1952" w:right="60" w:hanging="655"/>
        <w:spacing w:after="0" w:line="312" w:lineRule="auto"/>
        <w:tabs>
          <w:tab w:leader="none" w:pos="1952" w:val="left"/>
        </w:tabs>
        <w:numPr>
          <w:ilvl w:val="2"/>
          <w:numId w:val="129"/>
        </w:numPr>
        <w:rPr>
          <w:rFonts w:ascii="Arial" w:cs="Arial" w:eastAsia="Arial" w:hAnsi="Arial"/>
          <w:sz w:val="16"/>
          <w:szCs w:val="16"/>
          <w:color w:val="auto"/>
        </w:rPr>
      </w:pPr>
      <w:r>
        <w:rPr>
          <w:rFonts w:ascii="Arial" w:cs="Arial" w:eastAsia="Arial" w:hAnsi="Arial"/>
          <w:sz w:val="16"/>
          <w:szCs w:val="16"/>
          <w:color w:val="auto"/>
        </w:rPr>
        <w:t>You agree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 All Company Works are the Confidential Information of Company</w:t>
      </w:r>
    </w:p>
    <w:p>
      <w:pPr>
        <w:spacing w:after="0" w:line="146" w:lineRule="exact"/>
        <w:rPr>
          <w:rFonts w:ascii="Arial" w:cs="Arial" w:eastAsia="Arial" w:hAnsi="Arial"/>
          <w:sz w:val="16"/>
          <w:szCs w:val="16"/>
          <w:color w:val="auto"/>
        </w:rPr>
      </w:pPr>
    </w:p>
    <w:p>
      <w:pPr>
        <w:ind w:left="1952" w:right="160" w:hanging="655"/>
        <w:spacing w:after="0" w:line="255" w:lineRule="auto"/>
        <w:tabs>
          <w:tab w:leader="none" w:pos="1952" w:val="left"/>
        </w:tabs>
        <w:numPr>
          <w:ilvl w:val="2"/>
          <w:numId w:val="129"/>
        </w:numPr>
        <w:rPr>
          <w:rFonts w:ascii="Arial" w:cs="Arial" w:eastAsia="Arial" w:hAnsi="Arial"/>
          <w:sz w:val="18"/>
          <w:szCs w:val="18"/>
          <w:color w:val="auto"/>
        </w:rPr>
      </w:pPr>
      <w:r>
        <w:rPr>
          <w:rFonts w:ascii="Arial" w:cs="Arial" w:eastAsia="Arial" w:hAnsi="Arial"/>
          <w:sz w:val="18"/>
          <w:szCs w:val="18"/>
          <w:color w:val="auto"/>
        </w:rPr>
        <w:t>You will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your signature on any document for this purpose, then you hereby irrevocably designate and appoint the Company and its duly authorized officers and agents as your agent and attorney-in-fact, to act for and on your behalf to execute any documents and to do all other lawfully permitted acts in connection with the foregoing.</w:t>
      </w:r>
    </w:p>
    <w:p>
      <w:pPr>
        <w:spacing w:after="0" w:line="189" w:lineRule="exact"/>
        <w:rPr>
          <w:rFonts w:ascii="Arial" w:cs="Arial" w:eastAsia="Arial" w:hAnsi="Arial"/>
          <w:sz w:val="18"/>
          <w:szCs w:val="18"/>
          <w:color w:val="auto"/>
        </w:rPr>
      </w:pPr>
    </w:p>
    <w:p>
      <w:pPr>
        <w:ind w:left="1952" w:hanging="655"/>
        <w:spacing w:after="0" w:line="291" w:lineRule="auto"/>
        <w:tabs>
          <w:tab w:leader="none" w:pos="1952" w:val="left"/>
        </w:tabs>
        <w:numPr>
          <w:ilvl w:val="2"/>
          <w:numId w:val="129"/>
        </w:numPr>
        <w:rPr>
          <w:rFonts w:ascii="Arial" w:cs="Arial" w:eastAsia="Arial" w:hAnsi="Arial"/>
          <w:sz w:val="16"/>
          <w:szCs w:val="16"/>
          <w:color w:val="auto"/>
        </w:rPr>
      </w:pPr>
      <w:r>
        <w:rPr>
          <w:rFonts w:ascii="Arial" w:cs="Arial" w:eastAsia="Arial" w:hAnsi="Arial"/>
          <w:sz w:val="16"/>
          <w:szCs w:val="16"/>
          <w:color w:val="auto"/>
        </w:rPr>
        <w:t>You will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You hereby indemnify, hold harmless and agree to defend the Company and its officers, directors, partners, employees, agents and representatives from any breach of the foregoing covenant. You will comply with all relevant policies and guidelines of the Company, including regarding the protection of confidential information and intellectual property and potential conflicts of interest. You acknowledge that the Company may amend any such policies and guidelines from time to time, and that you remain at all times bound by their most current version.</w:t>
      </w:r>
    </w:p>
    <w:p>
      <w:pPr>
        <w:spacing w:after="0" w:line="167" w:lineRule="exact"/>
        <w:rPr>
          <w:rFonts w:ascii="Arial" w:cs="Arial" w:eastAsia="Arial" w:hAnsi="Arial"/>
          <w:sz w:val="16"/>
          <w:szCs w:val="16"/>
          <w:color w:val="auto"/>
        </w:rPr>
      </w:pPr>
    </w:p>
    <w:p>
      <w:pPr>
        <w:ind w:left="1292" w:hanging="644"/>
        <w:spacing w:after="0"/>
        <w:tabs>
          <w:tab w:leader="none" w:pos="129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provisions of this Section 3 shall survive the termination of this Agreement and your employment for any reason.</w:t>
      </w:r>
    </w:p>
    <w:p>
      <w:pPr>
        <w:spacing w:after="0" w:line="225" w:lineRule="exact"/>
        <w:rPr>
          <w:rFonts w:ascii="Arial" w:cs="Arial" w:eastAsia="Arial" w:hAnsi="Arial"/>
          <w:sz w:val="18"/>
          <w:szCs w:val="18"/>
          <w:color w:val="auto"/>
        </w:rPr>
      </w:pPr>
    </w:p>
    <w:p>
      <w:pPr>
        <w:ind w:left="652" w:right="140" w:hanging="652"/>
        <w:spacing w:after="0" w:line="297" w:lineRule="auto"/>
        <w:tabs>
          <w:tab w:leader="none" w:pos="6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of the On-Going Obligations is an individual right, separately enforceable by the Company and/or its applicable affiliate(s), notwithstanding any conflict or other inconsistency among any provisions (or any parts of any provisions) of any of the On-Going Obligations, and no such conflict or other inconsistency will have the effect of superseding, restricting or otherwise limiting any of the On-Going Obligations. The obligation of the Company to make payments and provide the benefits described under the Agreement, and your right to retain those payments and benefits, are expressly conditioned upon your continued full performance of your obligations under this Agreement and of the On-Going Obligations.</w:t>
      </w:r>
    </w:p>
    <w:p>
      <w:pPr>
        <w:sectPr>
          <w:pgSz w:w="11900" w:h="16838" w:orient="portrait"/>
          <w:cols w:equalWidth="0" w:num="1">
            <w:col w:w="11392"/>
          </w:cols>
          <w:pgMar w:left="248" w:top="800" w:right="25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You acknowledge that the Company provided you with this agreement at least ten (10) business days before it was to be effective. You acknowledge that you have been and are hereby advised of your right to consult an attorney before signing this agreement.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[Name]</w:t>
      </w:r>
    </w:p>
    <w:p>
      <w:pPr>
        <w:sectPr>
          <w:pgSz w:w="11900" w:h="16838" w:orient="portrait"/>
          <w:cols w:equalWidth="0" w:num="1">
            <w:col w:w="11420"/>
          </w:cols>
          <w:pgMar w:left="240" w:top="1017"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u w:val="single" w:color="auto"/>
          <w:color w:val="auto"/>
        </w:rPr>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[Exceptions to Prior Works License]</w:t>
      </w:r>
    </w:p>
    <w:p>
      <w:pPr>
        <w:sectPr>
          <w:pgSz w:w="11900" w:h="16838" w:orient="portrait"/>
          <w:cols w:equalWidth="0" w:num="1">
            <w:col w:w="9019"/>
          </w:cols>
          <w:pgMar w:left="1440" w:top="801"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LANTHEUS HOLDINGS,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SUBSIDIARIES</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20" w:type="dxa"/>
            <w:vAlign w:val="bottom"/>
          </w:tcPr>
          <w:p>
            <w:pPr>
              <w:ind w:left="1520"/>
              <w:spacing w:after="0"/>
              <w:rPr>
                <w:sz w:val="20"/>
                <w:szCs w:val="20"/>
                <w:color w:val="auto"/>
              </w:rPr>
            </w:pPr>
            <w:r>
              <w:rPr>
                <w:rFonts w:ascii="Arial" w:cs="Arial" w:eastAsia="Arial" w:hAnsi="Arial"/>
                <w:sz w:val="18"/>
                <w:szCs w:val="18"/>
                <w:b w:val="1"/>
                <w:bCs w:val="1"/>
                <w:color w:val="auto"/>
              </w:rPr>
              <w:t>Subsidiary</w:t>
            </w:r>
          </w:p>
        </w:tc>
        <w:tc>
          <w:tcPr>
            <w:tcW w:w="4460" w:type="dxa"/>
            <w:vAlign w:val="bottom"/>
          </w:tcPr>
          <w:p>
            <w:pPr>
              <w:ind w:left="800"/>
              <w:spacing w:after="0"/>
              <w:rPr>
                <w:sz w:val="20"/>
                <w:szCs w:val="20"/>
                <w:color w:val="auto"/>
              </w:rPr>
            </w:pPr>
            <w:r>
              <w:rPr>
                <w:rFonts w:ascii="Arial" w:cs="Arial" w:eastAsia="Arial" w:hAnsi="Arial"/>
                <w:sz w:val="18"/>
                <w:szCs w:val="18"/>
                <w:b w:val="1"/>
                <w:bCs w:val="1"/>
                <w:color w:val="auto"/>
                <w:w w:val="99"/>
              </w:rPr>
              <w:t>State or Other Jurisdiction of Organization</w:t>
            </w:r>
          </w:p>
        </w:tc>
      </w:tr>
      <w:tr>
        <w:trPr>
          <w:trHeight w:val="27"/>
        </w:trPr>
        <w:tc>
          <w:tcPr>
            <w:tcW w:w="34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Lantheus Medical Imaging, Inc.</w:t>
            </w:r>
          </w:p>
        </w:tc>
        <w:tc>
          <w:tcPr>
            <w:tcW w:w="4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Lantheus MI Canada, Inc.</w:t>
            </w:r>
          </w:p>
        </w:tc>
        <w:tc>
          <w:tcPr>
            <w:tcW w:w="4460" w:type="dxa"/>
            <w:vAlign w:val="bottom"/>
          </w:tcPr>
          <w:p>
            <w:pPr>
              <w:ind w:left="480"/>
              <w:spacing w:after="0"/>
              <w:rPr>
                <w:sz w:val="20"/>
                <w:szCs w:val="20"/>
                <w:color w:val="auto"/>
              </w:rPr>
            </w:pPr>
            <w:r>
              <w:rPr>
                <w:rFonts w:ascii="Arial" w:cs="Arial" w:eastAsia="Arial" w:hAnsi="Arial"/>
                <w:sz w:val="18"/>
                <w:szCs w:val="18"/>
                <w:color w:val="auto"/>
              </w:rPr>
              <w:t>Ontario, Canada</w:t>
            </w:r>
          </w:p>
        </w:tc>
      </w:tr>
      <w:tr>
        <w:trPr>
          <w:trHeight w:val="27"/>
        </w:trPr>
        <w:tc>
          <w:tcPr>
            <w:tcW w:w="3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Lantheus MI Real Estate, LLC</w:t>
            </w:r>
          </w:p>
        </w:tc>
        <w:tc>
          <w:tcPr>
            <w:tcW w:w="4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Lantheus MI Radiopharmaceuticals, Inc.</w:t>
            </w:r>
          </w:p>
        </w:tc>
        <w:tc>
          <w:tcPr>
            <w:tcW w:w="4460" w:type="dxa"/>
            <w:vAlign w:val="bottom"/>
          </w:tcPr>
          <w:p>
            <w:pPr>
              <w:ind w:left="480"/>
              <w:spacing w:after="0"/>
              <w:rPr>
                <w:sz w:val="20"/>
                <w:szCs w:val="20"/>
                <w:color w:val="auto"/>
              </w:rPr>
            </w:pPr>
            <w:r>
              <w:rPr>
                <w:rFonts w:ascii="Arial" w:cs="Arial" w:eastAsia="Arial" w:hAnsi="Arial"/>
                <w:sz w:val="18"/>
                <w:szCs w:val="18"/>
                <w:color w:val="auto"/>
              </w:rPr>
              <w:t>Commonwealth of Puerto Rico</w:t>
            </w:r>
          </w:p>
        </w:tc>
      </w:tr>
      <w:tr>
        <w:trPr>
          <w:trHeight w:val="27"/>
        </w:trPr>
        <w:tc>
          <w:tcPr>
            <w:tcW w:w="3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Lantheus MI UK Limited</w:t>
            </w:r>
          </w:p>
        </w:tc>
        <w:tc>
          <w:tcPr>
            <w:tcW w:w="4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England and Wales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Lantheus EU Limited</w:t>
            </w:r>
          </w:p>
        </w:tc>
        <w:tc>
          <w:tcPr>
            <w:tcW w:w="4460" w:type="dxa"/>
            <w:vAlign w:val="bottom"/>
          </w:tcPr>
          <w:p>
            <w:pPr>
              <w:ind w:left="48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0220"/>
          </w:cols>
          <w:pgMar w:left="14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Nos. 333-214343, 333-205211, 333-220049 and 333-220050 on Form S-8 and Registration Statement No. 333-215055 on Form S-3 of our report dated February 20, 2019, relating to the financial statements of Lantheus Holdings, Inc. appearing in this Annual Report on Form 10-K of Lantheus Holdings, Inc. for the year ended December 31,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w:t>
      </w:r>
    </w:p>
    <w:p>
      <w:pPr>
        <w:sectPr>
          <w:pgSz w:w="11900" w:h="16838" w:orient="portrait"/>
          <w:cols w:equalWidth="0" w:num="1">
            <w:col w:w="11420"/>
          </w:cols>
          <w:pgMar w:left="240" w:top="90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225"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Lantheus Holdings,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300" w:hanging="644"/>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  February 20, 2019</w:t>
            </w: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NNE</w:t>
            </w:r>
            <w:r>
              <w:rPr>
                <w:rFonts w:ascii="Arial" w:cs="Arial" w:eastAsia="Arial" w:hAnsi="Arial"/>
                <w:sz w:val="18"/>
                <w:szCs w:val="18"/>
                <w:color w:val="auto"/>
              </w:rPr>
              <w:t xml:space="preserve"> H</w:t>
            </w:r>
            <w:r>
              <w:rPr>
                <w:rFonts w:ascii="Arial" w:cs="Arial" w:eastAsia="Arial" w:hAnsi="Arial"/>
                <w:sz w:val="14"/>
                <w:szCs w:val="14"/>
                <w:color w:val="auto"/>
              </w:rPr>
              <w:t>EINO</w:t>
            </w:r>
          </w:p>
        </w:tc>
      </w:tr>
      <w:tr>
        <w:trPr>
          <w:trHeight w:val="27"/>
        </w:trPr>
        <w:tc>
          <w:tcPr>
            <w:tcW w:w="4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5220" w:type="dxa"/>
            <w:vAlign w:val="bottom"/>
          </w:tcPr>
          <w:p>
            <w:pPr>
              <w:ind w:left="280"/>
              <w:spacing w:after="0"/>
              <w:rPr>
                <w:sz w:val="20"/>
                <w:szCs w:val="20"/>
                <w:color w:val="auto"/>
              </w:rPr>
            </w:pPr>
            <w:r>
              <w:rPr>
                <w:rFonts w:ascii="Arial" w:cs="Arial" w:eastAsia="Arial" w:hAnsi="Arial"/>
                <w:sz w:val="18"/>
                <w:szCs w:val="18"/>
                <w:color w:val="auto"/>
              </w:rPr>
              <w:t>Mary Anne Heino</w:t>
            </w:r>
          </w:p>
        </w:tc>
      </w:tr>
      <w:tr>
        <w:trPr>
          <w:trHeight w:val="270"/>
        </w:trPr>
        <w:tc>
          <w:tcPr>
            <w:tcW w:w="452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Marshall, Jr., certify that:</w:t>
      </w:r>
    </w:p>
    <w:p>
      <w:pPr>
        <w:spacing w:after="0" w:line="225"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Lantheus Holdings,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300" w:hanging="644"/>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Date:   February 20, 2019</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/S/ ROBERT J. MARSHALL, JR.</w:t>
            </w:r>
          </w:p>
        </w:tc>
      </w:tr>
      <w:tr>
        <w:trPr>
          <w:trHeight w:val="27"/>
        </w:trPr>
        <w:tc>
          <w:tcPr>
            <w:tcW w:w="46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Name:</w:t>
            </w:r>
          </w:p>
        </w:tc>
        <w:tc>
          <w:tcPr>
            <w:tcW w:w="5100" w:type="dxa"/>
            <w:vAlign w:val="bottom"/>
          </w:tcPr>
          <w:p>
            <w:pPr>
              <w:ind w:left="220"/>
              <w:spacing w:after="0"/>
              <w:rPr>
                <w:sz w:val="20"/>
                <w:szCs w:val="20"/>
                <w:color w:val="auto"/>
              </w:rPr>
            </w:pPr>
            <w:r>
              <w:rPr>
                <w:rFonts w:ascii="Arial" w:cs="Arial" w:eastAsia="Arial" w:hAnsi="Arial"/>
                <w:sz w:val="18"/>
                <w:szCs w:val="18"/>
                <w:color w:val="auto"/>
              </w:rPr>
              <w:t>Robert J. Marshall, Jr.</w:t>
            </w:r>
          </w:p>
        </w:tc>
      </w:tr>
      <w:tr>
        <w:trPr>
          <w:trHeight w:val="256"/>
        </w:trPr>
        <w:tc>
          <w:tcPr>
            <w:tcW w:w="460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1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and Treasurer</w:t>
            </w:r>
          </w:p>
        </w:tc>
      </w:tr>
      <w:tr>
        <w:trPr>
          <w:trHeight w:val="230"/>
        </w:trPr>
        <w:tc>
          <w:tcPr>
            <w:tcW w:w="4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24" w:lineRule="exact"/>
        <w:rPr>
          <w:sz w:val="20"/>
          <w:szCs w:val="20"/>
          <w:color w:val="auto"/>
        </w:rPr>
      </w:pPr>
    </w:p>
    <w:p>
      <w:pPr>
        <w:ind w:left="1300" w:right="420" w:hanging="644"/>
        <w:spacing w:after="0" w:line="27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2018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1120"/>
        <w:spacing w:after="0"/>
        <w:tabs>
          <w:tab w:leader="none" w:pos="1680" w:val="left"/>
          <w:tab w:leader="none" w:pos="5500" w:val="left"/>
        </w:tabs>
        <w:rPr>
          <w:sz w:val="20"/>
          <w:szCs w:val="20"/>
          <w:color w:val="auto"/>
        </w:rPr>
      </w:pPr>
      <w:r>
        <w:rPr>
          <w:rFonts w:ascii="Arial" w:cs="Arial" w:eastAsia="Arial" w:hAnsi="Arial"/>
          <w:sz w:val="18"/>
          <w:szCs w:val="18"/>
          <w:color w:val="auto"/>
        </w:rPr>
        <w:t>Date:</w:t>
        <w:tab/>
        <w:t>February 20, 2019</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w:t>
      </w:r>
      <w:r>
        <w:rPr>
          <w:rFonts w:ascii="Arial" w:cs="Arial" w:eastAsia="Arial" w:hAnsi="Arial"/>
          <w:sz w:val="13"/>
          <w:szCs w:val="13"/>
          <w:color w:val="auto"/>
        </w:rPr>
        <w:t>ARY</w:t>
      </w:r>
      <w:r>
        <w:rPr>
          <w:rFonts w:ascii="Arial" w:cs="Arial" w:eastAsia="Arial" w:hAnsi="Arial"/>
          <w:sz w:val="17"/>
          <w:szCs w:val="17"/>
          <w:color w:val="auto"/>
        </w:rPr>
        <w:t xml:space="preserve"> A</w:t>
      </w:r>
      <w:r>
        <w:rPr>
          <w:rFonts w:ascii="Arial" w:cs="Arial" w:eastAsia="Arial" w:hAnsi="Arial"/>
          <w:sz w:val="13"/>
          <w:szCs w:val="13"/>
          <w:color w:val="auto"/>
        </w:rPr>
        <w:t>NNE</w:t>
      </w:r>
      <w:r>
        <w:rPr>
          <w:rFonts w:ascii="Arial" w:cs="Arial" w:eastAsia="Arial" w:hAnsi="Arial"/>
          <w:sz w:val="17"/>
          <w:szCs w:val="17"/>
          <w:color w:val="auto"/>
        </w:rPr>
        <w:t xml:space="preserve"> H</w:t>
      </w:r>
      <w:r>
        <w:rPr>
          <w:rFonts w:ascii="Arial" w:cs="Arial" w:eastAsia="Arial" w:hAnsi="Arial"/>
          <w:sz w:val="13"/>
          <w:szCs w:val="13"/>
          <w:color w:val="auto"/>
        </w:rPr>
        <w:t>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095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Name:</w:t>
        <w:tab/>
        <w:t>Mary Anne Heino</w:t>
      </w:r>
    </w:p>
    <w:p>
      <w:pPr>
        <w:spacing w:after="0" w:line="63"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55" w:lineRule="exact"/>
        <w:rPr>
          <w:sz w:val="20"/>
          <w:szCs w:val="20"/>
          <w:color w:val="auto"/>
        </w:rPr>
      </w:pPr>
    </w:p>
    <w:p>
      <w:pPr>
        <w:ind w:left="1120"/>
        <w:spacing w:after="0"/>
        <w:tabs>
          <w:tab w:leader="none" w:pos="1680" w:val="left"/>
          <w:tab w:leader="none" w:pos="5460" w:val="left"/>
        </w:tabs>
        <w:rPr>
          <w:sz w:val="20"/>
          <w:szCs w:val="20"/>
          <w:color w:val="auto"/>
        </w:rPr>
      </w:pPr>
      <w:r>
        <w:rPr>
          <w:rFonts w:ascii="Arial" w:cs="Arial" w:eastAsia="Arial" w:hAnsi="Arial"/>
          <w:sz w:val="18"/>
          <w:szCs w:val="18"/>
          <w:color w:val="auto"/>
        </w:rPr>
        <w:t>Date:</w:t>
        <w:tab/>
        <w:t>February 20, 2019</w:t>
      </w:r>
      <w:r>
        <w:rPr>
          <w:sz w:val="20"/>
          <w:szCs w:val="20"/>
          <w:color w:val="auto"/>
        </w:rPr>
        <w:tab/>
      </w:r>
      <w:r>
        <w:rPr>
          <w:rFonts w:ascii="Arial" w:cs="Arial" w:eastAsia="Arial" w:hAnsi="Arial"/>
          <w:sz w:val="17"/>
          <w:szCs w:val="17"/>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095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Name:</w:t>
        <w:tab/>
        <w:t>Robert J. Marshall, Jr.</w:t>
      </w:r>
    </w:p>
    <w:p>
      <w:pPr>
        <w:spacing w:after="0" w:line="63"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Financial Officer and Principal Accounting Officer)</w:t>
      </w:r>
    </w:p>
    <w:p>
      <w:pPr>
        <w:spacing w:after="0" w:line="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lvl w:ilvl="1">
      <w:lvlJc w:val="left"/>
      <w:lvlText w:val="☐"/>
      <w:numFmt w:val="bullet"/>
      <w:start w:val="1"/>
    </w:lvl>
  </w:abstractNum>
  <w:abstractNum w:abstractNumId="1">
    <w:nsid w:val="5DB70AE5"/>
    <w:multiLevelType w:val="hybridMultilevel"/>
    <w:lvl w:ilvl="0">
      <w:lvlJc w:val="left"/>
      <w:lvlText w:val="•"/>
      <w:numFmt w:val="bullet"/>
      <w:start w:val="1"/>
    </w:lvl>
    <w:lvl w:ilvl="1">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lvl w:ilvl="1">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1)"/>
      <w:numFmt w:val="lowerLetter"/>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1)"/>
      <w:numFmt w:val="lowerRoman"/>
      <w:start w:val="2"/>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lowerLetter"/>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lowerRoman"/>
      <w:start w:val="2"/>
    </w:lvl>
  </w:abstractNum>
  <w:abstractNum w:abstractNumId="46">
    <w:nsid w:val="2DF6D648"/>
    <w:multiLevelType w:val="hybridMultilevel"/>
    <w:lvl w:ilvl="0">
      <w:lvlJc w:val="left"/>
      <w:lvlText w:val="%1"/>
      <w:numFmt w:val="decimal"/>
      <w:start w:val="1"/>
    </w:lvl>
    <w:lvl w:ilvl="1">
      <w:lvlJc w:val="left"/>
      <w:lvlText w:val="(%2)"/>
      <w:numFmt w:val="decimal"/>
      <w:start w:val="1"/>
    </w:lvl>
  </w:abstractNum>
  <w:abstractNum w:abstractNumId="47">
    <w:nsid w:val="46B7D447"/>
    <w:multiLevelType w:val="hybridMultilevel"/>
    <w:lvl w:ilvl="0">
      <w:lvlJc w:val="left"/>
      <w:lvlText w:val="%1."/>
      <w:numFmt w:val="decimal"/>
      <w:start w:val="19"/>
    </w:lvl>
    <w:lvl w:ilvl="1">
      <w:lvlJc w:val="left"/>
      <w:lvlText w:val="%2"/>
      <w:numFmt w:val="decimal"/>
      <w:start w:val="1"/>
    </w:lvl>
  </w:abstractNum>
  <w:abstractNum w:abstractNumId="48">
    <w:nsid w:val="4A2AC315"/>
    <w:multiLevelType w:val="hybridMultilevel"/>
    <w:lvl w:ilvl="0">
      <w:lvlJc w:val="left"/>
      <w:lvlText w:val="(%1)"/>
      <w:numFmt w:val="lowerLetter"/>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1)"/>
      <w:numFmt w:val="lowerRoman"/>
      <w:start w:val="2"/>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1."/>
      <w:numFmt w:val="decimal"/>
      <w:start w:val="1"/>
    </w:lvl>
    <w:lvl w:ilvl="1">
      <w:lvlJc w:val="left"/>
      <w:lvlText w:val="(%2)"/>
      <w:numFmt w:val="lowerLetter"/>
      <w:start w:val="1"/>
    </w:lvl>
  </w:abstractNum>
  <w:abstractNum w:abstractNumId="56">
    <w:nsid w:val="49DA307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7">
    <w:nsid w:val="7055A5F5"/>
    <w:multiLevelType w:val="hybridMultilevel"/>
    <w:lvl w:ilvl="0">
      <w:lvlJc w:val="left"/>
      <w:lvlText w:val="(%1)"/>
      <w:numFmt w:val="lowerLetter"/>
      <w:start w:val="2"/>
    </w:lvl>
    <w:lvl w:ilvl="1">
      <w:lvlJc w:val="left"/>
      <w:lvlText w:val="(%2)"/>
      <w:numFmt w:val="lowerRoman"/>
      <w:start w:val="1"/>
    </w:lvl>
  </w:abstractNum>
  <w:abstractNum w:abstractNumId="58">
    <w:nsid w:val="5FB8370B"/>
    <w:multiLevelType w:val="hybridMultilevel"/>
    <w:lvl w:ilvl="0">
      <w:lvlJc w:val="left"/>
      <w:lvlText w:val="(%1)"/>
      <w:numFmt w:val="lowerRoman"/>
      <w:start w:val="2"/>
    </w:lvl>
  </w:abstractNum>
  <w:abstractNum w:abstractNumId="59">
    <w:nsid w:val="50801EE1"/>
    <w:multiLevelType w:val="hybridMultilevel"/>
    <w:lvl w:ilvl="0">
      <w:lvlJc w:val="left"/>
      <w:lvlText w:val="(%1)"/>
      <w:numFmt w:val="lowerLetter"/>
      <w:start w:val="3"/>
    </w:lvl>
    <w:lvl w:ilvl="1">
      <w:lvlJc w:val="left"/>
      <w:lvlText w:val="(%2)"/>
      <w:numFmt w:val="lowerRoman"/>
      <w:start w:val="1"/>
    </w:lvl>
  </w:abstractNum>
  <w:abstractNum w:abstractNumId="60">
    <w:nsid w:val="488AC1A"/>
    <w:multiLevelType w:val="hybridMultilevel"/>
    <w:lvl w:ilvl="0">
      <w:lvlJc w:val="left"/>
      <w:lvlText w:val="%1"/>
      <w:numFmt w:val="lowerLetter"/>
      <w:start w:val="1"/>
    </w:lvl>
    <w:lvl w:ilvl="1">
      <w:lvlJc w:val="left"/>
      <w:lvlText w:val="(%2)"/>
      <w:numFmt w:val="lowerRoman"/>
      <w:start w:val="3"/>
    </w:lvl>
  </w:abstractNum>
  <w:abstractNum w:abstractNumId="61">
    <w:nsid w:val="5FB8011C"/>
    <w:multiLevelType w:val="hybridMultilevel"/>
    <w:lvl w:ilvl="0">
      <w:lvlJc w:val="left"/>
      <w:lvlText w:val="(%1)"/>
      <w:numFmt w:val="lowerLetter"/>
      <w:start w:val="4"/>
    </w:lvl>
    <w:lvl w:ilvl="1">
      <w:lvlJc w:val="left"/>
      <w:lvlText w:val="%2"/>
      <w:numFmt w:val="lowerRoman"/>
      <w:start w:val="1"/>
    </w:lvl>
  </w:abstractNum>
  <w:abstractNum w:abstractNumId="62">
    <w:nsid w:val="6AA78F7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3">
    <w:nsid w:val="7672BD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4">
    <w:nsid w:val="6FC75AF8"/>
    <w:multiLevelType w:val="hybridMultilevel"/>
    <w:lvl w:ilvl="0">
      <w:lvlJc w:val="left"/>
      <w:lvlText w:val="%1"/>
      <w:numFmt w:val="lowerRoman"/>
      <w:start w:val="1"/>
    </w:lvl>
    <w:lvl w:ilvl="1">
      <w:lvlJc w:val="left"/>
      <w:lvlText w:val="(%2)"/>
      <w:numFmt w:val="decimal"/>
      <w:start w:val="1"/>
    </w:lvl>
  </w:abstractNum>
  <w:abstractNum w:abstractNumId="65">
    <w:nsid w:val="6A5F7029"/>
    <w:multiLevelType w:val="hybridMultilevel"/>
    <w:lvl w:ilvl="0">
      <w:lvlJc w:val="left"/>
      <w:lvlText w:val="(%1)"/>
      <w:numFmt w:val="lowerRoman"/>
      <w:start w:val="2"/>
    </w:lvl>
    <w:lvl w:ilvl="1">
      <w:lvlJc w:val="left"/>
      <w:lvlText w:val="(%2)"/>
      <w:numFmt w:val="decimal"/>
      <w:start w:val="1"/>
    </w:lvl>
  </w:abstractNum>
  <w:abstractNum w:abstractNumId="66">
    <w:nsid w:val="7D5E18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5F3534A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8">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7DE6771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0">
    <w:nsid w:val="555C55B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1">
    <w:nsid w:val="3FA62ACA"/>
    <w:multiLevelType w:val="hybridMultilevel"/>
    <w:lvl w:ilvl="0">
      <w:lvlJc w:val="left"/>
      <w:lvlText w:val="%1"/>
      <w:numFmt w:val="lowerLetter"/>
      <w:start w:val="1"/>
    </w:lvl>
    <w:lvl w:ilvl="1">
      <w:lvlJc w:val="left"/>
      <w:lvlText w:val="(%2)"/>
      <w:numFmt w:val="lowerRoman"/>
      <w:start w:val="3"/>
    </w:lvl>
  </w:abstractNum>
  <w:abstractNum w:abstractNumId="72">
    <w:nsid w:val="14FCE74E"/>
    <w:multiLevelType w:val="hybridMultilevel"/>
    <w:lvl w:ilvl="0">
      <w:lvlJc w:val="left"/>
      <w:lvlText w:val="(%1)"/>
      <w:numFmt w:val="lowerLetter"/>
      <w:start w:val="9"/>
    </w:lvl>
    <w:lvl w:ilvl="1">
      <w:lvlJc w:val="left"/>
      <w:lvlText w:val="%2"/>
      <w:numFmt w:val="lowerRoman"/>
      <w:start w:val="1"/>
    </w:lvl>
  </w:abstractNum>
  <w:abstractNum w:abstractNumId="73">
    <w:nsid w:val="6A3DD3E8"/>
    <w:multiLevelType w:val="hybridMultilevel"/>
    <w:lvl w:ilvl="0">
      <w:lvlJc w:val="left"/>
      <w:lvlText w:val="(%1)"/>
      <w:numFmt w:val="lowerLetter"/>
      <w:start w:val="11"/>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Letter"/>
      <w:start w:val="4"/>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1."/>
      <w:numFmt w:val="decimal"/>
      <w:start w:val="4"/>
    </w:lvl>
  </w:abstractNum>
  <w:abstractNum w:abstractNumId="78">
    <w:nsid w:val="5092CA79"/>
    <w:multiLevelType w:val="hybridMultilevel"/>
    <w:lvl w:ilvl="0">
      <w:lvlJc w:val="left"/>
      <w:lvlText w:val="%1."/>
      <w:numFmt w:val="decimal"/>
      <w:start w:val="1"/>
    </w:lvl>
    <w:lvl w:ilvl="1">
      <w:lvlJc w:val="left"/>
      <w:lvlText w:val="(%2)"/>
      <w:numFmt w:val="lowerLetter"/>
      <w:start w:val="1"/>
    </w:lvl>
  </w:abstractNum>
  <w:abstractNum w:abstractNumId="79">
    <w:nsid w:val="1D545C4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0">
    <w:nsid w:val="59ADEA3D"/>
    <w:multiLevelType w:val="hybridMultilevel"/>
    <w:lvl w:ilvl="0">
      <w:lvlJc w:val="left"/>
      <w:lvlText w:val="%1"/>
      <w:numFmt w:val="lowerLetter"/>
      <w:start w:val="1"/>
    </w:lvl>
    <w:lvl w:ilvl="1">
      <w:lvlJc w:val="left"/>
      <w:lvlText w:val="(%2)"/>
      <w:numFmt w:val="lowerRoman"/>
      <w:start w:val="1"/>
    </w:lvl>
  </w:abstractNum>
  <w:abstractNum w:abstractNumId="81">
    <w:nsid w:val="288F1A34"/>
    <w:multiLevelType w:val="hybridMultilevel"/>
    <w:lvl w:ilvl="0">
      <w:lvlJc w:val="left"/>
      <w:lvlText w:val="(%1)"/>
      <w:numFmt w:val="lowerLetter"/>
      <w:start w:val="3"/>
    </w:lvl>
    <w:lvl w:ilvl="1">
      <w:lvlJc w:val="left"/>
      <w:lvlText w:val="(%2)"/>
      <w:numFmt w:val="lowerRoman"/>
      <w:start w:val="1"/>
    </w:lvl>
  </w:abstractNum>
  <w:abstractNum w:abstractNumId="82">
    <w:nsid w:val="2A155DBC"/>
    <w:multiLevelType w:val="hybridMultilevel"/>
    <w:lvl w:ilvl="0">
      <w:lvlJc w:val="left"/>
      <w:lvlText w:val="%1"/>
      <w:numFmt w:val="lowerLetter"/>
      <w:start w:val="1"/>
    </w:lvl>
    <w:lvl w:ilvl="1">
      <w:lvlJc w:val="left"/>
      <w:lvlText w:val="(%2)"/>
      <w:numFmt w:val="lowerRoman"/>
      <w:start w:val="4"/>
    </w:lvl>
  </w:abstractNum>
  <w:abstractNum w:abstractNumId="83">
    <w:nsid w:val="1D9F6E5F"/>
    <w:multiLevelType w:val="hybridMultilevel"/>
    <w:lvl w:ilvl="0">
      <w:lvlJc w:val="left"/>
      <w:lvlText w:val="(%1)"/>
      <w:numFmt w:val="lowerLetter"/>
      <w:start w:val="4"/>
    </w:lvl>
    <w:lvl w:ilvl="1">
      <w:lvlJc w:val="left"/>
      <w:lvlText w:val="%2"/>
      <w:numFmt w:val="lowerRoman"/>
      <w:start w:val="1"/>
    </w:lvl>
  </w:abstractNum>
  <w:abstractNum w:abstractNumId="84">
    <w:nsid w:val="97E1B4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85">
    <w:nsid w:val="5108827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6">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87">
    <w:nsid w:val="53584B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88">
    <w:nsid w:val="415E286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9">
    <w:nsid w:val="7C58FD05"/>
    <w:multiLevelType w:val="hybridMultilevel"/>
    <w:lvl w:ilvl="0">
      <w:lvlJc w:val="left"/>
      <w:lvlText w:val="%1"/>
      <w:numFmt w:val="lowerLetter"/>
      <w:start w:val="1"/>
    </w:lvl>
    <w:lvl w:ilvl="1">
      <w:lvlJc w:val="left"/>
      <w:lvlText w:val="(%2)"/>
      <w:numFmt w:val="lowerRoman"/>
      <w:start w:val="3"/>
    </w:lvl>
  </w:abstractNum>
  <w:abstractNum w:abstractNumId="90">
    <w:nsid w:val="23D86AAC"/>
    <w:multiLevelType w:val="hybridMultilevel"/>
    <w:lvl w:ilvl="0">
      <w:lvlJc w:val="left"/>
      <w:lvlText w:val="(%1)"/>
      <w:numFmt w:val="lowerLetter"/>
      <w:start w:val="1"/>
    </w:lvl>
    <w:lvl w:ilvl="1">
      <w:lvlJc w:val="left"/>
      <w:lvlText w:val="(%2)"/>
      <w:numFmt w:val="lowerRoman"/>
      <w:start w:val="1"/>
    </w:lvl>
  </w:abstractNum>
  <w:abstractNum w:abstractNumId="91">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2">
    <w:nsid w:val="5C10FE2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3">
    <w:nsid w:val="E7FFA2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4">
    <w:nsid w:val="3C5991AA"/>
    <w:multiLevelType w:val="hybridMultilevel"/>
    <w:lvl w:ilvl="0">
      <w:lvlJc w:val="left"/>
      <w:lvlText w:val="(%1)"/>
      <w:numFmt w:val="lowerLetter"/>
      <w:start w:val="8"/>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1)"/>
      <w:numFmt w:val="lowerLetter"/>
      <w:start w:val="10"/>
    </w:lvl>
  </w:abstractNum>
  <w:abstractNum w:abstractNumId="97">
    <w:nsid w:val="39B7AAA2"/>
    <w:multiLevelType w:val="hybridMultilevel"/>
    <w:lvl w:ilvl="0">
      <w:lvlJc w:val="left"/>
      <w:lvlText w:val="(%1)"/>
      <w:numFmt w:val="lowerLetter"/>
      <w:start w:val="13"/>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3"/>
    </w:lvl>
  </w:abstractNum>
  <w:abstractNum w:abstractNumId="100">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1">
    <w:nsid w:val="69E373"/>
    <w:multiLevelType w:val="hybridMultilevel"/>
    <w:lvl w:ilvl="0">
      <w:lvlJc w:val="left"/>
      <w:lvlText w:val="(%1)"/>
      <w:numFmt w:val="lowerLetter"/>
      <w:start w:val="2"/>
    </w:lvl>
    <w:lvl w:ilvl="1">
      <w:lvlJc w:val="left"/>
      <w:lvlText w:val="%2."/>
      <w:numFmt w:val="lowerRoman"/>
      <w:start w:val="1"/>
    </w:lvl>
  </w:abstractNum>
  <w:abstractNum w:abstractNumId="102">
    <w:nsid w:val="2C27173B"/>
    <w:multiLevelType w:val="hybridMultilevel"/>
    <w:lvl w:ilvl="0">
      <w:lvlJc w:val="left"/>
      <w:lvlText w:val="%1."/>
      <w:numFmt w:val="lowerRoman"/>
      <w:start w:val="2"/>
    </w:lvl>
  </w:abstractNum>
  <w:abstractNum w:abstractNumId="103">
    <w:nsid w:val="4C9B0904"/>
    <w:multiLevelType w:val="hybridMultilevel"/>
    <w:lvl w:ilvl="0">
      <w:lvlJc w:val="left"/>
      <w:lvlText w:val="(%1)"/>
      <w:numFmt w:val="lowerLetter"/>
      <w:start w:val="3"/>
    </w:lvl>
    <w:lvl w:ilvl="1">
      <w:lvlJc w:val="left"/>
      <w:lvlText w:val="%2."/>
      <w:numFmt w:val="lowerRoman"/>
      <w:start w:val="1"/>
    </w:lvl>
  </w:abstractNum>
  <w:abstractNum w:abstractNumId="104">
    <w:nsid w:val="6AA7B75C"/>
    <w:multiLevelType w:val="hybridMultilevel"/>
    <w:lvl w:ilvl="0">
      <w:lvlJc w:val="left"/>
      <w:lvlText w:val="%1."/>
      <w:numFmt w:val="lowerLetter"/>
      <w:start w:val="1"/>
    </w:lvl>
  </w:abstractNum>
  <w:abstractNum w:abstractNumId="105">
    <w:nsid w:val="1DF029D3"/>
    <w:multiLevelType w:val="hybridMultilevel"/>
    <w:lvl w:ilvl="0">
      <w:lvlJc w:val="left"/>
      <w:lvlText w:val="%1"/>
      <w:numFmt w:val="lowerRoman"/>
      <w:start w:val="1"/>
    </w:lvl>
    <w:lvl w:ilvl="1">
      <w:lvlJc w:val="left"/>
      <w:lvlText w:val="%2."/>
      <w:numFmt w:val="lowerLetter"/>
      <w:start w:val="2"/>
    </w:lvl>
  </w:abstractNum>
  <w:abstractNum w:abstractNumId="106">
    <w:nsid w:val="5675FF36"/>
    <w:multiLevelType w:val="hybridMultilevel"/>
    <w:lvl w:ilvl="0">
      <w:lvlJc w:val="left"/>
      <w:lvlText w:val="%1."/>
      <w:numFmt w:val="lowerRoman"/>
      <w:start w:val="4"/>
    </w:lvl>
    <w:lvl w:ilvl="1">
      <w:lvlJc w:val="left"/>
      <w:lvlText w:val="%2"/>
      <w:numFmt w:val="lowerLetter"/>
      <w:start w:val="1"/>
    </w:lvl>
  </w:abstractNum>
  <w:abstractNum w:abstractNumId="107">
    <w:nsid w:val="3DD15094"/>
    <w:multiLevelType w:val="hybridMultilevel"/>
    <w:lvl w:ilvl="0">
      <w:lvlJc w:val="left"/>
      <w:lvlText w:val="%1"/>
      <w:numFmt w:val="decimal"/>
      <w:start w:val="1"/>
    </w:lvl>
    <w:lvl w:ilvl="1">
      <w:lvlJc w:val="left"/>
      <w:lvlText w:val="%2."/>
      <w:numFmt w:val="lowerRoman"/>
      <w:start w:val="9"/>
    </w:lvl>
  </w:abstractNum>
  <w:abstractNum w:abstractNumId="108">
    <w:nsid w:val="3DB012B3"/>
    <w:multiLevelType w:val="hybridMultilevel"/>
    <w:lvl w:ilvl="0">
      <w:lvlJc w:val="left"/>
      <w:lvlText w:val="%1."/>
      <w:numFmt w:val="decimal"/>
      <w:start w:val="2"/>
    </w:lvl>
    <w:lvl w:ilvl="1">
      <w:lvlJc w:val="left"/>
      <w:lvlText w:val="%2"/>
      <w:numFmt w:val="lowerRoman"/>
      <w:start w:val="1"/>
    </w:lvl>
  </w:abstractNum>
  <w:abstractNum w:abstractNumId="109">
    <w:nsid w:val="2708C9AF"/>
    <w:multiLevelType w:val="hybridMultilevel"/>
    <w:lvl w:ilvl="0">
      <w:lvlJc w:val="left"/>
      <w:lvlText w:val="%1."/>
      <w:numFmt w:val="decimal"/>
      <w:start w:val="7"/>
    </w:lvl>
  </w:abstractNum>
  <w:abstractNum w:abstractNumId="110">
    <w:nsid w:val="5B25ACE2"/>
    <w:multiLevelType w:val="hybridMultilevel"/>
    <w:lvl w:ilvl="0">
      <w:lvlJc w:val="left"/>
      <w:lvlText w:val="%1."/>
      <w:numFmt w:val="decimal"/>
      <w:start w:val="11"/>
    </w:lvl>
  </w:abstractNum>
  <w:abstractNum w:abstractNumId="111">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4F97E3E4"/>
    <w:multiLevelType w:val="hybridMultilevel"/>
    <w:lvl w:ilvl="0">
      <w:lvlJc w:val="left"/>
      <w:lvlText w:val="(%1)"/>
      <w:numFmt w:val="lowerLetter"/>
      <w:start w:val="2"/>
    </w:lvl>
    <w:lvl w:ilvl="1">
      <w:lvlJc w:val="left"/>
      <w:lvlText w:val="%2."/>
      <w:numFmt w:val="lowerRoman"/>
      <w:start w:val="1"/>
    </w:lvl>
  </w:abstractNum>
  <w:abstractNum w:abstractNumId="113">
    <w:nsid w:val="53B0A9E"/>
    <w:multiLevelType w:val="hybridMultilevel"/>
    <w:lvl w:ilvl="0">
      <w:lvlJc w:val="left"/>
      <w:lvlText w:val="%1."/>
      <w:numFmt w:val="lowerRoman"/>
      <w:start w:val="3"/>
    </w:lvl>
  </w:abstractNum>
  <w:abstractNum w:abstractNumId="114">
    <w:nsid w:val="34FD6B4F"/>
    <w:multiLevelType w:val="hybridMultilevel"/>
    <w:lvl w:ilvl="0">
      <w:lvlJc w:val="left"/>
      <w:lvlText w:val="(%1)"/>
      <w:numFmt w:val="lowerLetter"/>
      <w:start w:val="3"/>
    </w:lvl>
    <w:lvl w:ilvl="1">
      <w:lvlJc w:val="left"/>
      <w:lvlText w:val="%2."/>
      <w:numFmt w:val="lowerRoman"/>
      <w:start w:val="1"/>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abstractNum>
  <w:abstractNum w:abstractNumId="117">
    <w:nsid w:val="519E3149"/>
    <w:multiLevelType w:val="hybridMultilevel"/>
    <w:lvl w:ilvl="0">
      <w:lvlJc w:val="left"/>
      <w:lvlText w:val="%1."/>
      <w:numFmt w:val="decimal"/>
      <w:start w:val="2"/>
    </w:lvl>
    <w:lvl w:ilvl="1">
      <w:lvlJc w:val="left"/>
      <w:lvlText w:val="(%2)"/>
      <w:numFmt w:val="lowerRoman"/>
      <w:start w:val="2"/>
    </w:lvl>
    <w:lvl w:ilvl="2">
      <w:lvlJc w:val="left"/>
      <w:lvlText w:val="%3"/>
      <w:numFmt w:val="lowerRoman"/>
      <w:start w:val="1"/>
    </w:lvl>
  </w:abstractNum>
  <w:abstractNum w:abstractNumId="118">
    <w:nsid w:val="2C6E4AFD"/>
    <w:multiLevelType w:val="hybridMultilevel"/>
    <w:lvl w:ilvl="0">
      <w:lvlJc w:val="left"/>
      <w:lvlText w:val="%1."/>
      <w:numFmt w:val="decimal"/>
      <w:start w:val="3"/>
    </w:lvl>
  </w:abstractNum>
  <w:abstractNum w:abstractNumId="119">
    <w:nsid w:val="17A1B582"/>
    <w:multiLevelType w:val="hybridMultilevel"/>
    <w:lvl w:ilvl="0">
      <w:lvlJc w:val="left"/>
      <w:lvlText w:val="%1."/>
      <w:numFmt w:val="decimal"/>
      <w:start w:val="8"/>
    </w:lvl>
  </w:abstractNum>
  <w:abstractNum w:abstractNumId="120">
    <w:nsid w:val="4DF72E4E"/>
    <w:multiLevelType w:val="hybridMultilevel"/>
    <w:lvl w:ilvl="0">
      <w:lvlJc w:val="left"/>
      <w:lvlText w:val="%1."/>
      <w:numFmt w:val="decimal"/>
      <w:start w:val="12"/>
    </w:lvl>
  </w:abstractNum>
  <w:abstractNum w:abstractNumId="121">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3">
    <w:nsid w:val="2A082C7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4">
    <w:nsid w:val="5EC6AFD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5">
    <w:nsid w:val="19E21BB2"/>
    <w:multiLevelType w:val="hybridMultilevel"/>
    <w:lvl w:ilvl="0">
      <w:lvlJc w:val="left"/>
      <w:lvlText w:val="(%1)"/>
      <w:numFmt w:val="lowerRoman"/>
      <w:start w:val="2"/>
    </w:lvl>
  </w:abstractNum>
  <w:abstractNum w:abstractNumId="126">
    <w:nsid w:val="75E0858A"/>
    <w:multiLevelType w:val="hybridMultilevel"/>
    <w:lvl w:ilvl="0">
      <w:lvlJc w:val="left"/>
      <w:lvlText w:val="%1"/>
      <w:numFmt w:val="lowerLetter"/>
      <w:start w:val="1"/>
    </w:lvl>
    <w:lvl w:ilvl="1">
      <w:lvlJc w:val="left"/>
      <w:lvlText w:val="(%2)"/>
      <w:numFmt w:val="lowerRoman"/>
      <w:start w:val="4"/>
    </w:lvl>
  </w:abstractNum>
  <w:abstractNum w:abstractNumId="127">
    <w:nsid w:val="57A61A29"/>
    <w:multiLevelType w:val="hybridMultilevel"/>
    <w:lvl w:ilvl="0">
      <w:lvlJc w:val="left"/>
      <w:lvlText w:val="(%1)"/>
      <w:numFmt w:val="lowerLetter"/>
      <w:start w:val="2"/>
    </w:lvl>
    <w:lvl w:ilvl="1">
      <w:lvlJc w:val="left"/>
      <w:lvlText w:val="(%2)"/>
      <w:numFmt w:val="lowerRoman"/>
      <w:start w:val="1"/>
    </w:lvl>
  </w:abstractNum>
  <w:abstractNum w:abstractNumId="128">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9">
    <w:nsid w:val="20EE13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0">
    <w:nsid w:val="442706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75" Type="http://schemas.openxmlformats.org/officeDocument/2006/relationships/image" Target="media/image19.png"/><Relationship Id="rId76" Type="http://schemas.openxmlformats.org/officeDocument/2006/relationships/image" Target="media/image20.png"/><Relationship Id="rId77" Type="http://schemas.openxmlformats.org/officeDocument/2006/relationships/image" Target="media/image21.png"/><Relationship Id="rId78" Type="http://schemas.openxmlformats.org/officeDocument/2006/relationships/image" Target="media/image22.png"/><Relationship Id="rId79" Type="http://schemas.openxmlformats.org/officeDocument/2006/relationships/image" Target="media/image23.png"/><Relationship Id="rId80" Type="http://schemas.openxmlformats.org/officeDocument/2006/relationships/image" Target="media/image24.png"/><Relationship Id="rId81" Type="http://schemas.openxmlformats.org/officeDocument/2006/relationships/image" Target="media/image25.png"/><Relationship Id="rId82" Type="http://schemas.openxmlformats.org/officeDocument/2006/relationships/image" Target="media/image26.png"/><Relationship Id="rId83" Type="http://schemas.openxmlformats.org/officeDocument/2006/relationships/image" Target="media/image27.png"/><Relationship Id="rId84" Type="http://schemas.openxmlformats.org/officeDocument/2006/relationships/image" Target="media/image28.png"/><Relationship Id="rId85" Type="http://schemas.openxmlformats.org/officeDocument/2006/relationships/image" Target="media/image29.png"/><Relationship Id="rId86" Type="http://schemas.openxmlformats.org/officeDocument/2006/relationships/image" Target="media/image30.png"/><Relationship Id="rId87" Type="http://schemas.openxmlformats.org/officeDocument/2006/relationships/image" Target="media/image31.png"/><Relationship Id="rId88" Type="http://schemas.openxmlformats.org/officeDocument/2006/relationships/image" Target="media/image32.png"/><Relationship Id="rId89" Type="http://schemas.openxmlformats.org/officeDocument/2006/relationships/image" Target="media/image33.png"/><Relationship Id="rId90" Type="http://schemas.openxmlformats.org/officeDocument/2006/relationships/image" Target="media/image34.png"/><Relationship Id="rId26" Type="http://schemas.openxmlformats.org/officeDocument/2006/relationships/hyperlink" Target="http://www.sec.gov/Archives/edgar/data/1521036/000119312516691781/d233043dex21.htm" TargetMode="External"/><Relationship Id="rId27" Type="http://schemas.openxmlformats.org/officeDocument/2006/relationships/hyperlink" Target="http://www.sec.gov/Archives/edgar/data/1521036/000119312516755496/d245336dex101.htm" TargetMode="External"/><Relationship Id="rId28" Type="http://schemas.openxmlformats.org/officeDocument/2006/relationships/hyperlink" Target="http://www.sec.gov/Archives/edgar/data/1521036/000119312515241429/d38431dex31.htm" TargetMode="External"/><Relationship Id="rId29" Type="http://schemas.openxmlformats.org/officeDocument/2006/relationships/hyperlink" Target="http://www.sec.gov/Archives/edgar/data/1521036/000119312515241429/d38431dex32.htm" TargetMode="External"/><Relationship Id="rId30" Type="http://schemas.openxmlformats.org/officeDocument/2006/relationships/hyperlink" Target="http://www.sec.gov/Archives/edgar/data/1521036/000119312515241429/d38431dex41.htm" TargetMode="External"/><Relationship Id="rId31" Type="http://schemas.openxmlformats.org/officeDocument/2006/relationships/hyperlink" Target="http://www.sec.gov/Archives/edgar/data/1500156/000104746910010593/a2201437zex-10_9.htm" TargetMode="External"/><Relationship Id="rId32" Type="http://schemas.openxmlformats.org/officeDocument/2006/relationships/hyperlink" Target="http://www.sec.gov/Archives/edgar/data/1500156/000104746910010087/a2200426zex-10_10.htm" TargetMode="External"/><Relationship Id="rId33" Type="http://schemas.openxmlformats.org/officeDocument/2006/relationships/hyperlink" Target="http://www.sec.gov/Archives/edgar/data/1500157/000104746911005107/a2203904zex-10_1.htm" TargetMode="External"/><Relationship Id="rId34" Type="http://schemas.openxmlformats.org/officeDocument/2006/relationships/hyperlink" Target="http://www.sec.gov/Archives/edgar/data/1500156/000104746910010087/a2200426zex-10_26.htm" TargetMode="External"/><Relationship Id="rId35" Type="http://schemas.openxmlformats.org/officeDocument/2006/relationships/hyperlink" Target="http://www.sec.gov/Archives/edgar/data/1500156/000104746910010593/a2201437zex-10_14.htm" TargetMode="External"/><Relationship Id="rId36" Type="http://schemas.openxmlformats.org/officeDocument/2006/relationships/hyperlink" Target="http://www.sec.gov/Archives/edgar/data/1500156/000104746910010620/a2201437zex-10_16.htm" TargetMode="External"/><Relationship Id="rId37" Type="http://schemas.openxmlformats.org/officeDocument/2006/relationships/hyperlink" Target="http://www.sec.gov/Archives/edgar/data/1500156/000104746910010087/a2200426zex-10_17.htm" TargetMode="External"/><Relationship Id="rId38" Type="http://schemas.openxmlformats.org/officeDocument/2006/relationships/hyperlink" Target="http://www.sec.gov/Archives/edgar/data/1500156/000104746910008461/a2199931zex-10_18.htm" TargetMode="External"/><Relationship Id="rId39" Type="http://schemas.openxmlformats.org/officeDocument/2006/relationships/hyperlink" Target="http://www.sec.gov/Archives/edgar/data/1500156/000104746910008461/a2199931zex-10_19.htm" TargetMode="External"/><Relationship Id="rId40" Type="http://schemas.openxmlformats.org/officeDocument/2006/relationships/hyperlink" Target="http://www.sec.gov/Archives/edgar/data/1500156/000104746910008461/a2199931zex-10_20.htm" TargetMode="External"/><Relationship Id="rId41" Type="http://schemas.openxmlformats.org/officeDocument/2006/relationships/hyperlink" Target="http://www.sec.gov/Archives/edgar/data/1500156/000104746910008461/a2199931zex-10_21.htm" TargetMode="External"/><Relationship Id="rId42" Type="http://schemas.openxmlformats.org/officeDocument/2006/relationships/hyperlink" Target="http://www.sec.gov/Archives/edgar/data/1500156/000104746910008461/a2199931zex-10_24.htm" TargetMode="External"/><Relationship Id="rId43" Type="http://schemas.openxmlformats.org/officeDocument/2006/relationships/hyperlink" Target="http://www.sec.gov/Archives/edgar/data/1500157/000104746912006088/a2209454zex-10_1.htm" TargetMode="External"/><Relationship Id="rId44" Type="http://schemas.openxmlformats.org/officeDocument/2006/relationships/hyperlink" Target="http://www.sec.gov/Archives/edgar/data/1500157/000104746912006088/a2209454zex-10_2.htm" TargetMode="External"/><Relationship Id="rId45" Type="http://schemas.openxmlformats.org/officeDocument/2006/relationships/hyperlink" Target="http://www.sec.gov/Archives/edgar/data/1500157/000104746912008316/a2210536zex-10_1.htm" TargetMode="External"/><Relationship Id="rId46" Type="http://schemas.openxmlformats.org/officeDocument/2006/relationships/hyperlink" Target="http://www.sec.gov/Archives/edgar/data/1500157/000104746913003601/a2213365zex-10_53.htm" TargetMode="External"/><Relationship Id="rId47" Type="http://schemas.openxmlformats.org/officeDocument/2006/relationships/hyperlink" Target="http://www.sec.gov/Archives/edgar/data/1500157/000104746913003601/a2213365zex-10_54.htm" TargetMode="External"/><Relationship Id="rId48" Type="http://schemas.openxmlformats.org/officeDocument/2006/relationships/hyperlink" Target="http://www.sec.gov/Archives/edgar/data/1500157/000104746913005910/a2215058zex-10_1.htm" TargetMode="External"/><Relationship Id="rId49" Type="http://schemas.openxmlformats.org/officeDocument/2006/relationships/hyperlink" Target="http://www.sec.gov/Archives/edgar/data/1500157/000110465913037625/a13-11626_1ex10d1.htm" TargetMode="External"/><Relationship Id="rId50" Type="http://schemas.openxmlformats.org/officeDocument/2006/relationships/hyperlink" Target="http://www.sec.gov/Archives/edgar/data/1500157/000110465913037625/a13-11626_1ex10d2.htm" TargetMode="External"/><Relationship Id="rId51" Type="http://schemas.openxmlformats.org/officeDocument/2006/relationships/hyperlink" Target="http://www.sec.gov/Archives/edgar/data/1500157/000110465913037625/a13-11626_1ex10d3.htm" TargetMode="External"/><Relationship Id="rId52" Type="http://schemas.openxmlformats.org/officeDocument/2006/relationships/hyperlink" Target="http://www.sec.gov/Archives/edgar/data/1500157/000104746914002156/a2218835zex-10_48.htm" TargetMode="External"/><Relationship Id="rId53" Type="http://schemas.openxmlformats.org/officeDocument/2006/relationships/hyperlink" Target="http://www.sec.gov/Archives/edgar/data/1521036/000119312515223914/d819826dex1037.htm" TargetMode="External"/><Relationship Id="rId54" Type="http://schemas.openxmlformats.org/officeDocument/2006/relationships/hyperlink" Target="http://www.sec.gov/Archives/edgar/data/1521036/000119312515223914/d819826dex1038.htm" TargetMode="External"/><Relationship Id="rId55" Type="http://schemas.openxmlformats.org/officeDocument/2006/relationships/hyperlink" Target="http://www.sec.gov/Archives/edgar/data/1521036/000119312515223914/d819826dex1039.htm" TargetMode="External"/><Relationship Id="rId56" Type="http://schemas.openxmlformats.org/officeDocument/2006/relationships/hyperlink" Target="http://www.sec.gov/Archives/edgar/data/1521036/000119312514264353/d715471dex1040.htm" TargetMode="External"/><Relationship Id="rId57" Type="http://schemas.openxmlformats.org/officeDocument/2006/relationships/hyperlink" Target="http://www.sec.gov/Archives/edgar/data/1521036/000119312514264353/d715471dex1041.htm" TargetMode="External"/><Relationship Id="rId58" Type="http://schemas.openxmlformats.org/officeDocument/2006/relationships/hyperlink" Target="http://www.sec.gov/Archives/edgar/data/1500157/000119312515172031/d902021dex101.htm" TargetMode="External"/><Relationship Id="rId59" Type="http://schemas.openxmlformats.org/officeDocument/2006/relationships/hyperlink" Target="http://www.sec.gov/Archives/edgar/data/1521036/000119312515241429/d38431dex105.htm" TargetMode="External"/><Relationship Id="rId60" Type="http://schemas.openxmlformats.org/officeDocument/2006/relationships/hyperlink" Target="http://www.sec.gov/Archives/edgar/data/1521036/000119312515241429/d38431dex107.htm" TargetMode="External"/><Relationship Id="rId61" Type="http://schemas.openxmlformats.org/officeDocument/2006/relationships/hyperlink" Target="http://www.sec.gov/Archives/edgar/data/1521036/000119312515241429/d38431dex108.htm" TargetMode="External"/><Relationship Id="rId62" Type="http://schemas.openxmlformats.org/officeDocument/2006/relationships/hyperlink" Target="http://www.sec.gov/Archives/edgar/data/1521036/000119312515366322/d19736dex102.htm" TargetMode="External"/><Relationship Id="rId63" Type="http://schemas.openxmlformats.org/officeDocument/2006/relationships/hyperlink" Target="http://www.sec.gov/Archives/edgar/data/1521036/000119312516490104/d117052dex1053.htm" TargetMode="External"/><Relationship Id="rId64" Type="http://schemas.openxmlformats.org/officeDocument/2006/relationships/hyperlink" Target="http://www.sec.gov/Archives/edgar/data/1521036/000119312516563659/d159370dex101.htm" TargetMode="External"/><Relationship Id="rId65" Type="http://schemas.openxmlformats.org/officeDocument/2006/relationships/hyperlink" Target="http://www.sec.gov/Archives/edgar/data/1521036/000119312516755496/d245336dex102.htm" TargetMode="External"/><Relationship Id="rId66" Type="http://schemas.openxmlformats.org/officeDocument/2006/relationships/hyperlink" Target="http://www.sec.gov/Archives/edgar/data/1521036/000119312517148200/d356566dex101.htm" TargetMode="External"/><Relationship Id="rId67" Type="http://schemas.openxmlformats.org/officeDocument/2006/relationships/hyperlink" Target="http://www.sec.gov/Archives/edgar/data/1521036/000119312517148200/d356566dex102.htm" TargetMode="External"/><Relationship Id="rId68" Type="http://schemas.openxmlformats.org/officeDocument/2006/relationships/hyperlink" Target="http://www.sec.gov/Archives/edgar/data/1521036/000119312517154209/d372243dex101.htm" TargetMode="External"/><Relationship Id="rId69" Type="http://schemas.openxmlformats.org/officeDocument/2006/relationships/hyperlink" Target="http://www.sec.gov/Archives/edgar/data/1521036/000119312517244385/d415254dex101.htm" TargetMode="External"/><Relationship Id="rId70" Type="http://schemas.openxmlformats.org/officeDocument/2006/relationships/hyperlink" Target="http://www.sec.gov/Archives/edgar/data/1521036/000119312517244385/d415254dex102.htm" TargetMode="External"/><Relationship Id="rId71" Type="http://schemas.openxmlformats.org/officeDocument/2006/relationships/hyperlink" Target="http://www.sec.gov/Archives/edgar/data/1521036/000162828018002261/ex1064cardinal.htm" TargetMode="External"/><Relationship Id="rId72" Type="http://schemas.openxmlformats.org/officeDocument/2006/relationships/hyperlink" Target="http://www.sec.gov/Archives/edgar/data/1521036/000162828018002261/ex1065ntp.htm" TargetMode="External"/><Relationship Id="rId73" Type="http://schemas.openxmlformats.org/officeDocument/2006/relationships/hyperlink" Target="http://www.sec.gov/Archives/edgar/data/1521036/000162828018013111/lnth10q-093018ex101.htm" TargetMode="External"/><Relationship Id="rId74" Type="http://schemas.openxmlformats.org/officeDocument/2006/relationships/hyperlink" Target="http://www.sec.gov/Archives/edgar/data/1521036/000162828018013111/lnth10q-09301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2019-12-28T16:21:47Z</dcterms:created>
  <dcterms:modified xsi:type="dcterms:W3CDTF">2019-12-28T16:21:47Z</dcterms:modified>
</cp:coreProperties>
</file>