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001-36569</w:t>
            </w:r>
          </w:p>
        </w:tc>
        <w:tc>
          <w:tcPr>
            <w:tcW w:w="1500" w:type="dxa"/>
            <w:vAlign w:val="bottom"/>
          </w:tcPr>
          <w:p>
            <w:pPr>
              <w:jc w:val="center"/>
              <w:ind w:left="302"/>
              <w:spacing w:after="0"/>
              <w:rPr>
                <w:sz w:val="20"/>
                <w:szCs w:val="20"/>
                <w:color w:val="auto"/>
              </w:rPr>
            </w:pPr>
            <w:r>
              <w:rPr>
                <w:rFonts w:ascii="Times New Roman" w:cs="Times New Roman" w:eastAsia="Times New Roman" w:hAnsi="Times New Roman"/>
                <w:sz w:val="18"/>
                <w:szCs w:val="18"/>
                <w:b w:val="1"/>
                <w:bCs w:val="1"/>
                <w:color w:val="auto"/>
              </w:rPr>
              <w:t>35-2318913</w:t>
            </w:r>
          </w:p>
        </w:tc>
      </w:tr>
      <w:tr>
        <w:trPr>
          <w:trHeight w:val="149"/>
        </w:trPr>
        <w:tc>
          <w:tcPr>
            <w:tcW w:w="1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500" w:type="dxa"/>
            <w:vAlign w:val="bottom"/>
          </w:tcPr>
          <w:p>
            <w:pPr>
              <w:jc w:val="center"/>
              <w:ind w:left="3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0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1880" w:type="dxa"/>
            <w:vAlign w:val="bottom"/>
          </w:tcPr>
          <w:p>
            <w:pPr>
              <w:spacing w:after="0"/>
              <w:rPr>
                <w:sz w:val="24"/>
                <w:szCs w:val="24"/>
                <w:color w:val="auto"/>
              </w:rPr>
            </w:pPr>
          </w:p>
        </w:tc>
        <w:tc>
          <w:tcPr>
            <w:tcW w:w="57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331 Treble Cove Road, North Billerica, MA 01862</w:t>
            </w:r>
          </w:p>
        </w:tc>
        <w:tc>
          <w:tcPr>
            <w:tcW w:w="1500" w:type="dxa"/>
            <w:vAlign w:val="bottom"/>
          </w:tcPr>
          <w:p>
            <w:pPr>
              <w:spacing w:after="0"/>
              <w:rPr>
                <w:sz w:val="24"/>
                <w:szCs w:val="24"/>
                <w:color w:val="auto"/>
              </w:rPr>
            </w:pPr>
          </w:p>
        </w:tc>
      </w:tr>
      <w:tr>
        <w:trPr>
          <w:trHeight w:val="190"/>
        </w:trPr>
        <w:tc>
          <w:tcPr>
            <w:tcW w:w="1880" w:type="dxa"/>
            <w:vAlign w:val="bottom"/>
          </w:tcPr>
          <w:p>
            <w:pPr>
              <w:spacing w:after="0"/>
              <w:rPr>
                <w:sz w:val="16"/>
                <w:szCs w:val="16"/>
                <w:color w:val="auto"/>
              </w:rPr>
            </w:pPr>
          </w:p>
        </w:tc>
        <w:tc>
          <w:tcPr>
            <w:tcW w:w="5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500" w:type="dxa"/>
            <w:vAlign w:val="bottom"/>
          </w:tcPr>
          <w:p>
            <w:pPr>
              <w:spacing w:after="0"/>
              <w:rPr>
                <w:sz w:val="16"/>
                <w:szCs w:val="16"/>
                <w:color w:val="auto"/>
              </w:rPr>
            </w:pPr>
          </w:p>
        </w:tc>
      </w:tr>
      <w:tr>
        <w:trPr>
          <w:trHeight w:val="415"/>
        </w:trPr>
        <w:tc>
          <w:tcPr>
            <w:tcW w:w="1880" w:type="dxa"/>
            <w:vAlign w:val="bottom"/>
          </w:tcPr>
          <w:p>
            <w:pPr>
              <w:spacing w:after="0"/>
              <w:rPr>
                <w:sz w:val="24"/>
                <w:szCs w:val="24"/>
                <w:color w:val="auto"/>
              </w:rPr>
            </w:pPr>
          </w:p>
        </w:tc>
        <w:tc>
          <w:tcPr>
            <w:tcW w:w="57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(978) 671-8001</w:t>
            </w:r>
          </w:p>
        </w:tc>
        <w:tc>
          <w:tcPr>
            <w:tcW w:w="1500" w:type="dxa"/>
            <w:vAlign w:val="bottom"/>
          </w:tcPr>
          <w:p>
            <w:pPr>
              <w:spacing w:after="0"/>
              <w:rPr>
                <w:sz w:val="24"/>
                <w:szCs w:val="24"/>
                <w:color w:val="auto"/>
              </w:rPr>
            </w:pPr>
          </w:p>
        </w:tc>
      </w:tr>
      <w:tr>
        <w:trPr>
          <w:trHeight w:val="407"/>
        </w:trPr>
        <w:tc>
          <w:tcPr>
            <w:tcW w:w="1880" w:type="dxa"/>
            <w:vAlign w:val="bottom"/>
          </w:tcPr>
          <w:p>
            <w:pPr>
              <w:spacing w:after="0"/>
              <w:rPr>
                <w:sz w:val="24"/>
                <w:szCs w:val="24"/>
                <w:color w:val="auto"/>
              </w:rPr>
            </w:pPr>
          </w:p>
        </w:tc>
        <w:tc>
          <w:tcPr>
            <w:tcW w:w="57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Pr>
          <w:p>
            <w:pPr>
              <w:spacing w:after="0"/>
              <w:rPr>
                <w:sz w:val="24"/>
                <w:szCs w:val="24"/>
                <w:color w:val="auto"/>
              </w:rPr>
            </w:pPr>
          </w:p>
        </w:tc>
      </w:tr>
      <w:tr>
        <w:trPr>
          <w:trHeight w:val="190"/>
        </w:trPr>
        <w:tc>
          <w:tcPr>
            <w:tcW w:w="1880" w:type="dxa"/>
            <w:vAlign w:val="bottom"/>
          </w:tcPr>
          <w:p>
            <w:pPr>
              <w:spacing w:after="0"/>
              <w:rPr>
                <w:sz w:val="16"/>
                <w:szCs w:val="16"/>
                <w:color w:val="auto"/>
              </w:rPr>
            </w:pPr>
          </w:p>
        </w:tc>
        <w:tc>
          <w:tcPr>
            <w:tcW w:w="5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54" w:right="29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6, 2018, Lantheus Medical Imaging, Inc. (“LMI”), the operating subsidiary of Lantheus Holdings, Inc., received notice from NTP Radioisotopes (SOC) Ltd. (“NTP”) that it has instituted a temporary suspension of production operations at its molybdenum-99 (“Mo-99”) processing facility in South Africa following a minor transgression of an Operating Technical Specification Limit during a recent Mo-99 production run. NTP’s resumption of operations will depend on the approval by the South African Nuclear Regulator of NTP’s remediation efforts. As it has in similar situations in the past, LMI will work to source additional Mo-99 from its other suppliers, Institute for Radioelements in Belgium and ANSTO in Australia, during NTP’s current suspension of operations. Management is not changing its financial guidance at this time.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for Forward-Looking and Cautionary Statements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as defined under U.S. federal securities laws. Such forward-looking statements are subject to risks and uncertainties that could cause actual results to materially differ from those described in the forward-looking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w:t>
      </w:r>
    </w:p>
    <w:p>
      <w:pPr>
        <w:sectPr>
          <w:pgSz w:w="11900" w:h="16838" w:orient="portrait"/>
          <w:cols w:equalWidth="0" w:num="1">
            <w:col w:w="11360"/>
          </w:cols>
          <w:pgMar w:left="240" w:top="26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P. Duffy</w:t>
            </w:r>
          </w:p>
        </w:tc>
      </w:tr>
      <w:tr>
        <w:trPr>
          <w:trHeight w:val="178"/>
        </w:trPr>
        <w:tc>
          <w:tcPr>
            <w:tcW w:w="5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78" w:lineRule="exact"/>
              <w:rPr>
                <w:sz w:val="20"/>
                <w:szCs w:val="20"/>
                <w:color w:val="auto"/>
              </w:rPr>
            </w:pPr>
            <w:r>
              <w:rPr>
                <w:rFonts w:ascii="Times New Roman" w:cs="Times New Roman" w:eastAsia="Times New Roman" w:hAnsi="Times New Roman"/>
                <w:sz w:val="18"/>
                <w:szCs w:val="18"/>
                <w:color w:val="auto"/>
              </w:rPr>
              <w:t>Michael P. Duffy</w:t>
            </w:r>
          </w:p>
        </w:tc>
      </w:t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Secretary and Senior Vice</w:t>
            </w:r>
          </w:p>
        </w:tc>
      </w:tr>
      <w:tr>
        <w:trPr>
          <w:trHeight w:val="234"/>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Law and Public Policy</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2018</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2019-12-07T23:52:42Z</dcterms:created>
  <dcterms:modified xsi:type="dcterms:W3CDTF">2019-12-07T23:52:42Z</dcterms:modified>
</cp:coreProperties>
</file>