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Crowley John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LANTHEUS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331 TREBLE COVE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Lantheus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LNTH</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10/13/2017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56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020" w:type="dxa"/>
            <w:vAlign w:val="bottom"/>
          </w:tcPr>
          <w:p>
            <w:pPr>
              <w:ind w:left="1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56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020" w:type="dxa"/>
            <w:vAlign w:val="bottom"/>
          </w:tcPr>
          <w:p>
            <w:pPr>
              <w:ind w:left="18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56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020" w:type="dxa"/>
            <w:vAlign w:val="bottom"/>
            <w:vMerge w:val="restart"/>
          </w:tcPr>
          <w:p>
            <w:pPr>
              <w:ind w:left="1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1560" w:type="dxa"/>
            <w:vAlign w:val="bottom"/>
          </w:tcPr>
          <w:p>
            <w:pPr>
              <w:ind w:left="1020"/>
              <w:spacing w:after="0"/>
              <w:rPr>
                <w:sz w:val="20"/>
                <w:szCs w:val="20"/>
                <w:color w:val="auto"/>
              </w:rPr>
            </w:pPr>
            <w:r>
              <w:rPr>
                <w:rFonts w:ascii="Arial" w:cs="Arial" w:eastAsia="Arial" w:hAnsi="Arial"/>
                <w:sz w:val="18"/>
                <w:szCs w:val="18"/>
                <w:color w:val="0000FF"/>
              </w:rPr>
              <w:t>CFO</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542"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8"/>
                <w:szCs w:val="18"/>
                <w:color w:val="0000FF"/>
              </w:rPr>
              <w:t>NORTH</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0000FF"/>
              </w:rPr>
              <w:t>MA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01862</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8"/>
                <w:szCs w:val="18"/>
                <w:color w:val="0000FF"/>
              </w:rPr>
              <w:t>BILLERICA</w:t>
            </w:r>
          </w:p>
        </w:tc>
        <w:tc>
          <w:tcPr>
            <w:tcW w:w="102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1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10/13/2017</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95"/>
              </w:rPr>
              <w:t>6,755</w:t>
            </w:r>
            <w:r>
              <w:rPr>
                <w:rFonts w:ascii="Arial" w:cs="Arial" w:eastAsia="Arial" w:hAnsi="Arial"/>
                <w:sz w:val="22"/>
                <w:szCs w:val="22"/>
                <w:color w:val="008000"/>
                <w:w w:val="95"/>
                <w:vertAlign w:val="superscript"/>
              </w:rPr>
              <w:t>(1)</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18.411</w:t>
            </w:r>
            <w:r>
              <w:rPr>
                <w:rFonts w:ascii="Arial" w:cs="Arial" w:eastAsia="Arial" w:hAnsi="Arial"/>
                <w:sz w:val="22"/>
                <w:szCs w:val="22"/>
                <w:color w:val="008000"/>
                <w:w w:val="91"/>
                <w:vertAlign w:val="superscript"/>
              </w:rPr>
              <w:t>(2)</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144,906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transactions reported in this Form 4 were effected pursuant to a Rule 10b5-1 trading plan adopted by the reporting person on September 11, 2017.</w:t>
      </w:r>
    </w:p>
    <w:p>
      <w:pPr>
        <w:spacing w:after="0" w:line="41"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$18.30 to $18.55, inclusive. The reporting person undertakes to provide to Lantheus Holdings, Inc., any security holder of Lantheus Holdings, Inc. or the staff of the Securities and Exchange Commission, upon request, full information regarding the number of shares sold at each separate price within the ranges set forth in this footnote (2) to this Form 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Michael P. Duffy, attorney-</w:t>
            </w:r>
          </w:p>
        </w:tc>
        <w:tc>
          <w:tcPr>
            <w:tcW w:w="10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10/17/2017</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0665" TargetMode="External"/><Relationship Id="rId13"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2019-12-04T02:12:25Z</dcterms:created>
  <dcterms:modified xsi:type="dcterms:W3CDTF">2019-12-04T02:12:25Z</dcterms:modified>
</cp:coreProperties>
</file>