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0001861113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3"/>
        <w:spacing w:after="0"/>
        <w:rPr>
          <w:sz w:val="20"/>
          <w:szCs w:val="20"/>
          <w:color w:val="auto"/>
        </w:rPr>
      </w:pPr>
      <w:r>
        <w:rPr>
          <w:rFonts w:ascii="Arial" w:cs="Arial" w:eastAsia="Arial" w:hAnsi="Arial"/>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Arial" w:cs="Arial" w:eastAsia="Arial" w:hAnsi="Arial"/>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Arial" w:cs="Arial" w:eastAsia="Arial" w:hAnsi="Arial"/>
          <w:sz w:val="19"/>
          <w:szCs w:val="19"/>
          <w:color w:val="auto"/>
        </w:rPr>
        <w:t>331 TREBLE COVE ROAD</w:t>
      </w:r>
    </w:p>
    <w:p>
      <w:pPr>
        <w:spacing w:after="0" w:line="33" w:lineRule="exact"/>
        <w:rPr>
          <w:sz w:val="24"/>
          <w:szCs w:val="24"/>
          <w:color w:val="auto"/>
        </w:rPr>
      </w:pPr>
    </w:p>
    <w:p>
      <w:pPr>
        <w:ind w:left="3"/>
        <w:spacing w:after="0"/>
        <w:rPr>
          <w:sz w:val="20"/>
          <w:szCs w:val="20"/>
          <w:color w:val="auto"/>
        </w:rPr>
      </w:pPr>
      <w:r>
        <w:rPr>
          <w:rFonts w:ascii="Arial" w:cs="Arial" w:eastAsia="Arial" w:hAnsi="Arial"/>
          <w:sz w:val="22"/>
          <w:szCs w:val="22"/>
          <w:color w:val="auto"/>
        </w:rPr>
        <w:t>NORTH BILLERICA</w:t>
      </w:r>
    </w:p>
    <w:p>
      <w:pPr>
        <w:ind w:left="3"/>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Arial" w:cs="Arial" w:eastAsia="Arial" w:hAnsi="Arial"/>
          <w:sz w:val="22"/>
          <w:szCs w:val="22"/>
          <w:color w:val="auto"/>
        </w:rPr>
        <w:t>01862</w:t>
      </w:r>
    </w:p>
    <w:p>
      <w:pPr>
        <w:spacing w:after="0" w:line="26" w:lineRule="exact"/>
        <w:rPr>
          <w:sz w:val="24"/>
          <w:szCs w:val="24"/>
          <w:color w:val="auto"/>
        </w:rPr>
      </w:pPr>
    </w:p>
    <w:p>
      <w:pPr>
        <w:ind w:left="3" w:right="1720" w:hanging="3"/>
        <w:spacing w:after="0" w:line="326" w:lineRule="auto"/>
        <w:tabs>
          <w:tab w:leader="none" w:pos="381" w:val="left"/>
        </w:tabs>
        <w:numPr>
          <w:ilvl w:val="0"/>
          <w:numId w:val="1"/>
        </w:numPr>
        <w:rPr>
          <w:rFonts w:ascii="Arial" w:cs="Arial" w:eastAsia="Arial" w:hAnsi="Arial"/>
          <w:sz w:val="19"/>
          <w:szCs w:val="19"/>
          <w:color w:val="auto"/>
        </w:rPr>
      </w:pPr>
      <w:r>
        <w:rPr>
          <w:rFonts w:ascii="Arial" w:cs="Arial" w:eastAsia="Arial" w:hAnsi="Arial"/>
          <w:sz w:val="19"/>
          <w:szCs w:val="19"/>
          <w:color w:val="auto"/>
        </w:rPr>
        <w:t>671-8001 Niedzwiecki Daniel</w:t>
      </w:r>
    </w:p>
    <w:p>
      <w:pPr>
        <w:spacing w:after="0" w:line="1" w:lineRule="exact"/>
        <w:rPr>
          <w:sz w:val="24"/>
          <w:szCs w:val="24"/>
          <w:color w:val="auto"/>
        </w:rPr>
      </w:pPr>
    </w:p>
    <w:p>
      <w:pPr>
        <w:sectPr>
          <w:pgSz w:w="11900" w:h="16838" w:orient="portrait"/>
          <w:cols w:equalWidth="0" w:num="2">
            <w:col w:w="7077" w:space="720"/>
            <w:col w:w="3443"/>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2846</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189059.78</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68430697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09/15/2023</w:t>
            </w:r>
          </w:p>
        </w:tc>
        <w:tc>
          <w:tcPr>
            <w:tcW w:w="1540" w:type="dxa"/>
            <w:vAlign w:val="bottom"/>
          </w:tcPr>
          <w:p>
            <w:pPr>
              <w:ind w:left="20"/>
              <w:spacing w:after="0"/>
              <w:rPr>
                <w:sz w:val="20"/>
                <w:szCs w:val="20"/>
                <w:color w:val="auto"/>
              </w:rPr>
            </w:pPr>
            <w:r>
              <w:rPr>
                <w:rFonts w:ascii="Arial" w:cs="Arial" w:eastAsia="Arial" w:hAnsi="Arial"/>
                <w:sz w:val="22"/>
                <w:szCs w:val="22"/>
                <w:color w:val="auto"/>
                <w:w w:val="99"/>
              </w:rPr>
              <w:t>Option Granted</w:t>
            </w:r>
          </w:p>
        </w:tc>
        <w:tc>
          <w:tcPr>
            <w:tcW w:w="1920" w:type="dxa"/>
            <w:vAlign w:val="bottom"/>
            <w:vMerge w:val="restart"/>
          </w:tcPr>
          <w:p>
            <w:pPr>
              <w:ind w:left="18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2846</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09/15/2023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40" w:type="dxa"/>
            <w:vAlign w:val="bottom"/>
          </w:tcPr>
          <w:p>
            <w:pPr>
              <w:ind w:left="20"/>
              <w:spacing w:after="0"/>
              <w:rPr>
                <w:sz w:val="20"/>
                <w:szCs w:val="20"/>
                <w:color w:val="auto"/>
              </w:rPr>
            </w:pPr>
            <w:r>
              <w:rPr>
                <w:rFonts w:ascii="Arial" w:cs="Arial" w:eastAsia="Arial" w:hAnsi="Arial"/>
                <w:sz w:val="22"/>
                <w:szCs w:val="22"/>
                <w:color w:val="auto"/>
              </w:rPr>
              <w:t>11/06/2013</w:t>
            </w:r>
          </w:p>
        </w:tc>
        <w:tc>
          <w:tcPr>
            <w:tcW w:w="19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20" w:type="dxa"/>
            <w:vAlign w:val="bottom"/>
            <w:vMerge w:val="restart"/>
          </w:tcPr>
          <w:p>
            <w:pPr>
              <w:ind w:left="9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0"/>
                <w:szCs w:val="20"/>
                <w:color w:val="auto"/>
              </w:rPr>
            </w:pPr>
            <w:r>
              <w:rPr>
                <w:rFonts w:ascii="Arial" w:cs="Arial" w:eastAsia="Arial" w:hAnsi="Arial"/>
                <w:sz w:val="22"/>
                <w:szCs w:val="22"/>
                <w:color w:val="auto"/>
              </w:rPr>
              <w:t>Daniel Niedzwiecki</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w w:val="96"/>
              </w:rPr>
              <w:t>201 Burlington Road, South Building</w:t>
            </w:r>
          </w:p>
        </w:tc>
        <w:tc>
          <w:tcPr>
            <w:tcW w:w="3420" w:type="dxa"/>
            <w:vAlign w:val="bottom"/>
          </w:tcPr>
          <w:p>
            <w:pPr>
              <w:ind w:left="1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08/11/2023 4297</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291895.21</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0"/>
                <w:szCs w:val="20"/>
                <w:color w:val="auto"/>
              </w:rPr>
            </w:pPr>
            <w:r>
              <w:rPr>
                <w:rFonts w:ascii="Arial" w:cs="Arial" w:eastAsia="Arial" w:hAnsi="Arial"/>
                <w:sz w:val="22"/>
                <w:szCs w:val="22"/>
                <w:color w:val="auto"/>
              </w:rPr>
              <w:t>Bedford  MA  01730</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2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09/15/2023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02/24/2023</w:t>
      </w:r>
    </w:p>
    <w:p>
      <w:pPr>
        <w:spacing w:after="0" w:line="652" w:lineRule="exact"/>
        <w:rPr>
          <w:sz w:val="20"/>
          <w:szCs w:val="20"/>
          <w:color w:val="auto"/>
        </w:rPr>
      </w:pPr>
    </w:p>
    <w:p>
      <w:pPr>
        <w:sectPr>
          <w:pgSz w:w="11900" w:h="16838" w:orient="portrait"/>
          <w:cols w:equalWidth="0" w:num="2">
            <w:col w:w="3400" w:space="720"/>
            <w:col w:w="712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20" w:type="dxa"/>
            <w:vAlign w:val="bottom"/>
          </w:tcPr>
          <w:p>
            <w:pPr>
              <w:ind w:left="1620"/>
              <w:spacing w:after="0" w:line="246" w:lineRule="exact"/>
              <w:rPr>
                <w:sz w:val="20"/>
                <w:szCs w:val="20"/>
                <w:color w:val="auto"/>
              </w:rPr>
            </w:pPr>
            <w:r>
              <w:rPr>
                <w:rFonts w:ascii="Arial" w:cs="Arial" w:eastAsia="Arial" w:hAnsi="Arial"/>
                <w:sz w:val="22"/>
                <w:szCs w:val="22"/>
                <w:color w:val="auto"/>
                <w:w w:val="88"/>
              </w:rPr>
              <w:t>/s/ Rae Pierson, as a duly authorized representative of Fidelity Brokerage</w:t>
            </w:r>
          </w:p>
        </w:tc>
        <w:tc>
          <w:tcPr>
            <w:tcW w:w="0" w:type="dxa"/>
            <w:vAlign w:val="bottom"/>
          </w:tcPr>
          <w:p>
            <w:pPr>
              <w:spacing w:after="0"/>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7920" w:type="dxa"/>
            <w:vAlign w:val="bottom"/>
            <w:vMerge w:val="restart"/>
          </w:tcPr>
          <w:p>
            <w:pPr>
              <w:ind w:left="1620"/>
              <w:spacing w:after="0"/>
              <w:rPr>
                <w:sz w:val="20"/>
                <w:szCs w:val="20"/>
                <w:color w:val="auto"/>
              </w:rPr>
            </w:pPr>
            <w:r>
              <w:rPr>
                <w:rFonts w:ascii="Arial" w:cs="Arial" w:eastAsia="Arial" w:hAnsi="Arial"/>
                <w:sz w:val="22"/>
                <w:szCs w:val="22"/>
                <w:color w:val="auto"/>
              </w:rPr>
              <w:t>Services LLC, as attorney-in-fact for Daniel Niedzwiecki</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2023-09-15T11:04:46Z</dcterms:created>
  <dcterms:modified xsi:type="dcterms:W3CDTF">2023-09-15T11:04:46Z</dcterms:modified>
</cp:coreProperties>
</file>