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219075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247015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234315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227965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82" w:lineRule="exact"/>
        <w:rPr>
          <w:sz w:val="24"/>
          <w:szCs w:val="24"/>
          <w:color w:val="auto"/>
        </w:rPr>
      </w:pPr>
    </w:p>
    <w:p>
      <w:pPr>
        <w:sectPr>
          <w:pgSz w:w="11900" w:h="16838" w:orient="portrait"/>
          <w:cols w:equalWidth="0" w:num="3">
            <w:col w:w="4680" w:space="720"/>
            <w:col w:w="2980" w:space="720"/>
            <w:col w:w="2260"/>
          </w:cols>
          <w:pgMar w:left="240" w:top="1125" w:right="299" w:bottom="1440" w:gutter="0" w:footer="0" w:header="0"/>
          <w:type w:val="continuous"/>
        </w:sect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640" w:space="720"/>
            <w:col w:w="2900" w:space="720"/>
            <w:col w:w="2380"/>
          </w:cols>
          <w:pgMar w:left="240" w:top="1125" w:right="29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93" w:lineRule="exact"/>
        <w:rPr>
          <w:sz w:val="24"/>
          <w:szCs w:val="24"/>
          <w:color w:val="auto"/>
        </w:rPr>
      </w:pPr>
    </w:p>
    <w:p>
      <w:pPr>
        <w:sectPr>
          <w:pgSz w:w="11900" w:h="16838" w:orient="portrait"/>
          <w:cols w:equalWidth="0" w:num="2">
            <w:col w:w="7520" w:space="720"/>
            <w:col w:w="3120"/>
          </w:cols>
          <w:pgMar w:left="240" w:top="1125" w:right="29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00" w:space="720"/>
            <w:col w:w="3240"/>
          </w:cols>
          <w:pgMar w:left="240" w:top="1125" w:right="299" w:bottom="1440" w:gutter="0" w:footer="0" w:header="0"/>
          <w:type w:val="continuous"/>
        </w:sectPr>
      </w:pP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246380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7160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73660</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2, 2018, Lantheus Holdings, Inc. (the “Company”) announced via press release its financial results as of and for the three months ended, March 31, 2018. A copy of that press release is being furnished as Exhibit 99.1 and is hereby incorporated by reference.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9480" w:type="dxa"/>
            <w:vAlign w:val="bottom"/>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Press release of Lantheus Holdings, Inc. dated May 2, 2018, entitled “Lantheus Holdings, Inc. Reports 2018 First Quarter Results’’</w:t>
            </w:r>
          </w:p>
        </w:tc>
        <w:tc>
          <w:tcPr>
            <w:tcW w:w="40" w:type="dxa"/>
            <w:vAlign w:val="bottom"/>
          </w:tcPr>
          <w:p>
            <w:pPr>
              <w:spacing w:after="0"/>
              <w:rPr>
                <w:sz w:val="17"/>
                <w:szCs w:val="17"/>
                <w:color w:val="auto"/>
              </w:rPr>
            </w:pPr>
          </w:p>
        </w:tc>
      </w:tr>
    </w:tbl>
    <w:p>
      <w:pPr>
        <w:spacing w:after="0" w:line="256" w:lineRule="exact"/>
        <w:rPr>
          <w:sz w:val="20"/>
          <w:szCs w:val="20"/>
          <w:color w:val="auto"/>
        </w:rPr>
      </w:pPr>
    </w:p>
    <w:p>
      <w:pPr>
        <w:jc w:val="both"/>
        <w:ind w:left="460" w:right="140" w:hanging="438"/>
        <w:spacing w:after="0" w:line="286"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360"/>
          </w:cols>
          <w:pgMar w:left="240" w:top="58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LANTHEUS HOLDINGS, INC.</w:t>
      </w:r>
    </w:p>
    <w:p>
      <w:pPr>
        <w:spacing w:after="0" w:line="33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Pr>
          <w:p>
            <w:pPr>
              <w:ind w:left="40"/>
              <w:spacing w:after="0"/>
              <w:rPr>
                <w:sz w:val="20"/>
                <w:szCs w:val="20"/>
                <w:color w:val="auto"/>
              </w:rPr>
            </w:pPr>
            <w:r>
              <w:rPr>
                <w:rFonts w:ascii="Arial" w:cs="Arial" w:eastAsia="Arial" w:hAnsi="Arial"/>
                <w:sz w:val="18"/>
                <w:szCs w:val="18"/>
                <w:color w:val="auto"/>
              </w:rPr>
              <w:t>/S/ DANIEL NIEDZWIECKI</w:t>
            </w:r>
          </w:p>
        </w:tc>
        <w:tc>
          <w:tcPr>
            <w:tcW w:w="0" w:type="dxa"/>
            <w:vAlign w:val="bottom"/>
          </w:tcPr>
          <w:p>
            <w:pPr>
              <w:spacing w:after="0"/>
              <w:rPr>
                <w:sz w:val="1"/>
                <w:szCs w:val="1"/>
                <w:color w:val="auto"/>
              </w:rPr>
            </w:pPr>
          </w:p>
        </w:tc>
      </w:tr>
      <w:tr>
        <w:trPr>
          <w:trHeight w:val="102"/>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40" w:type="dxa"/>
            <w:vAlign w:val="bottom"/>
            <w:vMerge w:val="continue"/>
          </w:tcPr>
          <w:p>
            <w:pPr>
              <w:spacing w:after="0"/>
              <w:rPr>
                <w:sz w:val="21"/>
                <w:szCs w:val="21"/>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Daniel Niedzwiecki</w:t>
            </w:r>
          </w:p>
        </w:tc>
        <w:tc>
          <w:tcPr>
            <w:tcW w:w="0" w:type="dxa"/>
            <w:vAlign w:val="bottom"/>
          </w:tcPr>
          <w:p>
            <w:pPr>
              <w:spacing w:after="0"/>
              <w:rPr>
                <w:sz w:val="1"/>
                <w:szCs w:val="1"/>
                <w:color w:val="auto"/>
              </w:rPr>
            </w:pP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40"/>
              <w:spacing w:after="0"/>
              <w:rPr>
                <w:sz w:val="20"/>
                <w:szCs w:val="20"/>
                <w:color w:val="auto"/>
              </w:rPr>
            </w:pPr>
            <w:r>
              <w:rPr>
                <w:rFonts w:ascii="Arial" w:cs="Arial" w:eastAsia="Arial" w:hAnsi="Arial"/>
                <w:sz w:val="18"/>
                <w:szCs w:val="18"/>
                <w:color w:val="auto"/>
              </w:rPr>
              <w:t>Vice President, Deputy General Counsel &amp; 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7"/>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
        <w:spacing w:after="0"/>
        <w:tabs>
          <w:tab w:leader="none" w:pos="5578"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61" w:lineRule="exact"/>
        <w:rPr>
          <w:sz w:val="20"/>
          <w:szCs w:val="20"/>
          <w:color w:val="auto"/>
        </w:rPr>
      </w:pPr>
    </w:p>
    <w:p>
      <w:pPr>
        <w:ind w:left="278"/>
        <w:spacing w:after="0"/>
        <w:tabs>
          <w:tab w:leader="none" w:pos="1198"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Lantheus Holdings, Inc. dated May 2, 2018, entitled “Lantheus Holdings, Inc. Reports 2018 First Quarter Results’’</w:t>
      </w:r>
    </w:p>
    <w:p>
      <w:pPr>
        <w:spacing w:after="0" w:line="252" w:lineRule="exact"/>
        <w:rPr>
          <w:sz w:val="20"/>
          <w:szCs w:val="20"/>
          <w:color w:val="auto"/>
        </w:rPr>
      </w:pPr>
    </w:p>
    <w:p>
      <w:pPr>
        <w:jc w:val="both"/>
        <w:ind w:left="438" w:hanging="438"/>
        <w:spacing w:after="0" w:line="286" w:lineRule="auto"/>
        <w:tabs>
          <w:tab w:leader="none" w:pos="438"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198"/>
          </w:cols>
          <w:pgMar w:left="262" w:top="580" w:right="4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74942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48895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800.362.2668 www.lantheus.com</w:t>
      </w:r>
    </w:p>
    <w:p>
      <w:pPr>
        <w:spacing w:after="0" w:line="200" w:lineRule="exact"/>
        <w:rPr>
          <w:sz w:val="20"/>
          <w:szCs w:val="20"/>
          <w:color w:val="auto"/>
        </w:rPr>
      </w:pPr>
    </w:p>
    <w:p>
      <w:pPr>
        <w:sectPr>
          <w:pgSz w:w="11900" w:h="16838" w:orient="portrait"/>
          <w:cols w:equalWidth="0" w:num="2">
            <w:col w:w="9060" w:space="680"/>
            <w:col w:w="1680"/>
          </w:cols>
          <w:pgMar w:left="240" w:top="1013"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Lantheus Holdings, Inc. Reports 2018 First Quarter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DEFINITY® worldwide revenues increase 18.4% year over year</w:t>
      </w:r>
    </w:p>
    <w:p>
      <w:pPr>
        <w:sectPr>
          <w:pgSz w:w="11900" w:h="16838" w:orient="portrait"/>
          <w:cols w:equalWidth="0" w:num="1">
            <w:col w:w="11420"/>
          </w:cols>
          <w:pgMar w:left="240" w:top="1013" w:right="239" w:bottom="1440" w:gutter="0" w:footer="0" w:header="0"/>
          <w:type w:val="continuous"/>
        </w:sectPr>
      </w:pPr>
    </w:p>
    <w:p>
      <w:pPr>
        <w:spacing w:after="0" w:line="24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NORTH BILLERICA, Mass., May 2, 2018 - Lantheus Holdings, Inc. (the “Company”) (NASDAQ: LNTH), parent company of Lantheus Medical Imaging, Inc. (“LMI”), a global leader in the development, manufacture and commercialization of innovative diagnostic imaging agents and products, today reported financial results for its first quarter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first quarter provided an excellent start to the year, driven by robust sales for DEFINITY,” said Mary Anne Heino, President and CEO. “The first quarter also was marked by effective execution across a number of programs as we look to enhance the growth trajectory and profitability of our core microbubble franchise, augment our pipeline with focus on emerging technologies, and pursue complementary, external opportunities across the broader Life Sciences sector that fit with our objective to deliver long-term sustainable growth and profitability.”</w:t>
      </w:r>
    </w:p>
    <w:p>
      <w:pPr>
        <w:spacing w:after="0" w:line="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application of microbubbles is emerging as a valuable platform for increased uses, including drug delivery and therapy. With the expertise we have built in microbubble technology, our goal is to lead in these growing markets. At the same time, clinical work regarding flurpiridaz F 18, a novel PET cardiac imaging agent for the evaluation of coronary artery disease, and LMI 1195, our fluorine-18-based PET agent which is expected to aid the diagnosis of heart failure patients at risk for sudden cardiac death, is proceeding on schedule. Internationally, our DEFINITY China program continues to move forward, with patient enrollment completed for the cardiac and pharmacokinetic studies, while enrollment in the kidney and liver studies is ongoing. We look to continue to execute successfully on our strategy and will report on our progress as we proceed through 2018,” continued Ms. Heino.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worldwide revenues for the first quarter of 2018 totaled $82.6 million, representing an increase of 1.6% compared with $81.4 million for the first quarter of 2017. DEFINITY, the Company's flagship product and the world's leading echo contrast agent, had worldwide revenues of $44.7 million for the first quarter, an increase of 18.4% from the year-ago period.</w:t>
      </w:r>
    </w:p>
    <w:p>
      <w:pPr>
        <w:spacing w:after="0" w:line="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income for the first quarter of 2018 totaled $8.2 million, or $0.21 per diluted share, compared with $4.1 million, or $0.11 per diluted share, for the first quarter of 2017. The Company’s first quarter 2018 Adjusted EBITDA (as outlined in the GAAP to non-GAAP reconciliation provided below) was $23.1 million, or 27.9% of revenues, compared with $22.7 million, or 27.8% of revenues, for the first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second quarter of 2018, the Company expects worldwide revenues in the range of $85 million to $90 million. The Company expects Adjusted EBITDA, as described in the GAAP to non-GAAP reconciliation provided later in this release, of $20 million to $23 million, representing 22.2% to 27.1% of anticipated worldwide revenues.</w:t>
      </w:r>
    </w:p>
    <w:p>
      <w:pPr>
        <w:spacing w:after="0" w:line="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maintains its guidance for full year 2018 worldwide revenues of approximately $337 million to $342 million, compared with $326.4 million in 2017 (which excludes a $5 million up-front payment received from GE Healthcare). The Company also maintains its guidance for full year 2018 Adjusted EBITDA of $85 million to $90 million, representing 24.9% to 26.7% of anticipated worldwide revenues.</w:t>
      </w:r>
    </w:p>
    <w:p>
      <w:pPr>
        <w:spacing w:after="0" w:line="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Company’s guidance for worldwide revenues and Adjusted EBITDA are forward-looking statements. They are subject to various risks and uncertainties that could cause the Company’s actual results to differ materially from guidance. Forward-looking statements are not predictions of the Company’s actual performance. See the cautionary information about forward-looking statements in the “Safe-Harbor Statement” section of this press release.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27"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The Company routinely posts information that may be important to investors in the “Investors” section of its website at http://www.lantheus.com/. The Company encourages investors and potential investors to consult its website regularly for important information about the Company.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013"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As previously announced, the Company will host a conference call starting at 4:30 p.m. Eastern Time today. To access the live conference call via telephone, please dial 1-866-498-8390 (U.S. callers) or 1-678-509-7599 (international callers) and provide passcode 8487086. A live audio webcast of the call also will be available in the Investors section of the Company’s website at www.lantheus.com.</w:t>
      </w:r>
    </w:p>
    <w:p>
      <w:pPr>
        <w:spacing w:after="0" w:line="8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 replay of the audio webcast will be available in the Investors section of our website at www.lantheus.com approximately two hours after completion of the call and will be archived for 30 days.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conference call may include forward-looking statements. See the cautionary information about forward-looking statements in the safe-harbor section of this press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 and Lantheus Medical Imaging, Inc.</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 Vial for (Perflutren Lipid Microsphere) Injectable Suspension; TechneLite® (Technetium Tc99m Generator), a technetium-based 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www.lantheus.com.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uses non-GAAP financial measures, such as revenues excluding the impact of foreign currency; adjusted operating income; adjusted net income and its line components; Adjusted EBITDA; adjusted net income per share - diluted; and free cash flow. The Company’s management believes that the presentation of these measures provides useful information to investors. These measures may assist investors in evaluating the Company’s operations, period over period. The measures may exclude such items which may be highly variable, difficult to predict and of a size that could have substantial impact on the Company’s reported results of operations for a period. Management uses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as defined under U.S. federal securities laws, including statements about our 2018 outlook.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 This press release includes forward-looking non-GAAP guidance for 2018 Adjusted EBITDA. No reconciliation of this forward-looking non-GAAP guidance was included in this press release because, due to the high variability and difficulty in making accurate forecasts and projections of some of the excluded information and the fact that some of the excluded information is not readily ascertainable or accessible, the Company is unable to quantify certain amounts that would be required to be included in the most directly comparable GAAP financial measure without unreasonable efforts.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Tables Follow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420"/>
          </w:cols>
          <w:pgMar w:left="240" w:top="1013" w:right="239" w:bottom="1440" w:gutter="0" w:footer="0" w:header="0"/>
        </w:sectPr>
      </w:pPr>
    </w:p>
    <w:bookmarkStart w:id="6" w:name="page7"/>
    <w:bookmarkEnd w:id="6"/>
    <w:p>
      <w:pPr>
        <w:ind w:left="36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81,359</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41,597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39,762</w:t>
            </w:r>
          </w:p>
        </w:tc>
        <w:tc>
          <w:tcPr>
            <w:tcW w:w="0" w:type="dxa"/>
            <w:vAlign w:val="bottom"/>
          </w:tcPr>
          <w:p>
            <w:pPr>
              <w:spacing w:after="0"/>
              <w:rPr>
                <w:sz w:val="1"/>
                <w:szCs w:val="1"/>
                <w:color w:val="auto"/>
              </w:rPr>
            </w:pPr>
          </w:p>
        </w:tc>
      </w:tr>
      <w:tr>
        <w:trPr>
          <w:trHeight w:val="223"/>
        </w:trPr>
        <w:tc>
          <w:tcPr>
            <w:tcW w:w="5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7"/>
        </w:trPr>
        <w:tc>
          <w:tcPr>
            <w:tcW w:w="54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27,835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54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67"/>
        </w:trPr>
        <w:tc>
          <w:tcPr>
            <w:tcW w:w="54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9019"/>
          </w:cols>
          <w:pgMar w:left="1440" w:top="850" w:right="1440" w:bottom="1440" w:gutter="0" w:footer="0" w:header="0"/>
        </w:sectPr>
      </w:pPr>
    </w:p>
    <w:bookmarkStart w:id="7" w:name="page8"/>
    <w:bookmarkEnd w:id="7"/>
    <w:p>
      <w:pPr>
        <w:ind w:left="36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Segment Revenues Analysis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Change</w:t>
            </w: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DEFINITY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Xenon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7"/>
        </w:trPr>
        <w:tc>
          <w:tcPr>
            <w:tcW w:w="3320" w:type="dxa"/>
            <w:vAlign w:val="bottom"/>
            <w:gridSpan w:val="5"/>
          </w:tcPr>
          <w:p>
            <w:pPr>
              <w:ind w:left="20"/>
              <w:spacing w:after="0"/>
              <w:rPr>
                <w:sz w:val="20"/>
                <w:szCs w:val="20"/>
                <w:color w:val="auto"/>
              </w:rPr>
            </w:pPr>
            <w:r>
              <w:rPr>
                <w:rFonts w:ascii="Arial" w:cs="Arial" w:eastAsia="Arial" w:hAnsi="Arial"/>
                <w:sz w:val="18"/>
                <w:szCs w:val="18"/>
                <w:color w:val="auto"/>
              </w:rPr>
              <w:t>Total United States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DEFINITY</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Xenon</w:t>
            </w:r>
          </w:p>
        </w:tc>
        <w:tc>
          <w:tcPr>
            <w:tcW w:w="2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7"/>
        </w:trPr>
        <w:tc>
          <w:tcPr>
            <w:tcW w:w="3320" w:type="dxa"/>
            <w:vAlign w:val="bottom"/>
            <w:gridSpan w:val="5"/>
          </w:tcPr>
          <w:p>
            <w:pPr>
              <w:ind w:left="20"/>
              <w:spacing w:after="0"/>
              <w:rPr>
                <w:sz w:val="20"/>
                <w:szCs w:val="20"/>
                <w:color w:val="auto"/>
              </w:rPr>
            </w:pPr>
            <w:r>
              <w:rPr>
                <w:rFonts w:ascii="Arial" w:cs="Arial" w:eastAsia="Arial" w:hAnsi="Arial"/>
                <w:sz w:val="18"/>
                <w:szCs w:val="18"/>
                <w:color w:val="auto"/>
              </w:rPr>
              <w:t>Total International</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Worldwide</w:t>
            </w:r>
          </w:p>
        </w:tc>
        <w:tc>
          <w:tcPr>
            <w:tcW w:w="250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DEFINITY</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20" w:type="dxa"/>
            <w:vAlign w:val="bottom"/>
          </w:tcPr>
          <w:p>
            <w:pPr>
              <w:spacing w:after="0"/>
              <w:rPr>
                <w:sz w:val="21"/>
                <w:szCs w:val="21"/>
                <w:color w:val="auto"/>
              </w:rPr>
            </w:pPr>
          </w:p>
        </w:tc>
        <w:tc>
          <w:tcPr>
            <w:tcW w:w="3300" w:type="dxa"/>
            <w:vAlign w:val="bottom"/>
            <w:gridSpan w:val="4"/>
          </w:tcPr>
          <w:p>
            <w:pPr>
              <w:ind w:left="240"/>
              <w:spacing w:after="0"/>
              <w:rPr>
                <w:sz w:val="20"/>
                <w:szCs w:val="20"/>
                <w:color w:val="auto"/>
              </w:rPr>
            </w:pPr>
            <w:r>
              <w:rPr>
                <w:rFonts w:ascii="Arial" w:cs="Arial" w:eastAsia="Arial" w:hAnsi="Arial"/>
                <w:sz w:val="18"/>
                <w:szCs w:val="18"/>
                <w:color w:val="auto"/>
              </w:rPr>
              <w:t>Xenon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3320" w:type="dxa"/>
            <w:vAlign w:val="bottom"/>
            <w:gridSpan w:val="5"/>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9019"/>
          </w:cols>
          <w:pgMar w:left="1440" w:top="850" w:right="1440" w:bottom="1440" w:gutter="0" w:footer="0" w:header="0"/>
        </w:sectPr>
      </w:pPr>
    </w:p>
    <w:bookmarkStart w:id="8" w:name="page9"/>
    <w:bookmarkEnd w:id="8"/>
    <w:p>
      <w:pPr>
        <w:ind w:left="36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22860</wp:posOffset>
            </wp:positionV>
            <wp:extent cx="1920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11,927</w:t>
            </w:r>
          </w:p>
        </w:tc>
      </w:tr>
      <w:tr>
        <w:trPr>
          <w:trHeight w:val="243"/>
        </w:trPr>
        <w:tc>
          <w:tcPr>
            <w:tcW w:w="5780" w:type="dxa"/>
            <w:vAlign w:val="bottom"/>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320" w:type="dxa"/>
            <w:vAlign w:val="bottom"/>
          </w:tcPr>
          <w:p>
            <w:pPr>
              <w:spacing w:after="0"/>
              <w:rPr>
                <w:sz w:val="21"/>
                <w:szCs w:val="21"/>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2,541</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Offering and other costs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178</w:t>
            </w:r>
          </w:p>
        </w:tc>
      </w:tr>
      <w:tr>
        <w:trPr>
          <w:trHeight w:val="243"/>
        </w:trPr>
        <w:tc>
          <w:tcPr>
            <w:tcW w:w="5780" w:type="dxa"/>
            <w:vAlign w:val="bottom"/>
          </w:tcPr>
          <w:p>
            <w:pPr>
              <w:ind w:left="260"/>
              <w:spacing w:after="0"/>
              <w:rPr>
                <w:sz w:val="20"/>
                <w:szCs w:val="20"/>
                <w:color w:val="auto"/>
              </w:rPr>
            </w:pPr>
            <w:r>
              <w:rPr>
                <w:rFonts w:ascii="Arial" w:cs="Arial" w:eastAsia="Arial" w:hAnsi="Arial"/>
                <w:sz w:val="18"/>
                <w:szCs w:val="18"/>
                <w:color w:val="auto"/>
              </w:rPr>
              <w:t>Non-recurring refinancing related fees</w:t>
            </w:r>
          </w:p>
        </w:tc>
        <w:tc>
          <w:tcPr>
            <w:tcW w:w="3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1,695</w:t>
            </w:r>
          </w:p>
        </w:tc>
      </w:tr>
      <w:tr>
        <w:trPr>
          <w:trHeight w:val="27"/>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16,341</w:t>
            </w: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780" w:type="dxa"/>
            <w:vAlign w:val="bottom"/>
          </w:tcPr>
          <w:p>
            <w:pPr>
              <w:ind w:left="20"/>
              <w:spacing w:after="0"/>
              <w:rPr>
                <w:sz w:val="20"/>
                <w:szCs w:val="20"/>
                <w:color w:val="auto"/>
              </w:rPr>
            </w:pPr>
            <w:r>
              <w:rPr>
                <w:rFonts w:ascii="Arial" w:cs="Arial" w:eastAsia="Arial" w:hAnsi="Arial"/>
                <w:sz w:val="18"/>
                <w:szCs w:val="18"/>
                <w:color w:val="auto"/>
              </w:rPr>
              <w:t>Adjusted operating income, as a percentage of 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w:t>
            </w: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9019"/>
          </w:cols>
          <w:pgMar w:left="1440" w:top="850" w:right="1440" w:bottom="1440" w:gutter="0" w:footer="0" w:header="0"/>
        </w:sectPr>
      </w:pPr>
    </w:p>
    <w:bookmarkStart w:id="9" w:name="page10"/>
    <w:bookmarkEnd w:id="9"/>
    <w:p>
      <w:pPr>
        <w:ind w:left="4144"/>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804"/>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ind w:left="3304"/>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99" w:lineRule="exact"/>
        <w:rPr>
          <w:sz w:val="20"/>
          <w:szCs w:val="20"/>
          <w:color w:val="auto"/>
        </w:rPr>
      </w:pPr>
    </w:p>
    <w:p>
      <w:pPr>
        <w:ind w:left="7324"/>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764"/>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22860</wp:posOffset>
            </wp:positionV>
            <wp:extent cx="197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38" w:lineRule="exact"/>
        <w:rPr>
          <w:sz w:val="20"/>
          <w:szCs w:val="20"/>
          <w:color w:val="auto"/>
        </w:rPr>
      </w:pPr>
    </w:p>
    <w:tbl>
      <w:tblPr>
        <w:tblLayout w:type="fixed"/>
        <w:tblInd w:w="42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Reconciling items impacting operating income: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43"/>
        </w:trPr>
        <w:tc>
          <w:tcPr>
            <w:tcW w:w="6180" w:type="dxa"/>
            <w:vAlign w:val="bottom"/>
          </w:tcPr>
          <w:p>
            <w:pPr>
              <w:ind w:left="260"/>
              <w:spacing w:after="0"/>
              <w:rPr>
                <w:sz w:val="20"/>
                <w:szCs w:val="20"/>
                <w:color w:val="auto"/>
              </w:rPr>
            </w:pPr>
            <w:r>
              <w:rPr>
                <w:rFonts w:ascii="Arial" w:cs="Arial" w:eastAsia="Arial" w:hAnsi="Arial"/>
                <w:sz w:val="18"/>
                <w:szCs w:val="18"/>
                <w:color w:val="auto"/>
              </w:rPr>
              <w:t>Offering and other costs</w:t>
            </w:r>
          </w:p>
        </w:tc>
        <w:tc>
          <w:tcPr>
            <w:tcW w:w="34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Non-recurring refinancing related fees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Reconciling items impacting non-operating expenses and income taxes: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debt extinguishment and retirement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0"/>
        </w:trPr>
        <w:tc>
          <w:tcPr>
            <w:tcW w:w="618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Income tax effect of non-GAAP adjustments</w:t>
            </w:r>
            <w:r>
              <w:rPr>
                <w:rFonts w:ascii="Arial" w:cs="Arial" w:eastAsia="Arial" w:hAnsi="Arial"/>
                <w:sz w:val="25"/>
                <w:szCs w:val="25"/>
                <w:color w:val="auto"/>
                <w:vertAlign w:val="superscript"/>
              </w:rPr>
              <w:t>(a) (b)</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8,572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80" w:type="dxa"/>
            <w:vAlign w:val="bottom"/>
          </w:tcPr>
          <w:p>
            <w:pPr>
              <w:ind w:left="20"/>
              <w:spacing w:after="0"/>
              <w:rPr>
                <w:sz w:val="20"/>
                <w:szCs w:val="20"/>
                <w:color w:val="auto"/>
              </w:rPr>
            </w:pPr>
            <w:r>
              <w:rPr>
                <w:rFonts w:ascii="Arial" w:cs="Arial" w:eastAsia="Arial" w:hAnsi="Arial"/>
                <w:sz w:val="18"/>
                <w:szCs w:val="18"/>
                <w:color w:val="auto"/>
              </w:rPr>
              <w:t>Adjusted net income, as a percentage of revenues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7504"/>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944"/>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22860</wp:posOffset>
            </wp:positionV>
            <wp:extent cx="1741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8" w:lineRule="exact"/>
        <w:rPr>
          <w:sz w:val="20"/>
          <w:szCs w:val="20"/>
          <w:color w:val="auto"/>
        </w:rPr>
      </w:pPr>
    </w:p>
    <w:tbl>
      <w:tblPr>
        <w:tblLayout w:type="fixed"/>
        <w:tblInd w:w="424"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Reconciling items impacting operating income: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Offering and other costs</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Non-recurring refinancing related fees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i w:val="1"/>
                <w:iCs w:val="1"/>
                <w:color w:val="auto"/>
              </w:rPr>
              <w:t>Reconciling items impacting non-operating expenses and income taxes: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debt extinguishment and 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6540" w:type="dxa"/>
            <w:vAlign w:val="bottom"/>
          </w:tcPr>
          <w:p>
            <w:pPr>
              <w:ind w:left="260"/>
              <w:spacing w:after="0" w:line="270" w:lineRule="exact"/>
              <w:rPr>
                <w:sz w:val="20"/>
                <w:szCs w:val="20"/>
                <w:color w:val="auto"/>
              </w:rPr>
            </w:pPr>
            <w:r>
              <w:rPr>
                <w:rFonts w:ascii="Arial" w:cs="Arial" w:eastAsia="Arial" w:hAnsi="Arial"/>
                <w:sz w:val="18"/>
                <w:szCs w:val="18"/>
                <w:color w:val="auto"/>
              </w:rPr>
              <w:t>Tax effect of non-GAAP adjustments</w:t>
            </w:r>
            <w:r>
              <w:rPr>
                <w:rFonts w:ascii="Arial" w:cs="Arial" w:eastAsia="Arial" w:hAnsi="Arial"/>
                <w:sz w:val="25"/>
                <w:szCs w:val="25"/>
                <w:color w:val="auto"/>
                <w:vertAlign w:val="superscript"/>
              </w:rPr>
              <w:t>(a) (b)</w:t>
            </w: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7"/>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 - diluted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39,493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38,601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44" w:right="580" w:hanging="644"/>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income tax effect of the adjustments between GAAP net income and non-GAAP adjusted net income takes into account the tax treatment and related tax rate that apply to each adjustment in the applicable tax jurisdiction.</w:t>
      </w:r>
    </w:p>
    <w:p>
      <w:pPr>
        <w:spacing w:after="0" w:line="278" w:lineRule="exact"/>
        <w:rPr>
          <w:rFonts w:ascii="Arial" w:cs="Arial" w:eastAsia="Arial" w:hAnsi="Arial"/>
          <w:sz w:val="18"/>
          <w:szCs w:val="18"/>
          <w:color w:val="auto"/>
        </w:rPr>
      </w:pPr>
    </w:p>
    <w:p>
      <w:pPr>
        <w:ind w:left="644" w:hanging="644"/>
        <w:spacing w:after="0" w:line="312" w:lineRule="auto"/>
        <w:tabs>
          <w:tab w:leader="none" w:pos="644"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fourth quarter of 2017, we released the valuation allowance previously recorded against our domestic net deferred tax assets. As a result, we included the tax effect of non-GAAP adjustments starting in the fourth quarter of 2017. Presentation of 2017 Adjusted Net Income has been modified to allow better go-forward comparability by including the tax effect of non-GAAP reconciling items.</w:t>
      </w:r>
    </w:p>
    <w:p>
      <w:pPr>
        <w:spacing w:after="0" w:line="390"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0704"/>
          </w:cols>
          <w:pgMar w:left="896" w:top="850" w:right="299" w:bottom="1440" w:gutter="0" w:footer="0" w:header="0"/>
        </w:sectPr>
      </w:pPr>
    </w:p>
    <w:bookmarkStart w:id="10" w:name="page11"/>
    <w:bookmarkEnd w:id="10"/>
    <w:p>
      <w:pPr>
        <w:ind w:left="4144"/>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804"/>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p>
      <w:pPr>
        <w:ind w:left="6844"/>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284"/>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22860</wp:posOffset>
            </wp:positionV>
            <wp:extent cx="2040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tbl>
      <w:tblPr>
        <w:tblLayout w:type="fixed"/>
        <w:tblInd w:w="844"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4,138</w:t>
            </w:r>
          </w:p>
        </w:tc>
      </w:tr>
      <w:tr>
        <w:trPr>
          <w:trHeight w:val="243"/>
        </w:trPr>
        <w:tc>
          <w:tcPr>
            <w:tcW w:w="52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5,417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296</w:t>
            </w:r>
          </w:p>
        </w:tc>
      </w:tr>
      <w:tr>
        <w:trPr>
          <w:trHeight w:val="243"/>
        </w:trPr>
        <w:tc>
          <w:tcPr>
            <w:tcW w:w="52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4,514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1,646</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16,011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and incentive plan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1,292</w:t>
            </w:r>
          </w:p>
        </w:tc>
      </w:tr>
      <w:tr>
        <w:trPr>
          <w:trHeight w:val="270"/>
        </w:trPr>
        <w:tc>
          <w:tcPr>
            <w:tcW w:w="522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Asset write-off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312</w:t>
            </w:r>
          </w:p>
        </w:tc>
      </w:tr>
      <w:tr>
        <w:trPr>
          <w:trHeight w:val="270"/>
        </w:trPr>
        <w:tc>
          <w:tcPr>
            <w:tcW w:w="5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Severance and recruiting costs </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139</w:t>
            </w:r>
          </w:p>
        </w:tc>
      </w:tr>
      <w:tr>
        <w:trPr>
          <w:trHeight w:val="270"/>
        </w:trPr>
        <w:tc>
          <w:tcPr>
            <w:tcW w:w="522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Offering and other costs </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178</w:t>
            </w: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r>
      <w:tr>
        <w:trPr>
          <w:trHeight w:val="243"/>
        </w:trPr>
        <w:tc>
          <w:tcPr>
            <w:tcW w:w="5220" w:type="dxa"/>
            <w:vAlign w:val="bottom"/>
          </w:tcPr>
          <w:p>
            <w:pPr>
              <w:ind w:left="260"/>
              <w:spacing w:after="0"/>
              <w:rPr>
                <w:sz w:val="20"/>
                <w:szCs w:val="20"/>
                <w:color w:val="auto"/>
              </w:rPr>
            </w:pPr>
            <w:r>
              <w:rPr>
                <w:rFonts w:ascii="Arial" w:cs="Arial" w:eastAsia="Arial" w:hAnsi="Arial"/>
                <w:sz w:val="18"/>
                <w:szCs w:val="18"/>
                <w:color w:val="auto"/>
              </w:rPr>
              <w:t>Debt refinancing costs</w:t>
            </w:r>
          </w:p>
        </w:tc>
        <w:tc>
          <w:tcPr>
            <w:tcW w:w="36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1,695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Extinguishment of debt and debt retirement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2,161</w:t>
            </w:r>
          </w:p>
        </w:tc>
      </w:tr>
      <w:tr>
        <w:trPr>
          <w:trHeight w:val="270"/>
        </w:trPr>
        <w:tc>
          <w:tcPr>
            <w:tcW w:w="522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New manufacturer costs </w:t>
            </w:r>
            <w:r>
              <w:rPr>
                <w:rFonts w:ascii="Arial" w:cs="Arial" w:eastAsia="Arial" w:hAnsi="Arial"/>
                <w:sz w:val="25"/>
                <w:szCs w:val="25"/>
                <w:color w:val="auto"/>
                <w:vertAlign w:val="superscript"/>
              </w:rPr>
              <w:t>(e)</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836</w:t>
            </w: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22,651</w:t>
            </w: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1"/>
        </w:trPr>
        <w:tc>
          <w:tcPr>
            <w:tcW w:w="5220" w:type="dxa"/>
            <w:vAlign w:val="bottom"/>
          </w:tcPr>
          <w:p>
            <w:pPr>
              <w:ind w:left="20"/>
              <w:spacing w:after="0"/>
              <w:rPr>
                <w:sz w:val="20"/>
                <w:szCs w:val="20"/>
                <w:color w:val="auto"/>
              </w:rPr>
            </w:pPr>
            <w:r>
              <w:rPr>
                <w:rFonts w:ascii="Arial" w:cs="Arial" w:eastAsia="Arial" w:hAnsi="Arial"/>
                <w:sz w:val="18"/>
                <w:szCs w:val="18"/>
                <w:color w:val="auto"/>
              </w:rPr>
              <w:t>Adjusted EBITDA, as a percentage of revenues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w:t>
            </w: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income tax expense, less tax indemnification income associated with BMS.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inventory and other write-offs of long-lived assets.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consist of severance and recruitment costs related to employees, executives and directors.</w:t>
      </w:r>
    </w:p>
    <w:p>
      <w:pPr>
        <w:spacing w:after="0" w:line="225" w:lineRule="exact"/>
        <w:rPr>
          <w:rFonts w:ascii="Arial" w:cs="Arial" w:eastAsia="Arial" w:hAnsi="Arial"/>
          <w:sz w:val="18"/>
          <w:szCs w:val="18"/>
          <w:color w:val="auto"/>
        </w:rPr>
      </w:pPr>
    </w:p>
    <w:p>
      <w:pPr>
        <w:ind w:left="644" w:right="140"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offering costs incurred on behalf of certain shareholders pursuant to a registration rights agreement and other non-recurring costs.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and clinical candidate products.</w:t>
      </w:r>
    </w:p>
    <w:p>
      <w:pPr>
        <w:spacing w:after="0" w:line="200" w:lineRule="exact"/>
        <w:rPr>
          <w:sz w:val="20"/>
          <w:szCs w:val="20"/>
          <w:color w:val="auto"/>
        </w:rPr>
      </w:pPr>
    </w:p>
    <w:p>
      <w:pPr>
        <w:spacing w:after="0" w:line="32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0504"/>
          </w:cols>
          <w:pgMar w:left="896" w:top="850" w:right="499" w:bottom="1440" w:gutter="0" w:footer="0" w:header="0"/>
        </w:sectPr>
      </w:pPr>
    </w:p>
    <w:bookmarkStart w:id="11" w:name="page12"/>
    <w:bookmarkEnd w:id="11"/>
    <w:p>
      <w:pPr>
        <w:ind w:left="36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Reconciliation of Free Cash Flow</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22860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(4,899)</w:t>
            </w: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9019"/>
          </w:cols>
          <w:pgMar w:left="1440" w:top="850" w:right="1440" w:bottom="1440" w:gutter="0" w:footer="0" w:header="0"/>
        </w:sectPr>
      </w:pPr>
    </w:p>
    <w:bookmarkStart w:id="12" w:name="page13"/>
    <w:bookmarkEnd w:id="12"/>
    <w:p>
      <w:pPr>
        <w:ind w:left="40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&amp; equipment,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Revolving 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392,589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sectPr>
      <w:pgSz w:w="11900" w:h="16838" w:orient="portrait"/>
      <w:cols w:equalWidth="0" w:num="1">
        <w:col w:w="9820"/>
      </w:cols>
      <w:pgMar w:left="1040" w:top="85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2019-12-07T22:48:53Z</dcterms:created>
  <dcterms:modified xsi:type="dcterms:W3CDTF">2019-12-07T22:48:53Z</dcterms:modified>
</cp:coreProperties>
</file>