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201 Burlington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South Building</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Bedford,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01730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November 5, 2026, Lantheus Holdings, Inc. (the “Company”) announced via press release its financial results as of and for the three and nine months ended September 30, 2026. A copy of that press release is being furnished as Exhibit 99.1 and is hereby incorporated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p>
      <w:pPr>
        <w:ind w:left="8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4" w:lineRule="exact"/>
        <w:rPr>
          <w:sz w:val="20"/>
          <w:szCs w:val="20"/>
          <w:color w:val="auto"/>
        </w:rPr>
      </w:pPr>
    </w:p>
    <w:p>
      <w:pPr>
        <w:ind w:left="1200" w:right="1080" w:hanging="87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Lantheus Holdings, Inc. dated November 5, 2026, entitled “Lantheus Reports Third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-185420</wp:posOffset>
            </wp:positionV>
            <wp:extent cx="5676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26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-48260</wp:posOffset>
            </wp:positionV>
            <wp:extent cx="387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142" w:lineRule="exact"/>
        <w:rPr>
          <w:sz w:val="20"/>
          <w:szCs w:val="20"/>
          <w:color w:val="auto"/>
        </w:rPr>
      </w:pPr>
    </w:p>
    <w:p>
      <w:pPr>
        <w:ind w:left="1320" w:hanging="934"/>
        <w:spacing w:after="0"/>
        <w:tabs>
          <w:tab w:leader="none" w:pos="13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3" w:lineRule="exact"/>
        <w:rPr>
          <w:rFonts w:ascii="Times New Roman" w:cs="Times New Roman" w:eastAsia="Times New Roman" w:hAnsi="Times New Roman"/>
          <w:sz w:val="18"/>
          <w:szCs w:val="18"/>
          <w:color w:val="auto"/>
        </w:rPr>
      </w:pPr>
    </w:p>
    <w:p>
      <w:pPr>
        <w:ind w:left="520" w:right="60" w:hanging="4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Exhibits 99.1 attached hereto are being furnished and shall not be deemed “filed” for purposes of Section 18 of the Exchange Act, as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subject to the liabilities of that section, nor shall such information be deemed incorporated by reference in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51"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48"/>
        </w:trPr>
        <w:tc>
          <w:tcPr>
            <w:tcW w:w="7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Daniel M. Niedzwiecki</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200025</wp:posOffset>
            </wp:positionV>
            <wp:extent cx="216852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Third Quarter 2026 Financial Results</w:t>
      </w:r>
    </w:p>
    <w:p>
      <w:pPr>
        <w:spacing w:after="0" w:line="200" w:lineRule="exact"/>
        <w:rPr>
          <w:sz w:val="20"/>
          <w:szCs w:val="20"/>
          <w:color w:val="auto"/>
        </w:rPr>
      </w:pPr>
    </w:p>
    <w:p>
      <w:pPr>
        <w:spacing w:after="0" w:line="24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of $389.9 million in the third quarter of 2026</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fully diluted earnings per share of $0.33, compared to $0.41 in the third quarter of 2025</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fully diluted earnings per share of $1.68, compared to $1.27 in the third quarter of 2025</w:t>
      </w:r>
    </w:p>
    <w:p>
      <w:pPr>
        <w:spacing w:after="0" w:line="171" w:lineRule="exact"/>
        <w:rPr>
          <w:rFonts w:ascii="Times New Roman" w:cs="Times New Roman" w:eastAsia="Times New Roman" w:hAnsi="Times New Roman"/>
          <w:sz w:val="18"/>
          <w:szCs w:val="18"/>
          <w:color w:val="auto"/>
        </w:rPr>
      </w:pPr>
    </w:p>
    <w:p>
      <w:pPr>
        <w:ind w:left="760" w:right="60" w:hanging="378"/>
        <w:spacing w:after="0" w:line="22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approves TAUKLARIFY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(florquinitau F-18 injection); an F-18-labeled tau PET imaging agent for the evaluation of adults with cognitive impairment being assessed for Alzheimer’s disease</w:t>
      </w:r>
    </w:p>
    <w:p>
      <w:pPr>
        <w:spacing w:after="0" w:line="145" w:lineRule="exact"/>
        <w:rPr>
          <w:rFonts w:ascii="Times New Roman" w:cs="Times New Roman" w:eastAsia="Times New Roman" w:hAnsi="Times New Roman"/>
          <w:sz w:val="18"/>
          <w:szCs w:val="18"/>
          <w:color w:val="auto"/>
        </w:rPr>
      </w:pPr>
    </w:p>
    <w:p>
      <w:pPr>
        <w:ind w:left="760" w:right="760" w:hanging="378"/>
        <w:spacing w:after="0" w:line="21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grants final approval for BRAVNETSA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(lutetium Lu 177 dotatate); the only radiopharmaceutical the FDA has determined to be bioequivalent and therapeutically equivalent to LUTATHERA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adults with somatostatin receptor-positive gastroenteropancreatic neuroendocrine tumors (GEP-NETs)</w:t>
      </w:r>
    </w:p>
    <w:p>
      <w:pPr>
        <w:spacing w:after="0" w:line="119"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on August 3, 2026 that the Company has entered into a definitive agreement to merge with Curium under which Curium US Holdings LLC will acquire all outstanding shares of the Company in an all-cash transaction that represents a total transaction value of up to approximately $8.0 billion</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BEDFORD, Mass., November 5, 2026 (GLOBE NEWSWIRE) -- Lantheus Holdings, Inc. (Lantheus or the Company) (NASDAQ: LNTH), the leading radiopharmaceutical-focused company committed to enabling clinicians to Find, Fight and Follow disease to deliver better patient outcomes, today reported financial results for its third quarter ended September 30, 2026.</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and as previously announced, Lantheus entered into a definitive agreement on August 3, 2026 to merge with Curium under which Curium US Holdings LLC will acquire all outstanding shares of Lantheus for $102.50 per share in cash at closing, plus non-transferable Contingent Value Rights (“CVRs”) providing for up to $12.00 per share in potential additional cash payments, subject to achievement of specified commercial milestones for Lantheus’ products through 2030. The transaction represents a total per share consideration of up to $114.50 and a total transaction value of up to approximately $8.0 billion. Together, Curium and Lantheus are positioned to create a radiopharmaceutical company spanning diagnostics and therapeutics, with the infrastructure and capabilities to serve patients in more than 70 countries. The Board of Directors of Lantheus has unanimously approved the transaction. Additional information regarding the transaction is available in the Company’s Current Report on Form 8-K filed with the SEC on August 4, 2026.</w:t>
      </w:r>
    </w:p>
    <w:p>
      <w:pPr>
        <w:spacing w:after="0" w:line="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the pending transaction, Lantheus is suspending its previously issued full year 2026 financial guidance and will not be hosting a conference call in connection with its third quarter 2026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Results</w:t>
      </w:r>
    </w:p>
    <w:p>
      <w:pPr>
        <w:spacing w:after="0" w:line="10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 unaudited)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revenue</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fully diluted earnings per share</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fully diluted earnings per share (non-GAAP)</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increased 1.5% to $389.9 million compared to the same period in 2025.</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PYLARIFY were $238.9 million, a decrease of 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 w:name="page5"/>
    <w:bookmarkEnd w:id="4"/>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Neuraceq were $45.6 million, an increase of 123.0%.</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DEFINITY were $85.7 million, an increase of 4.8%.</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26.2% to $32.2 million. Adjusted operating income (non-GAAP) increased 28.1% to $153.2 million.</w:t>
      </w:r>
    </w:p>
    <w:p>
      <w:pPr>
        <w:spacing w:after="0" w:line="15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earnings per share decreased 19.5% to $0.33, compared to fully diluted earnings per share of $0.41 in the prior year period. Adjusted fully diluted earnings per share (non-GAAP) increased 32.3% to $1.68, compared to $1.27 in the prior year period.</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 free cash flow were $102.0 million and $99.9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29"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the Company's cash and cash equivalents were $683.6 million, compared to $359.1 million at December 31, 2025.</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access to up to $750.0 million from a revolving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243" w:lineRule="exact"/>
        <w:rPr>
          <w:sz w:val="20"/>
          <w:szCs w:val="20"/>
          <w:color w:val="auto"/>
        </w:rPr>
      </w:pPr>
    </w:p>
    <w:p>
      <w:pPr>
        <w:ind w:left="760" w:right="440" w:hanging="378"/>
        <w:spacing w:after="0" w:line="28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CMS Transitional Pass-Through payment status and a permanent HCPCS code, each effective October 1, 2026, for PYLARIFY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TruVu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(piflufolastat F18), supporting the Company’s previously announced phased geographic commercial launch.</w:t>
      </w:r>
    </w:p>
    <w:p>
      <w:pPr>
        <w:ind w:left="760" w:right="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approval for TAUKLARIFY (florquinitau F-18 injection), an F-18-labeled tau PET imaging agent for the evaluation of adults with cognitive impairment being assessed for Alzheimer’s disease. The Company intends to continue supporting Alzheimer’s disease therapeutic programs through its Pharma Solutions business while assessing the appropriate path toward broader commercial availability.</w:t>
      </w:r>
    </w:p>
    <w:p>
      <w:pPr>
        <w:spacing w:after="0" w:line="108" w:lineRule="exact"/>
        <w:rPr>
          <w:rFonts w:ascii="Times New Roman" w:cs="Times New Roman" w:eastAsia="Times New Roman" w:hAnsi="Times New Roman"/>
          <w:sz w:val="18"/>
          <w:szCs w:val="18"/>
          <w:color w:val="auto"/>
        </w:rPr>
      </w:pPr>
    </w:p>
    <w:p>
      <w:pPr>
        <w:ind w:left="760" w:right="40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final FDA approval for BRAVNETSA (lutetium Lu 177 dotatate), the only radiopharmaceutical the FDA has determined to be bioequivalent and therapeutically equivalent to LUTATHERA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adults with somatostatin receptor-positive gastroenteropancreatic neuroendocrine tumors; the Company is preparing for a thoughtful commercial launch to support reliable supply and broad patient access.</w:t>
      </w:r>
    </w:p>
    <w:p>
      <w:pPr>
        <w:spacing w:after="0" w:line="132"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 in the SPARROW study, a Phase 2/3 registrational trial evaluating LNTH-2401, the Company’s investigational GRPR-targeted PET imaging agent for prostate cancer; the Phase 3 portion is expected to enroll approximately 400 participants and evaluate diagnostic performance, safety and tolerability.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Lantheus is the leading radiopharmaceutical-focused company, delivering life-changing science to enable clinicians to Find, Fight and Follow disease to deliver better patient outcomes. Headquartered in Massachusetts with offices in New Jersey, Canada, Germany, Switzerland, Sweden and the United Kingdom, Lantheus has been providing radiopharmaceutical solutions for 70 years. For more information, visit www.lantheus.com.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uses non-GAAP financial measures, such as adjusted net income and its line components; adjusted fully diluted net income per share; adjusted operating income,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or by express or implied discussions regarding the pending merger with Curium (the “Merger”). Such forward-looking statements include our plans to successfully execute on the commercialization of marketed products, ensure launch readiness for new products, advance a focused late-stage pipeline, and allocate capital thoughtfully, and our focus mainly on our radiodiagnostic business and pursuing value-maximizing alternatives for our radiotherapeutic assets,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to manufacture PYLARIFY TruVu, to maintain adequate coverage and payment for PYLARIFY TruVu, including the transitional pass-through payment status (“TPT Status”) granted by the Centers for Medicare &amp; Medicaid Services, as announced on September 30, 2026, to have payers add Healthcare Common Procedure Coding System (“HCPCS”) code for PYLARIFY TruVu effective October 1, 2026 to their systems on a timely basis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TAUKLARIFY,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to support TAUKLARIFY (florquinitau F-18 injection), also referred to as MK-6240, which was approved by the FDA on August 14, 2026, including through our Pharma Solutions business, and to determine an appropriate path and timing toward its broader commercial availability, and to further develop and commercialize NAV-4694 as an approved product; (vi) our ability to continue to successfully integrate acquisitions, including of Lantheus Biosciences,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including satisfactorily resolving certain unresolved third-party facility inspection-related conditions identified in the Complete Response Letter issued by the FDA on June 26, 2026 and obtaining approval of a resubmitted new drug application, and to successfully commercialize LNTH-2501, if approved;</w:t>
      </w:r>
    </w:p>
    <w:p>
      <w:pPr>
        <w:spacing w:after="0" w:line="4" w:lineRule="exact"/>
        <w:rPr>
          <w:sz w:val="20"/>
          <w:szCs w:val="20"/>
          <w:color w:val="auto"/>
        </w:rPr>
      </w:pPr>
    </w:p>
    <w:p>
      <w:pPr>
        <w:ind w:right="80" w:firstLine="8"/>
        <w:spacing w:after="0" w:line="250" w:lineRule="auto"/>
        <w:tabs>
          <w:tab w:leader="none" w:pos="3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execution and success of our planned commercialization of BRAVNETSA (lutetium Lu 177 dotatate), previously known as PNT2003, which received final FDA approval on September 22, 2026, including in light of competing lutetium Lu 177 dotatate products, our ability to successfully defend the favorable U.S. District Court ruling invalidating all patents asserted in the related Hatch-Waxman litigation, which is currently on appeal before the U.S. Court of Appeals for the Federal Circuit, and our dependence on POINT Biopharma Global Inc. to manufacture and supply BRAVNETSA;</w:t>
      </w:r>
    </w:p>
    <w:p>
      <w:pPr>
        <w:spacing w:after="0" w:line="1" w:lineRule="exact"/>
        <w:rPr>
          <w:rFonts w:ascii="Times New Roman" w:cs="Times New Roman" w:eastAsia="Times New Roman" w:hAnsi="Times New Roman"/>
          <w:sz w:val="18"/>
          <w:szCs w:val="18"/>
          <w:i w:val="1"/>
          <w:iCs w:val="1"/>
          <w:color w:val="auto"/>
        </w:rPr>
      </w:pPr>
    </w:p>
    <w:p>
      <w:pPr>
        <w:ind w:right="20" w:firstLine="8"/>
        <w:spacing w:after="0" w:line="250" w:lineRule="auto"/>
        <w:tabs>
          <w:tab w:leader="none" w:pos="2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the SPARROW Phase 2/3 registrational trial of LNTH-2401, and the risk of further impairment of our in-process research and development assets; (x) the timing, execution, and success of our strategic program to simplify and streamline our operations so we can focus mainly on our radiodiagnostic business and pursue value-maximizing alternatives for our radiotherapeutic assets; (xi) our ability to identify opportunities to collaborate with strategic partners and to acquire or in-license additional product opportunities in oncology, neurology and other strategic areas and continue to grow and advance our pipeline of products, subject to the restrictions on the conduct of our business under the Agreement and Plan of Merger, dated as of August 3, 2026 (the “Merger Agreement”), by and among us, Curium US Holdings LLC (the “Parent”), and Coco Merger Sub Inc.; (xii) the timing and outcome of the actions filed against us by alleged stockholders, and of demands or litigation relating to the transactions contemplated by the Merger Agreement; (xiii) the effect that changes to management could have on our business; (xiv) our ability and the ability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i w:val="1"/>
          <w:iCs w:val="1"/>
          <w:color w:val="auto"/>
        </w:rPr>
        <w:t>complete the transactions contemplated by the Merger Agreement, including the parties’ ability to satisfy the remaining closing conditions in the agreement, including the expiration or termination of the waiting period under the Hart-Scott-Rodino Antitrust Improvements Act of 1976, as amended (which was extended on October 21, 2026 by the Federal Trade Commission), and the receipt of other required antitrust and foreign direct investment approvals; (xv) statements about the expected time frame for completing the proposed Merger; (xvi) our and the Parent’s beliefs and expectations and statements about the benefits sought to be achieved by the proposed Merger; (xvii) the potential effects of the proposed Merger on us and the Parent, including on our relationships with customers, suppliers and employees, and the costs we have incurred and will incur in connection with the proposed Merger whether or not it is completed; (xviii) the possibility of any termination of the Merger Agreement, including in circumstances that would require us to pay a termination fee; (xix) whether any payments will be made under the contingent value rights to be issued in the proposed Merger; and (xx) the risks and uncertainties discussed in our filings with the Securities and Exchange Commission (including those described in the Risk Factors section in our Annual Reports on Form 10-K and our Quarterly Reports on Form 10-Q).</w:t>
      </w:r>
      <w:r>
        <w:rPr>
          <w:rFonts w:ascii="Arial" w:cs="Arial" w:eastAsia="Arial" w:hAnsi="Arial"/>
          <w:sz w:val="18"/>
          <w:szCs w:val="18"/>
          <w:i w:val="1"/>
          <w:i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Tables Follow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389,913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439,237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716,189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170,345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502,442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213,747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(gain) on investment in equity securities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business, net of transaction costs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(59,444)</w:t>
            </w: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(20,330)</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(23,579)</w:t>
            </w:r>
          </w:p>
        </w:tc>
      </w:tr>
      <w:tr>
        <w:trPr>
          <w:trHeight w:val="209"/>
        </w:trPr>
        <w:tc>
          <w:tcPr>
            <w:tcW w:w="48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272,007</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243,427</w:t>
            </w:r>
          </w:p>
        </w:tc>
        <w:tc>
          <w:tcPr>
            <w:tcW w:w="100" w:type="dxa"/>
            <w:vAlign w:val="bottom"/>
            <w:tcBorders>
              <w:top w:val="single" w:sz="8" w:color="CFF0FC"/>
            </w:tcBorders>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20"/>
                <w:szCs w:val="20"/>
                <w:color w:val="auto"/>
              </w:rPr>
            </w:pPr>
          </w:p>
        </w:tc>
      </w:tr>
      <w:tr>
        <w:trPr>
          <w:trHeight w:val="197"/>
        </w:trPr>
        <w:tc>
          <w:tcPr>
            <w:tcW w:w="4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4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67,137</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-2794000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-2794000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-2794000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-2236470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-2236470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-2236470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-1945005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-1945005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-1388110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-1388110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-1388110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-1096645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-1096645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-1096645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-487680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-471170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-487680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-471170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-487680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Revenues Analysis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Change $</w:t>
            </w:r>
          </w:p>
        </w:tc>
        <w:tc>
          <w:tcPr>
            <w:tcW w:w="220" w:type="dxa"/>
            <w:vAlign w:val="bottom"/>
          </w:tcPr>
          <w:p>
            <w:pPr>
              <w:spacing w:after="0"/>
              <w:rPr>
                <w:sz w:val="12"/>
                <w:szCs w:val="12"/>
                <w:color w:val="auto"/>
              </w:rPr>
            </w:pPr>
          </w:p>
        </w:tc>
        <w:tc>
          <w:tcPr>
            <w:tcW w:w="7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58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238,930</w:t>
            </w:r>
          </w:p>
        </w:tc>
        <w:tc>
          <w:tcPr>
            <w:tcW w:w="42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36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(1,686)</w:t>
            </w:r>
          </w:p>
        </w:tc>
        <w:tc>
          <w:tcPr>
            <w:tcW w:w="9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720,220</w:t>
            </w:r>
          </w:p>
        </w:tc>
        <w:tc>
          <w:tcPr>
            <w:tcW w:w="3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(28,692)</w:t>
            </w:r>
          </w:p>
        </w:tc>
        <w:tc>
          <w:tcPr>
            <w:tcW w:w="9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oncology</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(1,686)</w:t>
            </w:r>
          </w:p>
        </w:tc>
        <w:tc>
          <w:tcPr>
            <w:tcW w:w="9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720,220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(28,692)</w:t>
            </w:r>
          </w:p>
        </w:tc>
        <w:tc>
          <w:tcPr>
            <w:tcW w:w="9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Neuraceq</w:t>
            </w:r>
          </w:p>
        </w:tc>
        <w:tc>
          <w:tcPr>
            <w:tcW w:w="4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45,577</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20,442</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25,135</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123.0%</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120,632</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100,190</w:t>
            </w: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neurology</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45,577</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20,442</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25,135</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120,632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100,190</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4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85,673</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81,785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3,888</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258,579</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244,935</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13,644</w:t>
            </w: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cardiology</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85,673</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81,785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3,888</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258,579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244,935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13,644</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w:t>
            </w:r>
          </w:p>
        </w:tc>
        <w:tc>
          <w:tcPr>
            <w:tcW w:w="4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19,733</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6,028</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55,995</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36,042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19,953</w:t>
            </w:r>
          </w:p>
        </w:tc>
        <w:tc>
          <w:tcPr>
            <w:tcW w:w="2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SPECT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27,466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(27,466)</w:t>
            </w:r>
          </w:p>
        </w:tc>
        <w:tc>
          <w:tcPr>
            <w:tcW w:w="9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84,492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(84,492)</w:t>
            </w:r>
          </w:p>
        </w:tc>
        <w:tc>
          <w:tcPr>
            <w:tcW w:w="9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389,913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384,014</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5,899</w:t>
            </w: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1,155,426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1,134,823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20,603</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2247265</wp:posOffset>
            </wp:positionH>
            <wp:positionV relativeFrom="paragraph">
              <wp:posOffset>-847725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-847725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-847725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-847725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-847725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-847725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-641985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-641985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-641985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-641985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-641985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-641985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-436245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-436245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-436245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-436245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-436245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-436245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-230505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-230505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-230505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-230505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441" w:right="3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Borders>
              <w:bottom w:val="single" w:sz="8" w:color="auto"/>
            </w:tcBorders>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6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12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179,471</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7"/>
        </w:trPr>
        <w:tc>
          <w:tcPr>
            <w:tcW w:w="4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21,876</w:t>
            </w:r>
          </w:p>
        </w:tc>
        <w:tc>
          <w:tcPr>
            <w:tcW w:w="2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24,501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57,925</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68,020</w:t>
            </w:r>
          </w:p>
        </w:tc>
        <w:tc>
          <w:tcPr>
            <w:tcW w:w="180" w:type="dxa"/>
            <w:vAlign w:val="bottom"/>
            <w:tcBorders>
              <w:top w:val="single" w:sz="8" w:color="CFF0FC"/>
            </w:tcBorders>
          </w:tcPr>
          <w:p>
            <w:pPr>
              <w:spacing w:after="0"/>
              <w:rPr>
                <w:sz w:val="17"/>
                <w:szCs w:val="17"/>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50,169</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(28,586)</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(gain) on sale of business, net of transaction costs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(59,444)</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 (gain) on investment in equity securities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32,617</w:t>
            </w: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(a)</w:t>
            </w:r>
          </w:p>
        </w:tc>
        <w:tc>
          <w:tcPr>
            <w:tcW w:w="7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(38,625)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1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115,074</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85,706</w:t>
            </w:r>
          </w:p>
        </w:tc>
        <w:tc>
          <w:tcPr>
            <w:tcW w:w="1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315,821</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305,805</w:t>
            </w:r>
          </w:p>
        </w:tc>
        <w:tc>
          <w:tcPr>
            <w:tcW w:w="180" w:type="dxa"/>
            <w:vAlign w:val="bottom"/>
            <w:tcBorders>
              <w:left w:val="single" w:sz="8" w:color="CFF0FC"/>
            </w:tcBorders>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197"/>
        </w:trPr>
        <w:tc>
          <w:tcPr>
            <w:tcW w:w="4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net income, as a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26.9%</w:t>
            </w: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7"/>
        </w:trPr>
        <w:tc>
          <w:tcPr>
            <w:tcW w:w="4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right w:val="single" w:sz="8" w:color="CFF0FC"/>
            </w:tcBorders>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7"/>
        </w:trPr>
        <w:tc>
          <w:tcPr>
            <w:tcW w:w="4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80" w:type="dxa"/>
            <w:vAlign w:val="bottom"/>
            <w:tcBorders>
              <w:top w:val="single" w:sz="8" w:color="CFF0FC"/>
            </w:tcBorders>
          </w:tcPr>
          <w:p>
            <w:pPr>
              <w:spacing w:after="0"/>
              <w:rPr>
                <w:sz w:val="17"/>
                <w:szCs w:val="17"/>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(gain) on sale of business, net of transaction costs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 (gain) on investment in equity securities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(a)</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r>
      <w:tr>
        <w:trPr>
          <w:trHeight w:val="250"/>
        </w:trPr>
        <w:tc>
          <w:tcPr>
            <w:tcW w:w="47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Adjusted net income per share - diluted</w:t>
            </w:r>
            <w:r>
              <w:rPr>
                <w:rFonts w:ascii="Times New Roman" w:cs="Times New Roman" w:eastAsia="Times New Roman" w:hAnsi="Times New Roman"/>
                <w:sz w:val="24"/>
                <w:szCs w:val="24"/>
                <w:color w:val="auto"/>
                <w:vertAlign w:val="superscript"/>
              </w:rPr>
              <w:t>(b)</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CFF0FC"/>
            </w:tcBorders>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6"/>
        </w:trPr>
        <w:tc>
          <w:tcPr>
            <w:tcW w:w="4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68,413</w:t>
            </w: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67,137</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18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-4499610</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-4482465</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-4499610</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-4482465</wp:posOffset>
            </wp:positionV>
            <wp:extent cx="111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-4499610</wp:posOffset>
            </wp:positionV>
            <wp:extent cx="11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-4482465</wp:posOffset>
            </wp:positionV>
            <wp:extent cx="111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-4499610</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-4482465</wp:posOffset>
            </wp:positionV>
            <wp:extent cx="1117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-2819400</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-2802255</wp:posOffset>
            </wp:positionV>
            <wp:extent cx="111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-2819400</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-2802255</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-2819400</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-2802255</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-2819400</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-2802255</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-1868170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-1851025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-1868170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-1851025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-1868170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-1851025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-1868170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-1851025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-187960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-187960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-170815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-187960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-170815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80" w:hanging="503"/>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income tax effect of the adjustments between GAAP net income and adjusted net income (non-GAAP).</w:t>
      </w:r>
    </w:p>
    <w:p>
      <w:pPr>
        <w:spacing w:after="0" w:line="117" w:lineRule="exact"/>
        <w:rPr>
          <w:rFonts w:ascii="Times New Roman" w:cs="Times New Roman" w:eastAsia="Times New Roman" w:hAnsi="Times New Roman"/>
          <w:sz w:val="18"/>
          <w:szCs w:val="18"/>
          <w:color w:val="auto"/>
        </w:rPr>
      </w:pPr>
    </w:p>
    <w:p>
      <w:pPr>
        <w:ind w:left="680" w:hanging="503"/>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add due to rounding.</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441" w:right="8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(Continued)</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213,747</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233,648</w:t>
            </w:r>
          </w:p>
        </w:tc>
        <w:tc>
          <w:tcPr>
            <w:tcW w:w="180" w:type="dxa"/>
            <w:vAlign w:val="bottom"/>
            <w:shd w:val="clear" w:color="auto" w:fill="CFF0FC"/>
          </w:tcPr>
          <w:p>
            <w:pPr>
              <w:spacing w:after="0"/>
              <w:rPr>
                <w:sz w:val="21"/>
                <w:szCs w:val="21"/>
                <w:color w:val="auto"/>
              </w:rPr>
            </w:pPr>
          </w:p>
        </w:tc>
      </w:tr>
      <w:tr>
        <w:trPr>
          <w:trHeight w:val="196"/>
        </w:trPr>
        <w:tc>
          <w:tcPr>
            <w:tcW w:w="47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21,876</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24,501</w:t>
            </w: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57,925</w:t>
            </w:r>
          </w:p>
        </w:tc>
        <w:tc>
          <w:tcPr>
            <w:tcW w:w="3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68,020</w:t>
            </w:r>
          </w:p>
        </w:tc>
        <w:tc>
          <w:tcPr>
            <w:tcW w:w="18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(28,586)</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items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FF0FC"/>
          </w:tcPr>
          <w:p>
            <w:pPr>
              <w:spacing w:after="0"/>
              <w:rPr>
                <w:sz w:val="18"/>
                <w:szCs w:val="18"/>
                <w:color w:val="auto"/>
              </w:rPr>
            </w:pPr>
          </w:p>
        </w:tc>
      </w:tr>
      <w:tr>
        <w:trPr>
          <w:trHeight w:val="209"/>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153,199</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424,362</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416,384</w:t>
            </w:r>
          </w:p>
        </w:tc>
        <w:tc>
          <w:tcPr>
            <w:tcW w:w="180" w:type="dxa"/>
            <w:vAlign w:val="bottom"/>
            <w:tcBorders>
              <w:top w:val="single" w:sz="8" w:color="CFF0FC"/>
            </w:tcBorders>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7"/>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operating income, as a percentage of revenues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36.7%</w:t>
            </w: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-1456690</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-1439545</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-1456690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-1439545</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-1456690</wp:posOffset>
            </wp:positionV>
            <wp:extent cx="1111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-1439545</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-1456690</wp:posOffset>
            </wp:positionV>
            <wp:extent cx="111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-1439545</wp:posOffset>
            </wp:positionV>
            <wp:extent cx="111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-333375</wp:posOffset>
            </wp:positionV>
            <wp:extent cx="1117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-333375</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-333375</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-333375</wp:posOffset>
            </wp:positionV>
            <wp:extent cx="1117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-24765</wp:posOffset>
            </wp:positionV>
            <wp:extent cx="1117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-7620</wp:posOffset>
            </wp:positionV>
            <wp:extent cx="111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111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111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44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101,974</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319,304</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1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(27,301)</w:t>
            </w:r>
          </w:p>
        </w:tc>
      </w:tr>
      <w:tr>
        <w:trPr>
          <w:trHeight w:val="20"/>
        </w:trPr>
        <w:tc>
          <w:tcPr>
            <w:tcW w:w="5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311,697</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272,662</w:t>
            </w:r>
          </w:p>
        </w:tc>
        <w:tc>
          <w:tcPr>
            <w:tcW w:w="120" w:type="dxa"/>
            <w:vAlign w:val="bottom"/>
            <w:shd w:val="clear" w:color="auto" w:fill="CFF0FC"/>
          </w:tcPr>
          <w:p>
            <w:pPr>
              <w:spacing w:after="0"/>
              <w:rPr>
                <w:sz w:val="21"/>
                <w:szCs w:val="21"/>
                <w:color w:val="auto"/>
              </w:rPr>
            </w:pPr>
          </w:p>
        </w:tc>
      </w:tr>
      <w:tr>
        <w:trPr>
          <w:trHeight w:val="197"/>
        </w:trPr>
        <w:tc>
          <w:tcPr>
            <w:tcW w:w="59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(11,135)</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9"/>
              </w:rPr>
              <w:t>(319,468)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(615,658)</w:t>
            </w: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(99,166)</w:t>
            </w: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(7,578)</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9"/>
              </w:rPr>
              <w:t>(215,798)</w:t>
            </w:r>
          </w:p>
        </w:tc>
      </w:tr>
      <w:tr>
        <w:trPr>
          <w:trHeight w:val="20"/>
        </w:trPr>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-487680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-470535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-487680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-470535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-487680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-470535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-487680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-470535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-187960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-187960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-170815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-187960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124460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441" w:right="6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683,610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358,640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1,123,710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notes receivable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722,779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tcPr>
          <w:p>
            <w:pPr>
              <w:spacing w:after="0"/>
              <w:rPr>
                <w:sz w:val="18"/>
                <w:szCs w:val="18"/>
                <w:color w:val="auto"/>
              </w:rPr>
            </w:pPr>
          </w:p>
        </w:tc>
      </w:tr>
      <w:tr>
        <w:trPr>
          <w:trHeight w:val="25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2,456,133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20" w:type="dxa"/>
            <w:vAlign w:val="bottom"/>
            <w:shd w:val="clear" w:color="auto" w:fill="CFF0FC"/>
          </w:tcPr>
          <w:p>
            <w:pPr>
              <w:spacing w:after="0"/>
              <w:rPr>
                <w:sz w:val="21"/>
                <w:szCs w:val="21"/>
                <w:color w:val="auto"/>
              </w:rPr>
            </w:pPr>
          </w:p>
        </w:tc>
      </w:tr>
      <w:tr>
        <w:trPr>
          <w:trHeight w:val="196"/>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 net of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90,268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1,137,602</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1,355,712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2,456,133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-2142490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-2125345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-2142490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-2125345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2"/>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8"/>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2026-11-05T06:41:40Z</dcterms:created>
  <dcterms:modified xsi:type="dcterms:W3CDTF">2026-11-05T06:41:40Z</dcterms:modified>
</cp:coreProperties>
</file>