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Lantheus Holdings, Inc.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331 Treble Cove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North Billerica, MA 01862</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July 25, 2014</w:t>
      </w:r>
    </w:p>
    <w:p>
      <w:pPr>
        <w:spacing w:after="0" w:line="152" w:lineRule="exact"/>
        <w:rPr>
          <w:sz w:val="24"/>
          <w:szCs w:val="24"/>
          <w:color w:val="auto"/>
        </w:rPr>
      </w:pPr>
    </w:p>
    <w:p>
      <w:pPr>
        <w:ind w:left="20"/>
        <w:spacing w:after="0"/>
        <w:rPr>
          <w:sz w:val="20"/>
          <w:szCs w:val="20"/>
          <w:color w:val="auto"/>
        </w:rPr>
      </w:pPr>
      <w:r>
        <w:rPr>
          <w:rFonts w:ascii="Arial" w:cs="Arial" w:eastAsia="Arial" w:hAnsi="Arial"/>
          <w:sz w:val="18"/>
          <w:szCs w:val="18"/>
          <w:b w:val="1"/>
          <w:bCs w:val="1"/>
          <w:u w:val="single" w:color="auto"/>
          <w:color w:val="auto"/>
        </w:rPr>
        <w:t>VIA EDGAR AND EMAIL</w:t>
      </w:r>
    </w:p>
    <w:p>
      <w:pPr>
        <w:spacing w:after="0" w:line="8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Attn: Jeffrey P. Riedler</w:t>
      </w:r>
    </w:p>
    <w:p>
      <w:pPr>
        <w:spacing w:after="0" w:line="145" w:lineRule="exact"/>
        <w:rPr>
          <w:sz w:val="24"/>
          <w:szCs w:val="24"/>
          <w:color w:val="auto"/>
        </w:rPr>
      </w:pPr>
    </w:p>
    <w:p>
      <w:pPr>
        <w:ind w:left="920"/>
        <w:spacing w:after="0"/>
        <w:tabs>
          <w:tab w:leader="none" w:pos="1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Lantheus Holdings, Inc.</w:t>
      </w:r>
    </w:p>
    <w:p>
      <w:pPr>
        <w:spacing w:after="0" w:line="21"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(File No. 333-196998)</w:t>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We refer to the registration statement on Form S-1 (File No. 333-196998) (as amended, the “Registration Statement”), of Lantheus Holdings, Inc. (the “Company”), relating to the registration of the Company’s common stock, par value $0.01 per share.</w:t>
      </w:r>
    </w:p>
    <w:p>
      <w:pPr>
        <w:spacing w:after="0" w:line="118" w:lineRule="exact"/>
        <w:rPr>
          <w:sz w:val="24"/>
          <w:szCs w:val="24"/>
          <w:color w:val="auto"/>
        </w:rPr>
      </w:pPr>
    </w:p>
    <w:p>
      <w:pPr>
        <w:ind w:right="20" w:firstLine="456"/>
        <w:spacing w:after="0" w:line="370" w:lineRule="auto"/>
        <w:rPr>
          <w:sz w:val="20"/>
          <w:szCs w:val="20"/>
          <w:color w:val="auto"/>
        </w:rPr>
      </w:pPr>
      <w:r>
        <w:rPr>
          <w:rFonts w:ascii="Arial" w:cs="Arial" w:eastAsia="Arial" w:hAnsi="Arial"/>
          <w:sz w:val="15"/>
          <w:szCs w:val="15"/>
          <w:color w:val="auto"/>
        </w:rPr>
        <w:t>In accordance with Rule 461 under the Securities Act of 1933, as amended, the Company hereby respectfully requests the acceleration of the effectiveness of the Registration Statement so that it may become effective at 2:00 p.m. (Eastern time) on Tuesday, July 29, 2014 or as soon as practicable thereafter.</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hereby acknowledges the following:</w:t>
      </w:r>
    </w:p>
    <w:p>
      <w:pPr>
        <w:spacing w:after="0" w:line="77" w:lineRule="exact"/>
        <w:rPr>
          <w:sz w:val="24"/>
          <w:szCs w:val="24"/>
          <w:color w:val="auto"/>
        </w:rPr>
      </w:pPr>
    </w:p>
    <w:p>
      <w:pPr>
        <w:ind w:left="900" w:right="2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18" w:lineRule="exact"/>
        <w:rPr>
          <w:sz w:val="24"/>
          <w:szCs w:val="24"/>
          <w:color w:val="auto"/>
        </w:rPr>
      </w:pPr>
    </w:p>
    <w:p>
      <w:pPr>
        <w:ind w:right="420" w:firstLine="456"/>
        <w:spacing w:after="0" w:line="332" w:lineRule="auto"/>
        <w:rPr>
          <w:sz w:val="20"/>
          <w:szCs w:val="20"/>
          <w:color w:val="auto"/>
        </w:rPr>
      </w:pPr>
      <w:r>
        <w:rPr>
          <w:rFonts w:ascii="Arial" w:cs="Arial" w:eastAsia="Arial" w:hAnsi="Arial"/>
          <w:sz w:val="16"/>
          <w:szCs w:val="16"/>
          <w:color w:val="auto"/>
        </w:rPr>
        <w:t>In addition, the Company hereby confirms that it is aware of its responsibilities under the Securities Act and the Securities Exchange Act of 1934, as amended, as they relate to the proposed public offering of the securities specified in the Registration Statement.</w:t>
      </w:r>
    </w:p>
    <w:p>
      <w:pPr>
        <w:spacing w:after="0" w:line="72"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Please call Heather L. Emmel at (212) 310-8849 or Noah B. Kressler at (212) 310-8360, of Weil, Gotshal &amp; Manges LLP, to confirm the effectiveness of the Registration Statement.</w:t>
      </w:r>
    </w:p>
    <w:p>
      <w:pPr>
        <w:sectPr>
          <w:pgSz w:w="11900" w:h="16838" w:orient="portrait"/>
          <w:cols w:equalWidth="0" w:num="1">
            <w:col w:w="11320"/>
          </w:cols>
          <w:pgMar w:left="240" w:top="233" w:right="33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Lantheus Holdings, Inc.</w:t>
      </w:r>
    </w:p>
    <w:p>
      <w:pPr>
        <w:spacing w:after="0" w:line="23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 Michael P. Duffy</w:t>
            </w:r>
          </w:p>
        </w:tc>
      </w:tr>
      <w:tr>
        <w:trPr>
          <w:trHeight w:val="202"/>
        </w:trPr>
        <w:tc>
          <w:tcPr>
            <w:tcW w:w="32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8"/>
              </w:rPr>
              <w:t>Name:</w:t>
            </w:r>
          </w:p>
        </w:tc>
        <w:tc>
          <w:tcPr>
            <w:tcW w:w="3640" w:type="dxa"/>
            <w:vAlign w:val="bottom"/>
          </w:tcPr>
          <w:p>
            <w:pPr>
              <w:ind w:left="80"/>
              <w:spacing w:after="0" w:line="202" w:lineRule="exact"/>
              <w:rPr>
                <w:sz w:val="20"/>
                <w:szCs w:val="20"/>
                <w:color w:val="auto"/>
              </w:rPr>
            </w:pPr>
            <w:r>
              <w:rPr>
                <w:rFonts w:ascii="Arial" w:cs="Arial" w:eastAsia="Arial" w:hAnsi="Arial"/>
                <w:sz w:val="18"/>
                <w:szCs w:val="18"/>
                <w:color w:val="auto"/>
              </w:rPr>
              <w:t>Michael P. Duffy</w:t>
            </w:r>
          </w:p>
        </w:tc>
      </w:tr>
      <w:tr>
        <w:trPr>
          <w:trHeight w:val="216"/>
        </w:trPr>
        <w:tc>
          <w:tcPr>
            <w:tcW w:w="3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Vice President, General</w:t>
            </w:r>
          </w:p>
        </w:tc>
      </w:tr>
      <w:tr>
        <w:trPr>
          <w:trHeight w:val="222"/>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Counsel and Secretary</w:t>
            </w:r>
          </w:p>
        </w:tc>
      </w:tr>
    </w:tbl>
    <w:p>
      <w:pPr>
        <w:spacing w:after="0" w:line="1" w:lineRule="exact"/>
        <w:rPr>
          <w:sz w:val="20"/>
          <w:szCs w:val="20"/>
          <w:color w:val="auto"/>
        </w:rPr>
      </w:pPr>
    </w:p>
    <w:sectPr>
      <w:pgSz w:w="11900" w:h="16838" w:orient="portrait"/>
      <w:cols w:equalWidth="0" w:num="1">
        <w:col w:w="10220"/>
      </w:cols>
      <w:pgMar w:left="14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2019-12-08T01:51:57Z</dcterms:created>
  <dcterms:modified xsi:type="dcterms:W3CDTF">2019-12-08T01:51:57Z</dcterms:modified>
</cp:coreProperties>
</file>