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460" w:hanging="30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07" w:lineRule="exact"/>
        <w:rPr>
          <w:sz w:val="24"/>
          <w:szCs w:val="24"/>
          <w:color w:val="auto"/>
        </w:rPr>
      </w:pPr>
    </w:p>
    <w:p>
      <w:pPr>
        <w:ind w:left="460" w:hanging="30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Borders>
              <w:bottom w:val="single" w:sz="8" w:color="auto"/>
            </w:tcBorders>
          </w:tcPr>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35-2318913</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tc>
        <w:tc>
          <w:tcPr>
            <w:tcW w:w="4500" w:type="dxa"/>
            <w:vAlign w:val="bottom"/>
          </w:tcPr>
          <w:p>
            <w:pPr>
              <w:jc w:val="right"/>
              <w:ind w:right="1939"/>
              <w:spacing w:after="0"/>
              <w:rPr>
                <w:sz w:val="20"/>
                <w:szCs w:val="20"/>
                <w:color w:val="auto"/>
              </w:rPr>
            </w:pPr>
            <w:r>
              <w:rPr>
                <w:rFonts w:ascii="Times New Roman" w:cs="Times New Roman" w:eastAsia="Times New Roman" w:hAnsi="Times New Roman"/>
                <w:sz w:val="18"/>
                <w:szCs w:val="18"/>
                <w:b w:val="1"/>
                <w:bCs w:val="1"/>
                <w:color w:val="auto"/>
              </w:rPr>
              <w:t>01730</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Bedford, MA</w:t>
            </w: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(978) 671-8001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tbl>
      <w:tblPr>
        <w:tblLayout w:type="fixed"/>
        <w:tblInd w:w="380" w:type="dxa"/>
        <w:tblCellMar>
          <w:top w:w="0" w:type="dxa"/>
          <w:left w:w="0" w:type="dxa"/>
          <w:bottom w:w="0" w:type="dxa"/>
          <w:right w:w="0" w:type="dxa"/>
        </w:tblCellMar>
      </w:tblP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6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94"/>
        </w:trPr>
        <w:tc>
          <w:tcPr>
            <w:tcW w:w="50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r>
      <w:tr>
        <w:trPr>
          <w:trHeight w:val="155"/>
        </w:trPr>
        <w:tc>
          <w:tcPr>
            <w:tcW w:w="500" w:type="dxa"/>
            <w:vAlign w:val="bottom"/>
            <w:tcBorders>
              <w:right w:val="single" w:sz="8" w:color="auto"/>
            </w:tcBorders>
          </w:tcPr>
          <w:p>
            <w:pPr>
              <w:spacing w:after="0"/>
              <w:rPr>
                <w:sz w:val="13"/>
                <w:szCs w:val="13"/>
                <w:color w:val="auto"/>
              </w:rPr>
            </w:pPr>
          </w:p>
        </w:tc>
        <w:tc>
          <w:tcPr>
            <w:tcW w:w="3620" w:type="dxa"/>
            <w:vAlign w:val="bottom"/>
            <w:tcBorders>
              <w:bottom w:val="single" w:sz="8" w:color="auto"/>
              <w:right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Title of each class</w:t>
            </w:r>
          </w:p>
        </w:tc>
        <w:tc>
          <w:tcPr>
            <w:tcW w:w="1860" w:type="dxa"/>
            <w:vAlign w:val="bottom"/>
            <w:tcBorders>
              <w:bottom w:val="single" w:sz="8" w:color="auto"/>
              <w:right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Trading Symbol(s)</w:t>
            </w:r>
          </w:p>
        </w:tc>
        <w:tc>
          <w:tcPr>
            <w:tcW w:w="4040" w:type="dxa"/>
            <w:vAlign w:val="bottom"/>
            <w:tcBorders>
              <w:bottom w:val="single" w:sz="8" w:color="auto"/>
              <w:right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25"/>
        </w:trPr>
        <w:tc>
          <w:tcPr>
            <w:tcW w:w="500" w:type="dxa"/>
            <w:vAlign w:val="bottom"/>
            <w:tcBorders>
              <w:right w:val="single" w:sz="8" w:color="auto"/>
            </w:tcBorders>
          </w:tcPr>
          <w:p>
            <w:pPr>
              <w:spacing w:after="0"/>
              <w:rPr>
                <w:sz w:val="10"/>
                <w:szCs w:val="10"/>
                <w:color w:val="auto"/>
              </w:rPr>
            </w:pPr>
          </w:p>
        </w:tc>
        <w:tc>
          <w:tcPr>
            <w:tcW w:w="362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color w:val="auto"/>
              </w:rPr>
              <w:t>Common stock, par value $0.01 per share</w:t>
            </w:r>
          </w:p>
        </w:tc>
        <w:tc>
          <w:tcPr>
            <w:tcW w:w="186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color w:val="auto"/>
              </w:rPr>
              <w:t>LNTH</w:t>
            </w:r>
          </w:p>
        </w:tc>
        <w:tc>
          <w:tcPr>
            <w:tcW w:w="4040" w:type="dxa"/>
            <w:vAlign w:val="bottom"/>
            <w:tcBorders>
              <w:bottom w:val="single" w:sz="8" w:color="auto"/>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85" w:lineRule="exact"/>
        <w:rPr>
          <w:sz w:val="24"/>
          <w:szCs w:val="24"/>
          <w:color w:val="auto"/>
        </w:rPr>
      </w:pPr>
    </w:p>
    <w:p>
      <w:pPr>
        <w:ind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140"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80"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140" w:type="dxa"/>
        <w:tblCellMar>
          <w:top w:w="0" w:type="dxa"/>
          <w:left w:w="0" w:type="dxa"/>
          <w:bottom w:w="0" w:type="dxa"/>
          <w:right w:w="0" w:type="dxa"/>
        </w:tblCellMar>
      </w:tblPr>
      <w:tr>
        <w:trPr>
          <w:trHeight w:val="24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6" w:lineRule="exact"/>
        <w:rPr>
          <w:sz w:val="24"/>
          <w:szCs w:val="24"/>
          <w:color w:val="auto"/>
        </w:rPr>
      </w:pPr>
    </w:p>
    <w:p>
      <w:pPr>
        <w:ind w:right="140"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80" w:right="374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The registrant had 67,994,149 shares of common stock, $0.01 par value, outstanding as of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2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2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spacing w:after="0"/>
              <w:rPr>
                <w:sz w:val="7"/>
                <w:szCs w:val="7"/>
                <w:color w:val="auto"/>
              </w:rPr>
            </w:pPr>
          </w:p>
        </w:tc>
      </w:tr>
      <w:tr>
        <w:trPr>
          <w:trHeight w:val="243"/>
        </w:trPr>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88"/>
        </w:trPr>
        <w:tc>
          <w:tcPr>
            <w:tcW w:w="24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0000FF"/>
            </w:tcBorders>
            <w:shd w:val="clear" w:color="auto" w:fill="CFF0FC"/>
          </w:tcPr>
          <w:p>
            <w:pPr>
              <w:spacing w:after="0"/>
              <w:rPr>
                <w:sz w:val="7"/>
                <w:szCs w:val="7"/>
                <w:color w:val="auto"/>
              </w:rPr>
            </w:pPr>
          </w:p>
        </w:tc>
        <w:tc>
          <w:tcPr>
            <w:tcW w:w="120" w:type="dxa"/>
            <w:vAlign w:val="bottom"/>
            <w:tcBorders>
              <w:top w:val="single" w:sz="8" w:color="0000FF"/>
            </w:tcBorders>
            <w:shd w:val="clear" w:color="auto" w:fill="CFF0FC"/>
          </w:tcPr>
          <w:p>
            <w:pPr>
              <w:spacing w:after="0"/>
              <w:rPr>
                <w:sz w:val="7"/>
                <w:szCs w:val="7"/>
                <w:color w:val="auto"/>
              </w:rPr>
            </w:pPr>
          </w:p>
        </w:tc>
        <w:tc>
          <w:tcPr>
            <w:tcW w:w="660" w:type="dxa"/>
            <w:vAlign w:val="bottom"/>
            <w:tcBorders>
              <w:top w:val="single" w:sz="8" w:color="0000FF"/>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660" w:type="dxa"/>
            <w:vAlign w:val="bottom"/>
            <w:tcBorders>
              <w:top w:val="single" w:sz="8" w:color="0000FF"/>
            </w:tcBorders>
          </w:tcPr>
          <w:p>
            <w:pPr>
              <w:spacing w:after="0"/>
              <w:rPr>
                <w:sz w:val="7"/>
                <w:szCs w:val="7"/>
                <w:color w:val="auto"/>
              </w:rPr>
            </w:pPr>
          </w:p>
        </w:tc>
        <w:tc>
          <w:tcPr>
            <w:tcW w:w="1340" w:type="dxa"/>
            <w:vAlign w:val="bottom"/>
            <w:tcBorders>
              <w:top w:val="single" w:sz="8" w:color="0000FF"/>
            </w:tcBorders>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0000FF"/>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88"/>
        </w:trPr>
        <w:tc>
          <w:tcPr>
            <w:tcW w:w="24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1A. Risk Factors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80" w:type="dxa"/>
            <w:vAlign w:val="bottom"/>
            <w:tcBorders>
              <w:top w:val="single" w:sz="8" w:color="0000FF"/>
            </w:tcBorders>
            <w:shd w:val="clear" w:color="auto" w:fill="CFF0FC"/>
          </w:tcPr>
          <w:p>
            <w:pPr>
              <w:spacing w:after="0"/>
              <w:rPr>
                <w:sz w:val="7"/>
                <w:szCs w:val="7"/>
                <w:color w:val="auto"/>
              </w:rPr>
            </w:pPr>
          </w:p>
        </w:tc>
        <w:tc>
          <w:tcPr>
            <w:tcW w:w="26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6. Exhibits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88"/>
        </w:trPr>
        <w:tc>
          <w:tcPr>
            <w:tcW w:w="24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2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CFF0FC"/>
            </w:tcBorders>
            <w:shd w:val="clear" w:color="auto" w:fill="CFF0FC"/>
          </w:tcPr>
          <w:p>
            <w:pPr>
              <w:spacing w:after="0"/>
              <w:rPr>
                <w:sz w:val="7"/>
                <w:szCs w:val="7"/>
                <w:color w:val="auto"/>
              </w:rPr>
            </w:pPr>
          </w:p>
        </w:tc>
        <w:tc>
          <w:tcPr>
            <w:tcW w:w="2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871"/>
        </w:trPr>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695,572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912,814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1,201,816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1,326,633</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170,233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2,116,077</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240,526</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565,279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892,329</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 shares authorized; 71,702 shares and 70,905 shares issued and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817,972</w:t>
            </w: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3,715 shares and 2,455 shares at June 30, 2025 and December 31, 2024,</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445,945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(1,615)</w:t>
            </w: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1,088,011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2,116,077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-4362450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-3230880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378,045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394,091</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750,809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764,066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272,098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266,446</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241,011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478,711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90,581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95,304</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294,510</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87,966</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190,033</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209,364</w:t>
            </w:r>
          </w:p>
        </w:tc>
        <w:tc>
          <w:tcPr>
            <w:tcW w:w="100" w:type="dxa"/>
            <w:vAlign w:val="bottom"/>
            <w:tcBorders>
              <w:top w:val="single" w:sz="8" w:color="CFF0FC"/>
            </w:tcBorders>
          </w:tcPr>
          <w:p>
            <w:pPr>
              <w:spacing w:after="0"/>
              <w:rPr>
                <w:sz w:val="18"/>
                <w:szCs w:val="18"/>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 - unrealized (gain) loss</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(38,167)</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(6,895)</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(21,023)</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(17,832)</w:t>
            </w:r>
          </w:p>
        </w:tc>
      </w:tr>
      <w:tr>
        <w:trPr>
          <w:trHeight w:val="209"/>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104,517</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84,374</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201,046</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255,642</w:t>
            </w:r>
          </w:p>
        </w:tc>
        <w:tc>
          <w:tcPr>
            <w:tcW w:w="100" w:type="dxa"/>
            <w:vAlign w:val="bottom"/>
            <w:tcBorders>
              <w:top w:val="single" w:sz="8" w:color="CFF0FC"/>
            </w:tcBorders>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78,755</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151,700</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0"/>
                <w:szCs w:val="20"/>
                <w:color w:val="auto"/>
              </w:rPr>
            </w:pPr>
          </w:p>
        </w:tc>
      </w:tr>
      <w:tr>
        <w:trPr>
          <w:trHeight w:val="197"/>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68,516</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69,356</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68,591</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7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70,312</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70,896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70,364</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-2794000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-2794000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-2794000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-2236470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-2236470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-2236470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-1953895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-1953895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-1953895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-1388110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-1388110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-1388110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-1096645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-488315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-471170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-488315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-488315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-471170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62,073</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151,700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193,139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192,966</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8"/>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76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85"/>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64"/>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6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6"/>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46"/>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2025</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70,905</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3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817,972</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445,945</w:t>
            </w:r>
          </w:p>
        </w:tc>
        <w:tc>
          <w:tcPr>
            <w:tcW w:w="3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(1,615)</w:t>
            </w:r>
          </w:p>
        </w:tc>
        <w:tc>
          <w:tcPr>
            <w:tcW w:w="2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1,088,011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7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145"/>
        </w:trPr>
        <w:tc>
          <w:tcPr>
            <w:tcW w:w="28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845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(23,684)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(23,686)</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21,198</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2025</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71,607</w:t>
            </w:r>
          </w:p>
        </w:tc>
        <w:tc>
          <w:tcPr>
            <w:tcW w:w="12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716</w:t>
            </w:r>
          </w:p>
        </w:tc>
        <w:tc>
          <w:tcPr>
            <w:tcW w:w="2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821,346</w:t>
            </w:r>
          </w:p>
        </w:tc>
        <w:tc>
          <w:tcPr>
            <w:tcW w:w="140" w:type="dxa"/>
            <w:vAlign w:val="bottom"/>
          </w:tcPr>
          <w:p>
            <w:pPr>
              <w:spacing w:after="0"/>
              <w:rPr>
                <w:sz w:val="13"/>
                <w:szCs w:val="13"/>
                <w:color w:val="auto"/>
              </w:rPr>
            </w:pPr>
          </w:p>
        </w:tc>
        <w:tc>
          <w:tcPr>
            <w:tcW w:w="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518,890</w:t>
            </w:r>
          </w:p>
        </w:tc>
        <w:tc>
          <w:tcPr>
            <w:tcW w:w="3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(1,758)</w:t>
            </w:r>
          </w:p>
        </w:tc>
        <w:tc>
          <w:tcPr>
            <w:tcW w:w="2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1,164,194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76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78,755</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78,755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2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7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(963)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(963)</w:t>
            </w:r>
          </w:p>
        </w:tc>
        <w:tc>
          <w:tcPr>
            <w:tcW w:w="0" w:type="dxa"/>
            <w:vAlign w:val="bottom"/>
          </w:tcPr>
          <w:p>
            <w:pPr>
              <w:spacing w:after="0"/>
              <w:rPr>
                <w:sz w:val="1"/>
                <w:szCs w:val="1"/>
                <w:color w:val="auto"/>
              </w:rPr>
            </w:pPr>
          </w:p>
        </w:tc>
      </w:tr>
      <w:tr>
        <w:trPr>
          <w:trHeight w:val="145"/>
        </w:trPr>
        <w:tc>
          <w:tcPr>
            <w:tcW w:w="28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Repurchase of common stock, including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excise tax</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(100,000)</w:t>
            </w:r>
          </w:p>
        </w:tc>
        <w:tc>
          <w:tcPr>
            <w:tcW w:w="1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(100,245)</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22,321</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22,321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2025</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w:t>
            </w:r>
          </w:p>
        </w:tc>
        <w:tc>
          <w:tcPr>
            <w:tcW w:w="2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3,715</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(275,000)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844,903</w:t>
            </w:r>
          </w:p>
        </w:tc>
        <w:tc>
          <w:tcPr>
            <w:tcW w:w="140" w:type="dxa"/>
            <w:vAlign w:val="bottom"/>
          </w:tcPr>
          <w:p>
            <w:pPr>
              <w:spacing w:after="0"/>
              <w:rPr>
                <w:sz w:val="13"/>
                <w:szCs w:val="13"/>
                <w:color w:val="auto"/>
              </w:rPr>
            </w:pPr>
          </w:p>
        </w:tc>
        <w:tc>
          <w:tcPr>
            <w:tcW w:w="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597,645</w:t>
            </w:r>
          </w:p>
        </w:tc>
        <w:tc>
          <w:tcPr>
            <w:tcW w:w="3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(1,482)</w:t>
            </w:r>
          </w:p>
        </w:tc>
        <w:tc>
          <w:tcPr>
            <w:tcW w:w="2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1,166,783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8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76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85"/>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64"/>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6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6"/>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7"/>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46"/>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2024</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69,863</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699</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3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757,727</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133,503</w:t>
            </w:r>
          </w:p>
        </w:tc>
        <w:tc>
          <w:tcPr>
            <w:tcW w:w="3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(1,037)</w:t>
            </w:r>
          </w:p>
        </w:tc>
        <w:tc>
          <w:tcPr>
            <w:tcW w:w="2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815,892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131,066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131,066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7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145"/>
        </w:trPr>
        <w:tc>
          <w:tcPr>
            <w:tcW w:w="28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988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(19,415)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(19,418)</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15,384</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15,384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2024</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70,635</w:t>
            </w:r>
          </w:p>
        </w:tc>
        <w:tc>
          <w:tcPr>
            <w:tcW w:w="12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706</w:t>
            </w:r>
          </w:p>
        </w:tc>
        <w:tc>
          <w:tcPr>
            <w:tcW w:w="2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756,443</w:t>
            </w:r>
          </w:p>
        </w:tc>
        <w:tc>
          <w:tcPr>
            <w:tcW w:w="140" w:type="dxa"/>
            <w:vAlign w:val="bottom"/>
          </w:tcPr>
          <w:p>
            <w:pPr>
              <w:spacing w:after="0"/>
              <w:rPr>
                <w:sz w:val="13"/>
                <w:szCs w:val="13"/>
                <w:color w:val="auto"/>
              </w:rPr>
            </w:pPr>
          </w:p>
        </w:tc>
        <w:tc>
          <w:tcPr>
            <w:tcW w:w="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264,569</w:t>
            </w:r>
          </w:p>
        </w:tc>
        <w:tc>
          <w:tcPr>
            <w:tcW w:w="3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(1,178)</w:t>
            </w:r>
          </w:p>
        </w:tc>
        <w:tc>
          <w:tcPr>
            <w:tcW w:w="2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945,540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76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62,073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62,073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7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45"/>
        </w:trPr>
        <w:tc>
          <w:tcPr>
            <w:tcW w:w="282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7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(924)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(924)</w:t>
            </w: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18,479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2024</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70,750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708</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775,545</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326,642</w:t>
            </w:r>
          </w:p>
        </w:tc>
        <w:tc>
          <w:tcPr>
            <w:tcW w:w="3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(1,210)</w:t>
            </w:r>
          </w:p>
        </w:tc>
        <w:tc>
          <w:tcPr>
            <w:tcW w:w="2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1,026,685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-3736975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-3736975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-3736975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-3736975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-3736975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-3736975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-3736975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-2673985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-2673985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-2673985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-2673985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-2673985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-2673985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-2673985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-993775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-993775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-993775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-993775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-993775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-993775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-993775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151,700</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 to the fair value of asset retirement obligation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debt-related costs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 adjustments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(6,254)</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loss (gain) on investment in equity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(38,167)</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Charges incurred pursuant to acquired in-process research and development</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(7,629)</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excluding impact of acquisitions: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(88,028)</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(7,975)</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and noncurrent liabilities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(19,448)</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assets,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(33,911)</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Evergreen, net of cash acquired</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(269,098)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investment in equity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(78,256)</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exclusive license option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(28,000)</w:t>
            </w:r>
          </w:p>
        </w:tc>
      </w:tr>
      <w:tr>
        <w:trPr>
          <w:trHeight w:val="20"/>
        </w:trPr>
        <w:tc>
          <w:tcPr>
            <w:tcW w:w="75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(151,615)</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long-term debt and other borrowings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 equity awards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(24,481)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(20,424)</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(116,632)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(16,746)</w:t>
            </w:r>
          </w:p>
        </w:tc>
      </w:tr>
      <w:tr>
        <w:trPr>
          <w:trHeight w:val="20"/>
        </w:trPr>
        <w:tc>
          <w:tcPr>
            <w:tcW w:w="75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7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(217,224)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shd w:val="clear" w:color="auto" w:fill="CFF0FC"/>
          </w:tcPr>
          <w:p>
            <w:pPr>
              <w:spacing w:after="0"/>
              <w:rPr>
                <w:sz w:val="18"/>
                <w:szCs w:val="18"/>
                <w:color w:val="auto"/>
              </w:rPr>
            </w:pPr>
          </w:p>
        </w:tc>
      </w:tr>
      <w:tr>
        <w:trPr>
          <w:trHeight w:val="210"/>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914,486</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715,285</w:t>
            </w:r>
          </w:p>
        </w:tc>
        <w:tc>
          <w:tcPr>
            <w:tcW w:w="100" w:type="dxa"/>
            <w:vAlign w:val="bottom"/>
            <w:tcBorders>
              <w:top w:val="single" w:sz="8" w:color="CFF0FC"/>
            </w:tcBorders>
          </w:tcPr>
          <w:p>
            <w:pPr>
              <w:spacing w:after="0"/>
              <w:rPr>
                <w:sz w:val="18"/>
                <w:szCs w:val="18"/>
                <w:color w:val="auto"/>
              </w:rPr>
            </w:pPr>
          </w:p>
        </w:tc>
      </w:tr>
      <w:tr>
        <w:trPr>
          <w:trHeight w:val="24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697,262</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758,669</w:t>
            </w:r>
          </w:p>
        </w:tc>
        <w:tc>
          <w:tcPr>
            <w:tcW w:w="100" w:type="dxa"/>
            <w:vAlign w:val="bottom"/>
            <w:shd w:val="clear" w:color="auto" w:fill="CFF0FC"/>
          </w:tcPr>
          <w:p>
            <w:pPr>
              <w:spacing w:after="0"/>
              <w:rPr>
                <w:sz w:val="21"/>
                <w:szCs w:val="21"/>
                <w:color w:val="auto"/>
              </w:rPr>
            </w:pPr>
          </w:p>
        </w:tc>
      </w:tr>
      <w:tr>
        <w:trPr>
          <w:trHeight w:val="629"/>
        </w:trPr>
        <w:tc>
          <w:tcPr>
            <w:tcW w:w="754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9"/>
        </w:trPr>
        <w:tc>
          <w:tcPr>
            <w:tcW w:w="7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-3539490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-2433955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-1019175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695,572</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757,018</w:t>
            </w:r>
          </w:p>
        </w:tc>
        <w:tc>
          <w:tcPr>
            <w:tcW w:w="100" w:type="dxa"/>
            <w:vAlign w:val="bottom"/>
          </w:tcPr>
          <w:p>
            <w:pPr>
              <w:spacing w:after="0"/>
              <w:rPr>
                <w:sz w:val="18"/>
                <w:szCs w:val="18"/>
                <w:color w:val="auto"/>
              </w:rPr>
            </w:pPr>
          </w:p>
        </w:tc>
      </w:tr>
      <w:tr>
        <w:trPr>
          <w:trHeight w:val="216"/>
        </w:trPr>
        <w:tc>
          <w:tcPr>
            <w:tcW w:w="7960" w:type="dxa"/>
            <w:vAlign w:val="bottom"/>
            <w:tcBorders>
              <w:bottom w:val="single" w:sz="8" w:color="CFF0FC"/>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697,262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758,669</w:t>
            </w:r>
          </w:p>
        </w:tc>
        <w:tc>
          <w:tcPr>
            <w:tcW w:w="10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7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9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6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Schedule of non-cash investing and financing activities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of property, plant and equipment included in liabilities</w:t>
            </w:r>
          </w:p>
        </w:tc>
        <w:tc>
          <w:tcPr>
            <w:tcW w:w="600" w:type="dxa"/>
            <w:vAlign w:val="bottom"/>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960" w:type="dxa"/>
            <w:vAlign w:val="bottom"/>
            <w:tcBorders>
              <w:right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Contingent consideration liabilities related to the acquisition of Evergreen</w:t>
            </w:r>
          </w:p>
        </w:tc>
        <w:tc>
          <w:tcPr>
            <w:tcW w:w="600" w:type="dxa"/>
            <w:vAlign w:val="bottom"/>
            <w:shd w:val="clear" w:color="auto" w:fill="CFF0FC"/>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43,042</w:t>
            </w:r>
          </w:p>
        </w:tc>
        <w:tc>
          <w:tcPr>
            <w:tcW w:w="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9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Lease liability settled through transfer of lease</w:t>
            </w:r>
          </w:p>
        </w:tc>
        <w:tc>
          <w:tcPr>
            <w:tcW w:w="600" w:type="dxa"/>
            <w:vAlign w:val="bottom"/>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7"/>
                <w:szCs w:val="17"/>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960" w:type="dxa"/>
            <w:vAlign w:val="bottom"/>
            <w:tcBorders>
              <w:right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Modification of lease agreement</w:t>
            </w:r>
          </w:p>
        </w:tc>
        <w:tc>
          <w:tcPr>
            <w:tcW w:w="600" w:type="dxa"/>
            <w:vAlign w:val="bottom"/>
            <w:shd w:val="clear" w:color="auto" w:fill="CFF0FC"/>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5,789</w:t>
            </w:r>
          </w:p>
        </w:tc>
        <w:tc>
          <w:tcPr>
            <w:tcW w:w="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9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Right-of-use asset obtained in exchange for finance lease obligation</w:t>
            </w:r>
          </w:p>
        </w:tc>
        <w:tc>
          <w:tcPr>
            <w:tcW w:w="600" w:type="dxa"/>
            <w:vAlign w:val="bottom"/>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6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960" w:type="dxa"/>
            <w:vAlign w:val="bottom"/>
            <w:tcBorders>
              <w:right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Excise tax payable on net common stock repurchases</w:t>
            </w:r>
          </w:p>
        </w:tc>
        <w:tc>
          <w:tcPr>
            <w:tcW w:w="600" w:type="dxa"/>
            <w:vAlign w:val="bottom"/>
            <w:shd w:val="clear" w:color="auto" w:fill="CFF0FC"/>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9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Acquisition of in-process research and development included in liabilities</w:t>
            </w:r>
          </w:p>
        </w:tc>
        <w:tc>
          <w:tcPr>
            <w:tcW w:w="600" w:type="dxa"/>
            <w:vAlign w:val="bottom"/>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7"/>
                <w:szCs w:val="17"/>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-1885315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-839470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-822325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-513715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 and Trademarks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“our Company,” “Lantheus,” “we,” “us” and “our” refer to Lantheus Holdings, Inc. and its direct and indirect wholly-owned subsidiaries; references to “Lantheus Holdings” refer to Lantheus Holdings, Inc. and not to any of its subsidiaries; references to “Lantheus Medical” refer to Lantheus Medical Imaging, Inc., the wholly-owned subsidiary of Lantheus Holdings; references to “Aphelion,” “Lantheus Alpha” and “Meilleur” refer to Aphelion LLC, Lantheus Alpha Therapy, LLC and Meilleur Technologies, Inc., respectively, each a wholly-owned subsidiary of Lantheus Holdings; references to “Cerveau,” “Lantheus Real Estate,” “Progenics,” and “Evergreen,” refer to Cerveau Technologies, Inc.; Lantheus MI Real Estate, LLC; Progenics Pharmaceuticals, Inc. and Evergreen Theragnostics, Inc., respectively, each a wholly-owned subsidiary of Lantheus Medical, and references to “EXINI” refer to EXINI Diagnostics AB, a wholly-owned subsidiary of Progenics.</w:t>
      </w:r>
    </w:p>
    <w:p>
      <w:pPr>
        <w:spacing w:after="0" w:line="18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Solely for convenience, the Company refers to trademarks, service marks and trade names in this Quarterly Report on Form 10-Q (“Form 10-Q”) without the TM, SM and ® symbols. Those references are not intended to indicate, in any way, that the Company will not assert, to the fullest extent permitted under applicable law, its rights to its trademarks, service marks and trade names. Each trademark, trade name or service mark of any other company appearing in this Form 10-Q, is, to the Company’s knowledge, owned by that other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Lantheus and have been prepared in accordance with generally accepted accounting principles in the United States (“U.S. GAAP”) for interim financial information and with the instructions for Form 10-Q and Article 10 of Regulation S-X. Accordingly, these condensed consolidated financial statements do not include all of the information and notes required by U.S. GAAP for complete financial statements. In the opinion of management, all adjustments (consisting of normal and recurring adjustments) considered necessary for a fair statement have been included. The preparation of the Company’s condensed consolidated financial statements requires management to make certain estimates and assumptions that affect the reported amounts of assets, liabilities, equity, revenue and expenses, and related disclosures. The results of operations for the three and six months ended June 30, 2025 and 2024 are not necessarily indicative of the results that may be expected for any future period.</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2024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(“Form 10-K”) for the year ended December 31, 2024 filed with the Securities Exchange Commission (“SEC”) on February 26,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(i) carrying amount or (ii) fair value less costs to sell. Any loss resulting from this measurement is recognized in the period in which the held for sale criteria are met. Conversely, gains are not recognized until the date of sale. The Company assesses the fair value of an asset less costs to sell each reporting period that the asset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Equity investments with readily determinable fair values for which the Company does not have significant influence over the investee are measured at fair value on a recurring basis. Equity investments without readily determinable fair values for which the Company does not have significant influence over the investee are measured at cost with adjustments for observable changes in price or impairments (referred to as the measurement alternative). For equity investments for which the Company does not have significant influence over the investee, changes in the value of unsold equity investments are recorded in investment in equity securities – unrealized loss (gain). Equity investments for which the Company has significant influence over the investee are measured using the equity method unless the Company elects to apply the fair value option to account for the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standards:</w:t>
      </w:r>
    </w:p>
    <w:p>
      <w:pPr>
        <w:spacing w:after="0" w:line="16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2024-04, “</w:t>
      </w:r>
      <w:r>
        <w:rPr>
          <w:rFonts w:ascii="Times New Roman" w:cs="Times New Roman" w:eastAsia="Times New Roman" w:hAnsi="Times New Roman"/>
          <w:sz w:val="18"/>
          <w:szCs w:val="18"/>
          <w:i w:val="1"/>
          <w:iCs w:val="1"/>
          <w:color w:val="auto"/>
        </w:rPr>
        <w:t>Debt - Debt with Conversion and Other Options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470-20),” </w:t>
      </w:r>
      <w:r>
        <w:rPr>
          <w:rFonts w:ascii="Times New Roman" w:cs="Times New Roman" w:eastAsia="Times New Roman" w:hAnsi="Times New Roman"/>
          <w:sz w:val="18"/>
          <w:szCs w:val="18"/>
          <w:color w:val="auto"/>
        </w:rPr>
        <w:t>which clarifies the requirements for determining whether certain settlements of convertible debt instruments should be accounted for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induced conversion rather than as extinguishment of debt. The requirements of ASU 2024-04 are effective for the annual periods beginning after December 15, 2025, including interim periods within those fiscal years. Early adoption is permitted. For the Company, the requirements under ASU 2024-04 will be effective for its Form 10-Q for the first quarter of 2026. The Company is currently in the process of evaluating the effects of this pronouncement on its consolidated financial results and related disclosures.</w:t>
      </w:r>
    </w:p>
    <w:p>
      <w:pPr>
        <w:spacing w:after="0" w:line="1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2024-03 requires additional income statement disclosures,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impact of this pronouncement on its related disclosures.</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in the process of evaluating the impact of this pronouncement on its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 by source as follows: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Products /Service Lines</w:t>
            </w: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Product revenue, net</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374,547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392,756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royalty revenues</w:t>
            </w: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378,045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5" w:lineRule="exact"/>
        <w:rPr>
          <w:sz w:val="20"/>
          <w:szCs w:val="20"/>
          <w:color w:val="auto"/>
        </w:rPr>
      </w:pPr>
    </w:p>
    <w:p>
      <w:pPr>
        <w:ind w:left="1700" w:right="220" w:hanging="374"/>
        <w:spacing w:after="0" w:line="298" w:lineRule="auto"/>
        <w:tabs>
          <w:tab w:leader="none" w:pos="17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product revenue includes PYLARIFY and DEFINITY among other products. This category represents the delivery of physical goods. The Company applies the same revenue recognition policies and judgments for all its principal products.</w:t>
      </w:r>
    </w:p>
    <w:p>
      <w:pPr>
        <w:spacing w:after="0" w:line="1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classifies its revenues into three product categories: Radiopharmaceutical Oncology, Precision Diagnostics, and Strategic Partnerships and Other Revenue. Radiopharmaceutical Oncology consists of PYLARIFY and historically included AZEDRA. In the first quarter of 2024, the Company discontinued the production of AZEDRA. Precision Diagnostics includes DEFINITY, TechneLite and other diagnostic imaging products. Strategic Partnerships and Other Revenue primarily includes revenue derived from partnerships with pharmaceutical companies and academic institutions that use the Company’s investigational products, such as MK-6240 and NAV-4694, in clinical trials as research tools, royalties and other milestone payments received from the Company’s strategic partners that have commercialized products pursuant to license arrangements with the Company, as well as contract development and manufacturing organization (“CDMO”) revenue generated by Evergreen.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by product category on a net basis is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PYLARIFY</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273,255</w:t>
            </w:r>
          </w:p>
        </w:tc>
        <w:tc>
          <w:tcPr>
            <w:tcW w:w="36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508,296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532,125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radiopharmaceutical oncology</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radiopharmaceutical oncology</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273,255</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508,296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532,509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TechneLite</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w:t>
            </w: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precision diagnostics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precision diagnostics</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112,111</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220,176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216,321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partnerships and other revenue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378,045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394,091</w:t>
            </w:r>
          </w:p>
        </w:tc>
        <w:tc>
          <w:tcPr>
            <w:tcW w:w="36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750,809</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764,066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-882015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-882015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-882015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-882015</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-316230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-316230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-316230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is required to allocate a portion of its revenue received from commercial contracts to future reporting periods to the extent the Company had performance obligations that extended beyond one year. However, the Company’s performance obligations are typically part of contracts that have an original expected duration of one year or less. Therefore, since the Company elected the practical expedient under Accounting Standards Codification (“ASC”) 606-10-50-14, it does not disclose information regarding remaining performance obligations which are part of contracts that have an original expected duration of one year or less.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66" w:lineRule="exact"/>
        <w:rPr>
          <w:sz w:val="20"/>
          <w:szCs w:val="20"/>
          <w:color w:val="auto"/>
        </w:rPr>
      </w:pPr>
    </w:p>
    <w:p>
      <w:pPr>
        <w:ind w:left="1020" w:right="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or liabilities that the Company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50"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and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1"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the Company’s estimates about the assumptions that market participants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The Company develops these inputs based on the best information available, including its own data.</w:t>
      </w:r>
    </w:p>
    <w:p>
      <w:pPr>
        <w:spacing w:after="0" w:line="160"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consist of money market funds, deferred compensation plan liabilities, contingent consideration liabilities and equity investments.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measured at fair value on a recurring basis: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533,320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44,235</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44,235</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577,555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721,698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-1773555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-1773555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-1773555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-1773555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-1190625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-1190625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-1190625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-1190625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maintains the Lantheus Nonqualified Deferred Compensation Plan (the “LDCP”) for the benefit of certain key, highly-compensated employees and non-employee directors. The assets of the LDCP are currently invested in corporate-owned life insurance ("COLI") at June 30, 2025. There were no assets or liabilities balances in the LDCP at December 31, 2024. The liabilities of the LDCP are presented in other long-term liabilities in the Company’s condensed consolidated balance sheets. See Note 18,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xml:space="preserve"> for more information on the LDCP.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Perspective Therapeutics Inc. Equity Securities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June 30, 2025, the Company held 11,677,339 shares of Perspective common stock (“Perspective Shares”). The Company accounts for its investment in Perspective Shares as an equity investment with a readily determinable fair value, as the securities are publicly traded on the New York Stock Exchange (“NYSE”). The fair value of the Perspective Shares is based on its closing price on the NYSE at the end of the fiscal period and is classified within Level 1 of the fair value hierarchy because the equity securities are valued using quoted market prices. The fair value of the Perspective Shares as of June 30, 2025 was approximately $40.2 million based on a closing market price of $3.44 per share on June 30, 2025, resulting in an unrealized gain of $15.3 million and $2.9 million for the three and six months ended June 30, 2025.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Perspective transaction.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 Theranostics Limited Equity Securities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held 149,625,180 shares of Radiopharm common stock (“Radiopharm Shares”) as of December 31, 2024. In January 2025, the Company purchased via private placement, an additional 133,333,333 Radiopharm Shares for $5.0 million. At June 30, 2025, the Company held 282,958,513 Radiopharm Shares. The Company accounts for its investment in Radiopharm Shares as an equity investment with a readily determinable fair value, as the securities are publicly traded on the Australian Stock Exchange (“ASX”). The fair value of the Radiopharm Shares is based on the closing price on the ASX at the end of the fiscal period and is classified within Level 1 of the fair value hierarchy because the equity securities are valued using quoted market prices. The fair value of the Radiopharm Shares as of June 30, 2025 was approximately $4.1 million based on the converted closing market price of approximately $0.01 per share on June 30, 2025, resulting in an unrealized loss on equity securities of $0.8 million and $3.3 million for the three and six months ended June 30, 2025.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Radiopharm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Progenics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assumed contingent consideration liabilities related to a previous acquisition completed by Progenics in 2013 (“2013 Acquisition”). These contingent consideration liabilities include potential payments of up to $70.0 million if the Company attains certain net</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sales targets primarily for AZEDRA and 1095 (also known as 131 I-MIP-1095) and a $5.0 million 1095 commercialization milestone. Additionally, there is a potential payment of up to $10.0 million for a commercialization milestone related to a prostate cancer product candidate the Company refers to as “1404” that was out-licensed to ROTOP Pharmaka GmbH.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higher fair value measurement. The Company records the contingent consideration liabilities at fair value with changes in estimated fair values recorded in general and administrative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The Company estimated that the probability of successfully meeting the sales targets and commercialization milestones described above was zero. As a result of this assessment, the Company determined the value of the contingent consideration liabilities to be $0 at June 30, 2025 and December 31,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terms of the Agreement and Plan of Merger (the "Evergreen Merger Agreement") with Evergreen and Shareholder Representative Services LLC governing the Company's acquisition of Evergreen in April 2025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make certain remaining payments of up to $727.5 million in cash upon the achievement of specified milestones in connection with the development and commercialization of certain milestone products, as defined in the Evergreen Merger Agreement, and Octevy (also referred to as LNTH-2501), a registrational-stage positron emission tomography ("PET") diagnostic imaging agent targeting neuroendocrine tumors. The Company records these possible payments as contingent consideration liabilities that are classified within Level 3 of the fair value hierarchy. The Company estimated the fair value of the contingent consideration liabilities associated with the sales milestones using a Monte Carlo simulation in a risk-neutral framework, whereby the achievement of the future revenue associated with the sales milestones was simulated using a geometric Brownian motion model. The Company estimated the fair value of the contingent consideration liability associated with the development and commercialization milestones using a probability-weighted discounted cash flow (“DCF”) approach.</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higher or lower fair value measurement. The Company records the contingent consideration liabilities at fair value with changes in estimated fair values recorded in general and administrative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As a result of this assessment, the Company determined the value of the contingent consideration liabilities to be $43.0 million at June 30, 2025.</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contingent consideration liabilities include the following significant unobservable inputs (in thousands, except percent data):</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0"/>
                <w:szCs w:val="10"/>
                <w:color w:val="auto"/>
              </w:rPr>
            </w:pPr>
          </w:p>
        </w:tc>
        <w:tc>
          <w:tcPr>
            <w:tcW w:w="1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Development and commercialization</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milestones</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39,888</w:t>
            </w:r>
          </w:p>
        </w:tc>
        <w:tc>
          <w:tcPr>
            <w:tcW w:w="10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20" w:type="dxa"/>
            <w:vAlign w:val="bottom"/>
            <w:shd w:val="clear" w:color="auto" w:fill="CFF0FC"/>
          </w:tcPr>
          <w:p>
            <w:pPr>
              <w:spacing w:after="0"/>
              <w:rPr>
                <w:sz w:val="20"/>
                <w:szCs w:val="20"/>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134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7.8% - 12.1%</w:t>
            </w:r>
          </w:p>
        </w:tc>
        <w:tc>
          <w:tcPr>
            <w:tcW w:w="14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5"/>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 - 100%</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Range of expected payment</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dates</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- 2037</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Sales milestone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volatility</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- 9.4%</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contingent consideration</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43,042</w:t>
            </w: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gridSpan w:val="2"/>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income taxes at the end of each reporting period based on the estimated effective tax rate for the full year, adjusted for any discrete events which are recorded in the period they occur. Cumulative adjustments to the tax provision are recorded in the reporting period in which a change in the estimated annual effective tax rate is determined. The Company’s income tax expense and effective tax rate are presented below:</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decrease in the effective income tax rate for the three months ended June 30, 2025 is primarily due to the change in the valuation allowance related to the fluctuation in value of the Company's investment in equity securities balance, partially offset by the increase in non-deductible stock compensation. There was no material change in the effective tax rate for the six months ended June 30, 2025, when compared to the same period of 2024.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net of related reserves,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80"/>
              <w:spacing w:after="0" w:line="210" w:lineRule="exact"/>
              <w:rPr>
                <w:sz w:val="20"/>
                <w:szCs w:val="20"/>
                <w:color w:val="auto"/>
              </w:rPr>
            </w:pPr>
            <w:r>
              <w:rPr>
                <w:rFonts w:ascii="Times New Roman" w:cs="Times New Roman" w:eastAsia="Times New Roman" w:hAnsi="Times New Roman"/>
                <w:sz w:val="18"/>
                <w:szCs w:val="18"/>
                <w:color w:val="auto"/>
              </w:rPr>
              <w:t>Total inventory, net</w:t>
            </w:r>
            <w:r>
              <w:rPr>
                <w:rFonts w:ascii="Times New Roman" w:cs="Times New Roman" w:eastAsia="Times New Roman" w:hAnsi="Times New Roman"/>
                <w:sz w:val="24"/>
                <w:szCs w:val="24"/>
                <w:color w:val="auto"/>
                <w:vertAlign w:val="superscript"/>
              </w:rPr>
              <w:t>(1)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1" w:lineRule="exact"/>
        <w:rPr>
          <w:sz w:val="20"/>
          <w:szCs w:val="20"/>
          <w:color w:val="auto"/>
        </w:rPr>
      </w:pPr>
    </w:p>
    <w:p>
      <w:pPr>
        <w:ind w:left="1840" w:right="140" w:hanging="514"/>
        <w:spacing w:after="0" w:line="281" w:lineRule="auto"/>
        <w:tabs>
          <w:tab w:leader="none" w:pos="1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June 30, 2025, amounts totaling $3.4 million, $1.8 million and $5.2 million were reclassified to assets held for sale, from raw materials, work in process and finished goods, respectively, as a result of the pending sale of the Company’s single-photon emission computerized tomography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173" w:lineRule="exact"/>
        <w:rPr>
          <w:sz w:val="20"/>
          <w:szCs w:val="20"/>
          <w:color w:val="auto"/>
        </w:rPr>
      </w:pPr>
    </w:p>
    <w:p>
      <w:pPr>
        <w:ind w:right="1500" w:firstLine="509"/>
        <w:spacing w:after="0" w:line="282" w:lineRule="auto"/>
        <w:rPr>
          <w:sz w:val="20"/>
          <w:szCs w:val="20"/>
          <w:color w:val="auto"/>
        </w:rPr>
      </w:pPr>
      <w:r>
        <w:rPr>
          <w:rFonts w:ascii="Times New Roman" w:cs="Times New Roman" w:eastAsia="Times New Roman" w:hAnsi="Times New Roman"/>
          <w:sz w:val="18"/>
          <w:szCs w:val="18"/>
          <w:color w:val="auto"/>
        </w:rPr>
        <w:t>The majority of the value of the inventory relates to non-radioactive products. With respect to the Company’s products that are radiopharmaceuticals, due to the limited shelf life of such products, they are generally not held as finished goods.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gross property, plant and equipment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(65,456)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(108,762)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-453390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left="1840" w:hanging="514"/>
        <w:spacing w:after="0" w:line="275" w:lineRule="auto"/>
        <w:tabs>
          <w:tab w:leader="none" w:pos="1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June 30, 2025, amounts totaling $6.5 million in land, $46.2 million in buildings, $37.9 million in machinery, equipment and fixtures, $0.4 million in computer software, $5.7 million in construction in progress and $53.2 million in accumulated depreciation and amortization were reclassified to assets held for sale as a result of the pending sale of the Company’s SPECT business. See Note 8, </w:t>
      </w:r>
      <w:r>
        <w:rPr>
          <w:rFonts w:ascii="Times New Roman" w:cs="Times New Roman" w:eastAsia="Times New Roman" w:hAnsi="Times New Roman"/>
          <w:sz w:val="16"/>
          <w:szCs w:val="16"/>
          <w:i w:val="1"/>
          <w:iCs w:val="1"/>
          <w:color w:val="auto"/>
        </w:rPr>
        <w:t>“Assets and Liabilities Held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Sale” </w:t>
      </w:r>
      <w:r>
        <w:rPr>
          <w:rFonts w:ascii="Times New Roman" w:cs="Times New Roman" w:eastAsia="Times New Roman" w:hAnsi="Times New Roman"/>
          <w:sz w:val="16"/>
          <w:szCs w:val="16"/>
          <w:color w:val="auto"/>
        </w:rPr>
        <w:t>for more information.</w:t>
      </w:r>
    </w:p>
    <w:p>
      <w:pPr>
        <w:spacing w:after="0" w:line="17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net, was $5.1 million and $4.6 million for the three months ended June 30, 2025 and 2024, respectively, and $10.6 million and $10.0 million for the six months ended June 30, 2025 and 2024, respectively.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January 8, 2024, the Company entered into an agreement with Perspective to transfer the sublease for the property at 110 Clyde Rd, Somerset, New Jersey (the “Somerset Facility”) and sell the associated assets at the Somerset Facility for $8.0 million. The transfer of the sublease and completion of the asset sale occurred on March 1, 2024. The sale of assets resulted in a derecognition to the right-of-use asset of $0.4 million, the lease liability of $0.4 million and remaining property, plant and equipment of $0.8 million. The Company also incurred commission expense of $1.0 million related to the transaction. The Company recorded a gain of $6.3 million for the six months ended June 30, 2024 within operating income.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Perspective transaction.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Assets and Liabilities Held for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 Business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May 1, 2025, the Company entered into a definitive agreement to sell its single-photon emission computerized tomography (“SPECT”) business to SHINE Technologies, LLC ("SHINE"), a wholly-owned subsidiary of Illuminated Holdings, Inc. Under the terms of the agreement, SHINE will acquire the assets and liabilities associated with the Company’s SPECT business, including its diagnostics agents (TechneLite, NEUROLITE, Xenon Xe-133 Gas, and Cardiolite) and the portion of the North Billerica, Massachusetts campus that manufactures the Company’s SPECT products and SPECT-related Canadian operations. The transaction is subject to customary closing conditions and is expected to be completed around the end of the calendar year.</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2025, assets and liabilities associated with the Company’s SPECT business have been presented in the Company’s condensed consolidated balance sheets as assets and liabilities held for sale as it was determined that these assets and liabilities met the criteria of held-for-sale under ASC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xml:space="preserve"> and will continue to be classified as such until the transaction is completed. The Company determined that the fair value less costs to sell exceeded the carrying value of the assets and liabilities associated with the SPECT business, and therefore no indicator of impairment was present with respect to these assets during the three and six months ended June 30, 2025. The Company does not believe the sale represents a strategic shift having a major effect on the Company's consolidated financial results and therefore does not meet the criteria for classification as discontinued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carrying amounts of assets and liabilities held for sale related to the SPECT transaction: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2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held-for-sale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vMerge w:val="restart"/>
          </w:tcPr>
          <w:p>
            <w:pPr>
              <w:spacing w:after="0"/>
              <w:rPr>
                <w:sz w:val="17"/>
                <w:szCs w:val="17"/>
                <w:color w:val="auto"/>
              </w:rPr>
            </w:pPr>
          </w:p>
        </w:tc>
        <w:tc>
          <w:tcPr>
            <w:tcW w:w="56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7,448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3,670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Accrued Expenses, Other Liabilities and Other Long-Term Liabilities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gridSpan w:val="8"/>
          </w:tcPr>
          <w:p>
            <w:pPr>
              <w:jc w:val="right"/>
              <w:ind w:right="588"/>
              <w:spacing w:after="0"/>
              <w:rPr>
                <w:sz w:val="20"/>
                <w:szCs w:val="20"/>
                <w:color w:val="auto"/>
              </w:rPr>
            </w:pPr>
            <w:r>
              <w:rPr>
                <w:rFonts w:ascii="Times New Roman" w:cs="Times New Roman" w:eastAsia="Times New Roman" w:hAnsi="Times New Roman"/>
                <w:sz w:val="18"/>
                <w:szCs w:val="18"/>
                <w:color w:val="auto"/>
              </w:rPr>
              <w:t>Accrued expenses, other liabilities and other long-term liabilities are comprised of the following:</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900" w:type="dxa"/>
            <w:vAlign w:val="bottom"/>
            <w:gridSpan w:val="3"/>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distribution and operations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 discounts and chargebacks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208,600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 (Note 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102,179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-3779520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-2776855</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-2759710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-890905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-890905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431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Retirement Obligations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its legal obligation to remediate its facilities upon a potential decommissioning of its radioactive-related operations as an asset retirement obligation (“ARO”). The Company has a production facility that manufactures and processes radioactive materials at its North Billerica, Massachusetts site. As of June 30, 2025, the ARO is measured at the present value of the ARO expected to be incurred and is approximately $20.4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Company’s carrying value of its ARO:</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Revision of estimated decommissioning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Reclassification to liabilities held-for-sale</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Accretion expense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1" w:lineRule="exact"/>
        <w:rPr>
          <w:sz w:val="20"/>
          <w:szCs w:val="20"/>
          <w:color w:val="auto"/>
        </w:rPr>
      </w:pPr>
    </w:p>
    <w:p>
      <w:pPr>
        <w:ind w:left="1840" w:right="140" w:hanging="514"/>
        <w:spacing w:after="0" w:line="298" w:lineRule="auto"/>
        <w:tabs>
          <w:tab w:leader="none" w:pos="18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reclassified to liabilities held for sale as a result of the pending sale of the assets and liabilities associated with the Company’s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16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revised certain inputs to its estimate of decommissioning costs expected to be incurred throughout the period of remediation, which reduced the estimate of remediation costs by $4.7 million. This reduction was primarily the result of changes in the technology and processes used for the remediation activities from those contemplated in the estimate previously provided in 2022. The Company recorded the $4.7 million reduction to the ARO in other income on its condensed consolidated statements of operations for the six months ended June 30, 2025.</w:t>
      </w:r>
    </w:p>
    <w:p>
      <w:pPr>
        <w:spacing w:after="0" w:line="1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is required to provide the Massachusetts Department of Public Health financial assurance demonstrating the Company’s ability to fund any decommissioning of its North Billerica, Massachusetts production facility in the event of any closure. The Company has provided this financial assurance in the form of a $30.3 million surety bond.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change in the carrying value of goodwill for the six months ended June 30, 2025:</w:t>
      </w:r>
    </w:p>
    <w:p>
      <w:pPr>
        <w:spacing w:after="0" w:line="313"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Evergreen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Reclassification to assets held for sale</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4" w:lineRule="exact"/>
        <w:rPr>
          <w:sz w:val="20"/>
          <w:szCs w:val="20"/>
          <w:color w:val="auto"/>
        </w:rPr>
      </w:pPr>
    </w:p>
    <w:p>
      <w:pPr>
        <w:ind w:left="1840" w:right="320" w:hanging="514"/>
        <w:spacing w:after="0" w:line="298" w:lineRule="auto"/>
        <w:tabs>
          <w:tab w:leader="none" w:pos="1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reclassified to assets held for sale as a result of the pending sale of the assets and liabilities associated with the Company’s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Intangibles,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120" w:type="dxa"/>
            <w:vAlign w:val="bottom"/>
          </w:tcPr>
          <w:p>
            <w:pPr>
              <w:spacing w:after="0"/>
              <w:rPr>
                <w:sz w:val="10"/>
                <w:szCs w:val="10"/>
                <w:color w:val="auto"/>
              </w:rPr>
            </w:pPr>
          </w:p>
        </w:tc>
        <w:tc>
          <w:tcPr>
            <w:tcW w:w="112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2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(12,436)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8"/>
                <w:szCs w:val="18"/>
                <w:color w:val="auto"/>
              </w:rPr>
            </w:pPr>
          </w:p>
        </w:tc>
        <w:tc>
          <w:tcPr>
            <w:tcW w:w="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(86,788)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9 - 15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(60,411)</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- 16</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(13,685)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(9,250)</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amortizable intangibles</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(182,570)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5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intangibles, net</w:t>
            </w:r>
          </w:p>
        </w:tc>
        <w:tc>
          <w:tcPr>
            <w:tcW w:w="5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(182,570)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0"/>
                <w:szCs w:val="10"/>
                <w:color w:val="auto"/>
              </w:rPr>
            </w:pP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vMerge w:val="restart"/>
          </w:tcPr>
          <w:p>
            <w:pPr>
              <w:spacing w:after="0"/>
              <w:rPr>
                <w:sz w:val="10"/>
                <w:szCs w:val="10"/>
                <w:color w:val="auto"/>
              </w:rPr>
            </w:pPr>
          </w:p>
        </w:tc>
        <w:tc>
          <w:tcPr>
            <w:tcW w:w="122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(12,363)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(136,647)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9 -15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(53,033)</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- 16</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intangibles, net</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382,297</w:t>
            </w:r>
          </w:p>
        </w:tc>
        <w:tc>
          <w:tcPr>
            <w:tcW w:w="2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(220,536)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-1910715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-1910715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-1336675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-1319530</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-1336675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-1319530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its intangible assets of $8.0 million and $10.2 million for the three months ended June 30, 2025 and 2024, respectively and $16.0 million and $20.1 million for the six months ended June 30, 2025 and 2024, respectively.</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2, 2023, the Company sold the right to its RELISTOR royalty asset under its license agreement with Bausch Health Companies, Inc.; the Company retained the rights to future sales-based milestone payments. The Company received an initial payment of approximately $98.0 million in connection with the sale and has the right to receive an additional payment from the buyer of $5.0 million, if worldwide net sales of RELISTOR in 2025 exceed specified thresholds. No sales-based milestone payment was earned in the three and six months ended June 30, 2025.</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the first quarter of 2024, the Company discontinued the production and promotion of AZEDRA and no AZEDRA was manufactured after March 1, 2024, when the Company transferred the tangible assets and associated lease of its Somerset Facility to Perspective. See Note 7,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Net” </w:t>
      </w:r>
      <w:r>
        <w:rPr>
          <w:rFonts w:ascii="Times New Roman" w:cs="Times New Roman" w:eastAsia="Times New Roman" w:hAnsi="Times New Roman"/>
          <w:sz w:val="18"/>
          <w:szCs w:val="18"/>
          <w:color w:val="auto"/>
        </w:rPr>
        <w:t>for impairment analysis.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June 2024, the Company entered into an agreement with the stockholders of Meilleur (“Meilleur Stockholders”) to purchase all of the outstanding capital stock of Meilleur (which holds the rights under a license agreement to develop and commercialize NAV-4694) for approximately $32.9 million. The Company recorded a developed technology intangible asset of $40.3 million as a result of the purchase price and the specific assets and liabilities of Meilleur that were acquired as part of the asset acquisition based on their value at the agreed upon closing date. In August 2024, upon successful completion of a technology transfer, the Company paid $10.0 million to the Meilleur Stockholders. This additional contingent payment was capitalized as part of the asset cost and increased the total value of the Company’s developed technology intangible assets.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Meilleur acquisition.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summarizes the estimated aggregate amortization expense expected to be recognized on the above intangible assets: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and Other Borrowings, Net of Current Portion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long-term debt and other borrowings, net of current portion is comprised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2.625% Convertible Senior Notes due 2027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574,996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and other borrowings</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long-term debt and other borrowings, net of current portion</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566,847</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-453390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December 2024, the Company entered into an amendment to its $350.0 million five-year revolving credit facility originally entered into in December 2022. The amendment,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spacing w:after="0" w:line="18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 0.25% to 1.00%, in either case, based on the Company’s total net leverage ratio. The 2022 Revolving Facility also includes an unused commitment fee at a rate ranging from</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0.15% to 0.30% per annum based on the Company’s total net leverage ratio. Interest associated with the unused commitment is recorded to accrued expenses and other liabilities on the condensed consolidated balance sheets and paid out on a quarterly basis.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June 30, 2025, there were no outstanding borrowings under the 2022 Revolving Facility.</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the right to request an increase to the Revolving Commitment in an aggregate principal amount of up to the greater of $685.0 million or 100% of consolidated 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 Covenants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 covenant is 3.50 to 1.00, other than in connection with certain acquisitions, in which case, the maximum total net leverage ratio permitted can be increased to 4.00 to 1.00.</w:t>
      </w:r>
    </w:p>
    <w:p>
      <w:pPr>
        <w:spacing w:after="0" w:line="18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Upon an event of default, the Administrative Agent, as defined in the 2022 Revolving Facility, will have the right to declare the loans and other obligations outstanding under the 2022 Revolving Facility immediately due and payable and all commitments immediately terminated.</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is guaranteed by Lantheus Holdings, and certain subsidiaries of Lantheus Medical, including Progenics and Lantheus Real Estate, and obligations under the 2022 Revolving Facility are generally secured by first priority liens over substantially all of the assets of each of Lantheus Medical, Lantheus Holdings, and certain subsidiaries of Lantheus Medical, including Progenics and Lantheus MI Real Estate (subject to customary exclusions set forth in the transaction documents) owned as of December 2, 2022 or thereafter acquired.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2.625% Convertible Senior Notes due 2027</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December 8, 2022, the Company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(the “Guarantor”),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In no event shall the conversion rate per $1,000 in principal amount of the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w:t>
      </w:r>
    </w:p>
    <w:p>
      <w:pPr>
        <w:sectPr>
          <w:pgSz w:w="11900" w:h="16838" w:orient="portrait"/>
          <w:cols w:equalWidth="0" w:num="1">
            <w:col w:w="11180"/>
          </w:cols>
          <w:pgMar w:left="320" w:top="117" w:right="399" w:bottom="1440" w:gutter="0" w:footer="0" w:header="0"/>
        </w:sectPr>
      </w:pP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portion of the Notes, at its option, on or after December 22, 2025 if the closing sale price per share of the Company’s common stock exceeds 130% of the conversion price of the Notes (currently $103.75 per share) for at least 20 trading days (whether or not consecutive) during the last 30 consecutive trading days of the quarter (the “Stock Price Conversion Threshold”). The redemption price will be equal to 100% of the principal amount of the Notes to be redeemed, plus accrued and unpaid interest, if any, to, but excluding, the redemption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evaluated the Notes upon completion of the sale and concluded on the following features:</w:t>
      </w:r>
    </w:p>
    <w:p>
      <w:pPr>
        <w:spacing w:after="0" w:line="115" w:lineRule="exact"/>
        <w:rPr>
          <w:sz w:val="20"/>
          <w:szCs w:val="20"/>
          <w:color w:val="auto"/>
        </w:rPr>
      </w:pPr>
    </w:p>
    <w:p>
      <w:pPr>
        <w:ind w:left="1020" w:right="74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Feature: </w:t>
      </w:r>
      <w:r>
        <w:rPr>
          <w:rFonts w:ascii="Times New Roman" w:cs="Times New Roman" w:eastAsia="Times New Roman" w:hAnsi="Times New Roman"/>
          <w:sz w:val="18"/>
          <w:szCs w:val="18"/>
          <w:color w:val="auto"/>
        </w:rPr>
        <w:t>The Company determined that the conversion feature qualifies for the classification of equity. As a result,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feature should not be bifurcated as a derivative instrument and the Notes were accounted for as a single liability.</w:t>
      </w:r>
    </w:p>
    <w:p>
      <w:pPr>
        <w:spacing w:after="0" w:line="50"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Redemption Features: </w:t>
      </w:r>
      <w:r>
        <w:rPr>
          <w:rFonts w:ascii="Times New Roman" w:cs="Times New Roman" w:eastAsia="Times New Roman" w:hAnsi="Times New Roman"/>
          <w:sz w:val="18"/>
          <w:szCs w:val="18"/>
          <w:color w:val="auto"/>
        </w:rPr>
        <w:t>The redemption features were reviewed within the Notes and the Company determined that the redemption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closely related to the Notes and as such should not be separately accounted for as a bifurcated derivative instrument.</w:t>
      </w:r>
    </w:p>
    <w:p>
      <w:pPr>
        <w:spacing w:after="0" w:line="50"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Interest Features: </w:t>
      </w:r>
      <w:r>
        <w:rPr>
          <w:rFonts w:ascii="Times New Roman" w:cs="Times New Roman" w:eastAsia="Times New Roman" w:hAnsi="Times New Roman"/>
          <w:sz w:val="18"/>
          <w:szCs w:val="18"/>
          <w:color w:val="auto"/>
        </w:rPr>
        <w:t>The Notes may result in additional interest if the Company fails to timely file any document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required to file with the SEC pursuant to Section 13 or 15(d) of the Securities Exchange Act of 1934, as amended. The Company will pay additional interest on the notes at a rate equal to 0.25% to 0.50% per annum based on the principal amount of Notes outstanding for each day the Company failure to file has occurred or the Notes are not otherwise freely tradable. Further, if the Notes are assigned a restricted CUSIP number or the Notes are not otherwise freely tradable pursuant to Rule 144 under the Securities Act of 1933, as amended, by holders other than Company affiliates or holders that were Company affiliates at any time during the three months immediately preceding as of the 385th day after the last date of original issuance of the Notes,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192"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2025, the closing price of the Company’s common stock did not exceed the Stock Price Conversion Threshold, so the Notes are not convertible at the option of the holders of the Notes during the third quarter of 2025. Because the Notes are not considered convertible under the terms of the Notes and pursuant to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classified the carrying value of the Notes as long-term debt, net and other borrowings on the Company’s condensed consolidated balance sheets as of June 30, 2025.</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 carrying value of the Notes was $575.0 million, the Notes had an unamortized discount of $8.6 million, and the fair value of the liability was $731.0 million. The Company recorded interest expense of $3.8 million and $7.5 million related to the Notes for the three and six months ended June 30, 2025,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for the six months ended June 30, 2025 and 2024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5"/>
        </w:trPr>
        <w:tc>
          <w:tcPr>
            <w:tcW w:w="5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4"/>
                <w:szCs w:val="14"/>
                <w:b w:val="1"/>
                <w:bCs w:val="1"/>
                <w:color w:val="auto"/>
                <w:w w:val="99"/>
              </w:rPr>
              <w:t>Translation</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-608330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-590550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-608330</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-590550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ind w:left="1840" w:right="100" w:hanging="514"/>
        <w:spacing w:after="0" w:line="298" w:lineRule="auto"/>
        <w:tabs>
          <w:tab w:leader="none" w:pos="18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comprehensive loss disclosures, the Company does not record income tax expense or benefit for the net changes in the foreign currency translation adjustments.</w:t>
      </w:r>
    </w:p>
    <w:p>
      <w:pPr>
        <w:sectPr>
          <w:pgSz w:w="11900" w:h="16838" w:orient="portrait"/>
          <w:cols w:equalWidth="0" w:num="1">
            <w:col w:w="11180"/>
          </w:cols>
          <w:pgMar w:left="320" w:top="117" w:right="399" w:bottom="1440" w:gutter="0" w:footer="0" w:header="0"/>
        </w:sectPr>
      </w:pP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and Stock-Based Compensation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Board of Directors (“Board”) authorized a program to repurchase up to $250 million of the Company's common stock during the twelve months following the authorization (the “2024 Program”). During the three months ended June 30, 2025, the Company repurchased 1.3 million shares for approximately $100.0 million. As of June 30, 2025, the Company had repurchased a total of approximately 2.4 million shares under the 2024 Program for approximately $200.0 million.</w:t>
      </w:r>
    </w:p>
    <w:p>
      <w:pPr>
        <w:spacing w:after="0" w:line="28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Company’s accompanying condensed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10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2,870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9,768</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2,765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18,479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Net Income Per Common Share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 summary of net income per common share is presented below:</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51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68,516</w:t>
            </w: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69,356</w:t>
            </w: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68,591</w:t>
            </w: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69,056</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Effect of convertible notes</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70,312</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100" w:type="dxa"/>
            <w:vAlign w:val="bottom"/>
            <w:gridSpan w:val="2"/>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4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3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4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580" w:type="dxa"/>
            <w:vAlign w:val="bottom"/>
          </w:tcPr>
          <w:p>
            <w:pPr>
              <w:spacing w:after="0"/>
              <w:rPr>
                <w:sz w:val="24"/>
                <w:szCs w:val="24"/>
                <w:color w:val="auto"/>
              </w:rPr>
            </w:pPr>
          </w:p>
        </w:tc>
        <w:tc>
          <w:tcPr>
            <w:tcW w:w="51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net income per common</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5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-3179445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-3162300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-3179445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-3162300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-3179445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-3179445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-1893570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-1876425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-1893570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-1876425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-1893570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-1876425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-1893570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-1876425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-1182370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-1182370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-1182370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-436880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-419735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-436880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-419735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-436880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-419735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-419735</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Convertible Notes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considered whether the Notes are participating securities through the two-class method. Per the terms of the Indenture, the Company determined that if a cash dividend is paid that is greater than the stock price, the holder of Notes will receive cash on an if-converted basis. While this feature is considered to be a participating right, basic earnings per share is only impacted if the Company’s earnings per share exceeds the current share price, regardless of whether such dividend is declared. During the three and six months ended June 30, 2025 and 2024, no such dividend was declared. In addition, the Company is required to settle the principal amount of the Notes in cash upon conversion, and therefore, the Company uses the if-converted method for calculating any potential dilutive effect of the conversion option on diluted net income per share, if applicable, unless the application of the two-class method is dilutive. The conversion option has a dilutive impact on net income per share of Common Stock when the average price per share of the Company's common stock for a given period exceeds the conversion price of the Notes of $79.81 per share. See Note 12, </w:t>
      </w:r>
      <w:r>
        <w:rPr>
          <w:rFonts w:ascii="Times New Roman" w:cs="Times New Roman" w:eastAsia="Times New Roman" w:hAnsi="Times New Roman"/>
          <w:sz w:val="18"/>
          <w:szCs w:val="18"/>
          <w:i w:val="1"/>
          <w:iCs w:val="1"/>
          <w:color w:val="auto"/>
        </w:rPr>
        <w:t>“Long-Term Debt, Net,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Borrowings” </w:t>
      </w:r>
      <w:r>
        <w:rPr>
          <w:rFonts w:ascii="Times New Roman" w:cs="Times New Roman" w:eastAsia="Times New Roman" w:hAnsi="Times New Roman"/>
          <w:sz w:val="18"/>
          <w:szCs w:val="18"/>
          <w:color w:val="auto"/>
        </w:rPr>
        <w:t>for further discussion on the Notes.</w:t>
      </w:r>
    </w:p>
    <w:p>
      <w:pPr>
        <w:sectPr>
          <w:pgSz w:w="11900" w:h="16838" w:orient="portrait"/>
          <w:cols w:equalWidth="0" w:num="1">
            <w:col w:w="11240"/>
          </w:cols>
          <w:pgMar w:left="320" w:top="11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178"/>
        </w:trPr>
        <w:tc>
          <w:tcPr>
            <w:tcW w:w="5100" w:type="dxa"/>
            <w:vAlign w:val="bottom"/>
            <w:gridSpan w:val="2"/>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Revision of estimated decommissioning costs related to asset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00" w:type="dxa"/>
            <w:vAlign w:val="bottom"/>
            <w:gridSpan w:val="2"/>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retirement obligation</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(6,895)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(21,023)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(17,832)</w:t>
            </w:r>
          </w:p>
        </w:tc>
        <w:tc>
          <w:tcPr>
            <w:tcW w:w="0" w:type="dxa"/>
            <w:vAlign w:val="bottom"/>
          </w:tcPr>
          <w:p>
            <w:pPr>
              <w:spacing w:after="0"/>
              <w:rPr>
                <w:sz w:val="1"/>
                <w:szCs w:val="1"/>
                <w:color w:val="auto"/>
              </w:rPr>
            </w:pPr>
          </w:p>
        </w:tc>
      </w:tr>
      <w:tr>
        <w:trPr>
          <w:trHeight w:val="393"/>
        </w:trPr>
        <w:tc>
          <w:tcPr>
            <w:tcW w:w="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46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 xml:space="preserve">See Note 10, </w:t>
            </w:r>
            <w:r>
              <w:rPr>
                <w:rFonts w:ascii="Times New Roman" w:cs="Times New Roman" w:eastAsia="Times New Roman" w:hAnsi="Times New Roman"/>
                <w:sz w:val="16"/>
                <w:szCs w:val="16"/>
                <w:i w:val="1"/>
                <w:iCs w:val="1"/>
                <w:color w:val="auto"/>
              </w:rPr>
              <w:t>“Asset Retirement Obligations,”</w:t>
            </w:r>
            <w:r>
              <w:rPr>
                <w:rFonts w:ascii="Times New Roman" w:cs="Times New Roman" w:eastAsia="Times New Roman" w:hAnsi="Times New Roman"/>
                <w:sz w:val="16"/>
                <w:szCs w:val="16"/>
                <w:color w:val="auto"/>
              </w:rPr>
              <w:t xml:space="preserve"> for more information.</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-287020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-269875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-287020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-269875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-287020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-269875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-287020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-269875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the Company did not have any material ongoing litigation to which the Company was a party.</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January 26, 2024, the Company was sued in the United States District Court for the District of Delaware by Advanced Accelerator Applications USA, Inc. and Advanced Accelerator Applications SA, each a Novartis entity, for patent infringement in response to the filing of the Company’s Abbreviated New Drug Application and Paragraph IV certification in connection with PNT2003, consistent with the process established by the Hatch-Waxman Act. Because the outcome of litigation is uncertain, the Company cannot predict how or when this matter will ultimately be resolved.</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February 23, 2024, the Company filed a patent infringement lawsuit against a healthcare-related imaging software developer, and that developer filed a motion to dismiss the case based on grounds of invalidity for certain patents and failure to state a claim for infringement for other patents. The court dismissed the developer’s motion to dismiss as to invalidity, and granted the motion as to certain allegations of infringement. Because the outcome of litigation is uncertain, the Company cannot predict how or when this matter will ultimately be resolved.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2023, the Company acquired Cerveau. Under the terms of the purchase agreement, in addition to payments already made, the Company could pay up to $51.0 million in milestone payments upon achievement of specified U.S. regulatory milestones related to MK-6240. The former stockholders of Cerveau (the “Cerveau Stockholders”) are also eligible to receive up to $1.2 billion in sales milestone payments upon the achievement of specified annual commercial sales thresholds of MK-6240, as well as up to $13.5 million in research revenue milestones upon achievement of specified annual research revenue thresholds. Finally, the Company will pay to the Cerveau Stockholders up to double-digit royalty payments for research revenue and commercial sales. As of June 30, 2025, these contingent payments were not expected to be payable due to the uncertainty around the timing of the future cash flows. Accordingly, the Company has not recorded a liability related to these contingent payments.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October 2024, the Company adopted the LDCP to provide key, highly-compensated employees and non-employee directors an additional opportunity for personal financial planning by allowing an option to defer a portion of their base salary and variable compensation each year. Under the LDCP, which is an elective nonqualified deferred compensation plan, employee participants are eligible to defer up to 80% of base salary and up to 80% of any bonus award beginning in 2025. For 2024, employee participants were not eligible to defer any base salary and could only defer up to 25% of their 2024 bonus award. Non-employee directors that are participants of the LDCP are eligible to defer up to 100% of their Board fees. Additionally, Company matching or employer contributions may be credited to the plan, although no such matching or employer contributions were made for 2024. Any matching or employer contributions cliff vest after the earlier of (i) five years, (ii) the participant reaching age 55, (iii) death, or (iv) disability. All amounts deferred or credited to a participant’s account (the “Deferred Amounts”) are held in a separate trust which was established by the Company to administer the LDCP. The LDCP assets held in trust by the Company to offset its obligation, which currently consist of COLI and could include mutual funds in future periods, are subject to the claims of the Company’s creditors in the event that the Company becomes insolvent. Consequently, the trust qualifies as a grantor trust for income tax purposes, or a Rabbi Trust (the “Trust”).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195"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As of June 30, 2025, assets and liabilities held by the Trust were $0.8 million and $0.8 million, respectively, and were included in other long-term assets, accrued expenses and other liabilities, and other long-term liabilities, in the Company’s consolidated balance sheets. There were no assets and liabilities held by the Trust as of December 31, 2024. Changes in the value of the LDCP assets and liabilities are charged to investment in equity securities</w:t>
      </w:r>
    </w:p>
    <w:p>
      <w:pPr>
        <w:spacing w:after="0" w:line="1" w:lineRule="exact"/>
        <w:rPr>
          <w:sz w:val="20"/>
          <w:szCs w:val="20"/>
          <w:color w:val="auto"/>
        </w:rPr>
      </w:pPr>
    </w:p>
    <w:p>
      <w:pPr>
        <w:ind w:right="240" w:firstLine="8"/>
        <w:spacing w:after="0" w:line="260" w:lineRule="auto"/>
        <w:tabs>
          <w:tab w:leader="none" w:pos="1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(gain) loss and to general and administrative expenses, respectively, in the Company’s condensed consolidated statements of operations and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six months ended June 30,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On April 1, 2025 (the “Closing Date”), the Company acquired all the issued and outstanding shares of Evergreen by means of a statutory merger of a subsidiary of the Company with and into Evergreen, with Evergreen surviving as the Company’s wholly-owned subsidiary (the “Evergreen Merger”), pursuant to the terms of the Evergreen Merger Agreement. Evergreen is a clinical-stage radiopharmaceutical company engaged in CDMO services as well as drug discovery and commercialization of proprietary products.</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Evergreen Merger, the Company remitted an upfront payment of $276.4 million in cash. The upfront cash consideration included a $25.0 million milestone payment that was triggered prior to the Closing Date, the cash settlement of the options and restricted stock units granted to certain Evergreen equity holders related to pre-acquisition services, which was recorded as a component of consideration transferred of $6.1 million, the settlement by the Company of the pre-existing Evergreen debt of $4.3 million, and the payment of transaction expenses paid by the Company on behalf of Evergreen of $11.6 million. In connection with the Evergreen Merger, certain equity awards that were outstanding and unvested prior to the acquisition became fully vested per terms of the merger agreement. The Company recognized $7.5 million of nonrecurring post-combination expense related to the acceleration and cash settlement of unvested historical Evergreen employee stock awards, which was recorded to operating expenses in the Company’s condensed consolidated statements of operations for the three and six months ended June 30, 2025.</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may make additional potential remaining milestone payments of up to $727.5 million in cash pursuant to the Evergreen Merger Agreement. The potential remaining milestone payments are accounted for as contingent consideration, the fair value of which is determined using a Monte-Carlo simulation for sales milestones and a probability-weighted DCF approach for development and commercialization milestones. The fair value of the total contingent consideration is included in other long-term liabilities in the Company’s condensed consolidated balance sheets at June 30, 2025.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in the acquisition consisted of the following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7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276,424</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0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w:t>
            </w:r>
          </w:p>
        </w:tc>
      </w:tr>
      <w:tr>
        <w:trPr>
          <w:trHeight w:val="229"/>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7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319,466</w:t>
            </w: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4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Evergreen Merger was accounted for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which requires that assets acquired and liabilities assumed on the acquisition date be recognized at their fair value as of the acquisition date. While the Company uses its best estimates and assumptions as part of the purchase price allocation process to value the assets acquired and liabilities assumed, its estimates and assumptions are subject to refinement.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consolidated statements of operations.</w:t>
      </w:r>
    </w:p>
    <w:p>
      <w:pPr>
        <w:spacing w:after="0" w:line="1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preliminary allocation of purchase price is based on the fair value of assets acquired and liabilities assumed as of the acquisition date. As of June 30, 2025, the purchase accounting for the Evergreen Merger has not been finalized. As additional information becomes available, the Company may further revise its preliminary purchase price allocation during the remainder of the measurement period. The following table summarizes the fair values of assets acquired and liabilities assumed as of the date of acquisition:</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7620</wp:posOffset>
            </wp:positionV>
            <wp:extent cx="427736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line="195" w:lineRule="auto"/>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13335</wp:posOffset>
            </wp:positionV>
            <wp:extent cx="42773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Property, plant and equipment</w:t>
      </w:r>
    </w:p>
    <w:p>
      <w:pPr>
        <w:ind w:left="2260"/>
        <w:spacing w:after="0" w:line="195" w:lineRule="auto"/>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wp:posOffset>
            </wp:positionV>
            <wp:extent cx="427736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p>
      <w:pPr>
        <w:spacing w:after="0" w:line="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Purchase consideration</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4"/>
          <w:szCs w:val="24"/>
          <w:color w:val="auto"/>
          <w:vertAlign w:val="superscript"/>
        </w:rPr>
        <w:t>(3)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4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r>
      <w:tr>
        <w:trPr>
          <w:trHeight w:val="234"/>
        </w:trPr>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r>
    </w:tbl>
    <w:p>
      <w:pPr>
        <w:jc w:val="right"/>
        <w:ind w:right="2340"/>
        <w:spacing w:after="0"/>
        <w:rPr>
          <w:sz w:val="20"/>
          <w:szCs w:val="20"/>
          <w:color w:val="auto"/>
        </w:rPr>
      </w:pPr>
      <w:r>
        <w:rPr>
          <w:rFonts w:ascii="Times New Roman" w:cs="Times New Roman" w:eastAsia="Times New Roman" w:hAnsi="Times New Roman"/>
          <w:sz w:val="18"/>
          <w:szCs w:val="18"/>
          <w:color w:val="auto"/>
        </w:rPr>
        <w:t>459</w:t>
      </w:r>
    </w:p>
    <w:p>
      <w:pPr>
        <w:spacing w:after="0" w:line="9"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color w:val="auto"/>
        </w:rPr>
        <w:t>16,711</w:t>
      </w:r>
    </w:p>
    <w:p>
      <w:pPr>
        <w:spacing w:after="0" w:line="9"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color w:val="auto"/>
        </w:rPr>
        <w:t>215,000</w:t>
      </w:r>
    </w:p>
    <w:p>
      <w:pPr>
        <w:spacing w:after="0" w:line="9"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color w:val="auto"/>
        </w:rPr>
        <w:t>18,112</w:t>
      </w:r>
    </w:p>
    <w:p>
      <w:pPr>
        <w:spacing w:after="0" w:line="9"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color w:val="auto"/>
        </w:rPr>
        <w:t>1,424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001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262,529</w:t>
      </w:r>
    </w:p>
    <w:p>
      <w:pPr>
        <w:spacing w:after="0" w:line="234"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(1,964)</w:t>
      </w:r>
    </w:p>
    <w:p>
      <w:pPr>
        <w:spacing w:after="0" w:line="27"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(754)</w:t>
      </w:r>
    </w:p>
    <w:p>
      <w:pPr>
        <w:spacing w:after="0" w:line="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(55,718)</w:t>
      </w:r>
    </w:p>
    <w:p>
      <w:pPr>
        <w:spacing w:after="0" w:line="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001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jc w:val="right"/>
        <w:ind w:right="2260"/>
        <w:spacing w:after="0"/>
        <w:rPr>
          <w:sz w:val="20"/>
          <w:szCs w:val="20"/>
          <w:color w:val="auto"/>
        </w:rPr>
      </w:pPr>
      <w:r>
        <w:rPr>
          <w:rFonts w:ascii="Times New Roman" w:cs="Times New Roman" w:eastAsia="Times New Roman" w:hAnsi="Times New Roman"/>
          <w:sz w:val="18"/>
          <w:szCs w:val="18"/>
          <w:color w:val="auto"/>
        </w:rPr>
        <w:t>(59,284)</w:t>
      </w:r>
    </w:p>
    <w:p>
      <w:pPr>
        <w:spacing w:after="0" w:line="23" w:lineRule="exact"/>
        <w:rPr>
          <w:sz w:val="20"/>
          <w:szCs w:val="20"/>
          <w:color w:val="auto"/>
        </w:rPr>
      </w:pPr>
    </w:p>
    <w:p>
      <w:pPr>
        <w:ind w:left="1300" w:hanging="129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5" w:lineRule="exact"/>
        <w:rPr>
          <w:sz w:val="20"/>
          <w:szCs w:val="20"/>
          <w:color w:val="auto"/>
        </w:rPr>
      </w:pPr>
    </w:p>
    <w:p>
      <w:pPr>
        <w:ind w:left="1300" w:hanging="129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319,466</w:t>
      </w:r>
    </w:p>
    <w:p>
      <w:pPr>
        <w:spacing w:after="0" w:line="49" w:lineRule="exact"/>
        <w:rPr>
          <w:rFonts w:ascii="Times New Roman" w:cs="Times New Roman" w:eastAsia="Times New Roman" w:hAnsi="Times New Roman"/>
          <w:sz w:val="18"/>
          <w:szCs w:val="18"/>
          <w:color w:val="auto"/>
        </w:rPr>
      </w:pPr>
    </w:p>
    <w:p>
      <w:pPr>
        <w:ind w:left="1300" w:hanging="129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2001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12001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2001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6300" w:space="720"/>
            <w:col w:w="4220"/>
          </w:cols>
          <w:pgMar w:left="320" w:top="117" w:right="339" w:bottom="1440" w:gutter="0" w:footer="0" w:header="0"/>
          <w:type w:val="continuous"/>
        </w:sectPr>
      </w:pPr>
    </w:p>
    <w:p>
      <w:pPr>
        <w:ind w:left="1840" w:right="780" w:hanging="514"/>
        <w:spacing w:after="0" w:line="298" w:lineRule="auto"/>
        <w:tabs>
          <w:tab w:leader="none" w:pos="18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56" w:lineRule="exact"/>
        <w:rPr>
          <w:rFonts w:ascii="Times New Roman" w:cs="Times New Roman" w:eastAsia="Times New Roman" w:hAnsi="Times New Roman"/>
          <w:sz w:val="16"/>
          <w:szCs w:val="16"/>
          <w:color w:val="auto"/>
        </w:rPr>
      </w:pPr>
    </w:p>
    <w:p>
      <w:pPr>
        <w:ind w:left="1840" w:right="80" w:hanging="514"/>
        <w:spacing w:after="0" w:line="275" w:lineRule="auto"/>
        <w:tabs>
          <w:tab w:leader="none" w:pos="18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in-process research and development (“IPR&amp;D”). The estimated fair values of the IPR&amp;D assets were determined based on the present values of the expected cash flows to be generated by the respective underlying assets. The Company used a discount rate of 11.5% and cash flows that have been probability adjusted to reflect the risks of product commercialization, which the Company believes are appropriate and representative of market participant assumptions.</w:t>
      </w:r>
    </w:p>
    <w:p>
      <w:pPr>
        <w:spacing w:after="0" w:line="74" w:lineRule="exact"/>
        <w:rPr>
          <w:rFonts w:ascii="Times New Roman" w:cs="Times New Roman" w:eastAsia="Times New Roman" w:hAnsi="Times New Roman"/>
          <w:sz w:val="16"/>
          <w:szCs w:val="16"/>
          <w:color w:val="auto"/>
        </w:rPr>
      </w:pPr>
    </w:p>
    <w:p>
      <w:pPr>
        <w:ind w:left="1840" w:right="40" w:hanging="514"/>
        <w:spacing w:after="0" w:line="275" w:lineRule="auto"/>
        <w:tabs>
          <w:tab w:leader="none" w:pos="18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Evergreen’s assembled workforce. Future technologies did not meet the criteria for recognition separately from goodwill because they are part of the future development and growth of the business. Goodwill of $116.2 million recognized in connection with the Evergreen Merger is not deductible for tax purposes.</w:t>
      </w:r>
    </w:p>
    <w:p>
      <w:pPr>
        <w:spacing w:after="0" w:line="17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incurred $14.7 million and $17.2 million of acquisition- and integration-related costs, including legal, accounting, compensation arrangements and other related fees in the three and six months ended June 30, 2025, respectively. These costs are recorded in operating expenses in the condensed consolidated statements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results of operations attributable to the Evergreen Merger for the three and six months ended June 30, 2025 were not material. Pro forma information has not been included as this acquisition did not have a material impact on the Company’s condensed consolidated statements of operations for the three and six months ended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Agreements with Perspective Therapeutics, Inc.</w:t>
      </w:r>
    </w:p>
    <w:p>
      <w:pPr>
        <w:sectPr>
          <w:pgSz w:w="11900" w:h="16838" w:orient="portrait"/>
          <w:cols w:equalWidth="0" w:num="1">
            <w:col w:w="11240"/>
          </w:cols>
          <w:pgMar w:left="320" w:top="117" w:right="3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January 8, 2024, the Company entered into an agreement with Perspective to participate in Perspective’s next qualified financing to purchase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The observer has the option to attend any or all board meetings in a nonvoting capacity and the right to receive any board materials, except under certain instances where attorney-client privilege is necessary, where the material relates to a business or contractual relationship with the Company, to avoid bona fide conflict of interest, exposure of trade secrets or relating to a change of control transaction. The Company purchased an additional 60,431,039 Perspective Shares at a fair market purchase price of $0.95 per share as an investor in a private placement transaction on March 6, 2024, which resulted in the Company holding a cumulative 19.90% of the outstanding Perspective Shares (or 17.35% on a fully diluted basis) after giving effect to the closing of the private placement transaction. The Company holds less than 20% of the outstanding Perspective Shares and therefore does not have the ability to exercise significant influence over the operating and financial policies of Perspective because the Company’s board observer has no voting rights and there is otherwise no participation in policy-making processes, no interchange of managerial personnel, and no sharing of technology between the Company and Perspective.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Company’s investment in Perspective Shares.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Also effective January 8, 2024, the Company obtained certain options and rights from Perspective for an aggregate upfront payment of $28.0 million in cash. The options and rights received from Perspective that remain open are as follows:</w:t>
      </w:r>
    </w:p>
    <w:p>
      <w:pPr>
        <w:spacing w:after="0" w:line="54" w:lineRule="exact"/>
        <w:rPr>
          <w:sz w:val="20"/>
          <w:szCs w:val="20"/>
          <w:color w:val="auto"/>
        </w:rPr>
      </w:pPr>
    </w:p>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option from Perspective to negotiate for an exclusive license under the rights of Perspective and its affiliates to Perspective’s Pb212-VMT-α-NET, a clinical stage alpha therapy developed for the treatment of neuroendocrine tumors, to develop, manufacture, commercialize and otherwise exploit the VMT-α-NET Product.</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co-fund the investigational new drug application (“IND”) enabling studies for early-stage therapeutic candidates targeting prostate-specific membrane antigen and gastrin releasing peptide receptor and, prior to IND filing, a right to negotiate for an exclusive license to such candidates.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these options and rights have been exercised as of June 30, 2025.</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a charge of $28.0 million was recognized in research and development (“R&amp;D”) expenses during the three months ended March 31, 2024.</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Also effective January 8, 2024, the Company entered into an agreement with Perspective to transfer the Somerset Facility and the associated assets at the Somerset Facility for $8.0 million. The transfer of the sublease and completion of the asset sale occurred on March 1, 2024 at which time the Company had no further continuing legal obligations related to the lease.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to these condensed consolidated financial statements for additional details.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14, 2024, Perspective effected a 1-for-10 reverse stock split, after which the Company held 11,677,339 shares of Perspective’s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for Radiopharm Theranostics Limited</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June 15, 2024, the Company entered into an agreement with Radiopharm to acquire all of Radiopharm’s rights to two licensed preclinical assets for an upfront payment of $2.0 million. The Company acquired global exclusive rights to both a leucine-rich repeat-containing protein 15 (“LRRC15”)-targeted monoclonal antibody and to a Trophoblast cell surface antigen 2 (“TROP2”)-targeted nanobody. LRRC15, which is also known as LNTH-2403, is a potential first-in-class, highly specific monoclonal antibody radio-conjugate with both Orphan Drug and Rare Pediatric Disease designations from the U.S. Food and Drug Administration for the treatment of osteosarcoma. The agent is designed to target the surrounding tumor micro-environment cells expressing the protein potentially treating a broad range of cancers. The TROP2-targeted nanobody radio-conjugate, which is also known as LNTH-2404, is designed to target TROP2, an intracellular calcium signal transducer that is overexpressed in various types of adenocarcinomas with minimal expression in normal tissues and is associated with tumor aggressiveness, poor prognosis and drug resistance.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 $6.5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 and therefore, a charge of $2.0 million was recognized in R&amp;D expenses in 2024 related to the Radiopharm transaction.</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purchased 149,625,180 Radiopharm Shares at the fair market offering price of approximately $0.03 per share, for an aggregate purchase price of approximately $5.0 million. In January 2025, the Company purchased an additional 133,333,333 Radiopharm Shares at the fair market offering price of approximately $0.04 per share, for $5.0 million in the aggregate. At June 30, 2025, the Company held 282,958,513 Radiopharm Shares, which represents approximately 12.0% of Radiopharm Shares outstanding. Since the Company holds less than 20% of the outstanding Radiopharm Shares, it does not have the ability to exercise significant influence over the operating and financial policies of Radiopharm.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Company’s investment in Radiopharm.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NAV-4694</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June 18, 2024, the Company acquired Meilleur, including its asset NAV-4694, an investigational late-stage F-18-labeled PET imaging agent that targets beta amyloids in Alzheimer’s disease. The Company determined that upon review of the Meilleur acquisition, the transaction did not meet the definition of a business combination and is therefore treated as an asset acquisition.</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made an upfront payment of approximately $32.9 million to the Meilleur Stockholders on June 18, 2024, and paid an additional $10.0 million in August 2024 after the successful completion of a technology transfer. The Company could pay up to an additional $43.0 million in milestone payments upon achievement of specified U.S. regulatory milestones related to NAV-4694 and $4.0 million in remaining research milestones upon achievement of specified clinical studies at academic institutions. Additionally, in May 2025, the Company paid AstraZeneca AB (“AstraZeneca”) a $10.0 million one-time, non-refundable upfront payment to reduce the future commercial royalty obligations owed to AstraZeneca, pursuant to a NAV-4694 license agreement between AstraZeneca and Meilleur.</w:t>
      </w:r>
    </w:p>
    <w:p>
      <w:pPr>
        <w:spacing w:after="0" w:line="187" w:lineRule="exact"/>
        <w:rPr>
          <w:sz w:val="20"/>
          <w:szCs w:val="20"/>
          <w:color w:val="auto"/>
        </w:rPr>
      </w:pPr>
    </w:p>
    <w:p>
      <w:pPr>
        <w:jc w:val="both"/>
        <w:ind w:right="360" w:firstLine="509"/>
        <w:spacing w:after="0" w:line="312" w:lineRule="auto"/>
        <w:rPr>
          <w:sz w:val="20"/>
          <w:szCs w:val="20"/>
          <w:color w:val="auto"/>
        </w:rPr>
      </w:pPr>
      <w:r>
        <w:rPr>
          <w:rFonts w:ascii="Times New Roman" w:cs="Times New Roman" w:eastAsia="Times New Roman" w:hAnsi="Times New Roman"/>
          <w:sz w:val="17"/>
          <w:szCs w:val="17"/>
          <w:color w:val="auto"/>
        </w:rPr>
        <w:t>Research revenue is derived from existing partnerships with pharmaceutical companies and academic institutions that use NAV-4694 in clinical trials. Additionally, the Company could pay the Meilleur Stockholders up to double-digit royalty payments for research revenue and commercial sales.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RM2 Asset Purchase</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July 3, 2024, the Company acquired from Life Molecular Imaging, Inc. ("Life Molecular") the global rights to RM2, a gastrin-releasing peptide receptor-targeting agent, including the associated novel, clinical-stage radiotherapeutic and radiodiagnostic pair, referred to as 177Lu-DOTA-RM2 and 68Ga-DOTA-RM2, for an upfront payment of $35.0 million plus a $1.0 million payment made prior to the acquisition (the “RM2 Asset Purchase”). In addition, in March 2025, the Company paid a $5.4 million milestone payment related to regulatory activities. The Company could pay up to an additional €77.5 million in regulatory milestone payments upon achievement of clinical trial thresholds and approvals in different regions, plus royalties. On July 21, 2025, the Company acquired Life Molecular pursuant to a Sale and Purchase Agreement, dated as of January 12, 2025, with Life Medical Group Limited (the “Seller”) and Life Healthcare Group Holdings Limited (the “Sale and Purchase Agreement”). In connection with the completion of this acquisition, the Company entered into a Deed of Amendment and Restatement (the “Amendment”) to the Sale and Purchase Agreement, pursuant to which, among other things, the parties agreed to deliver the consideration for the RM2 Asset Purchase to the Seller, rather than to Life Molecular (which was the original party to the agreement pursuant to which the Company purchased the RM2 license). The Company could pay the Seller up to €280.0 million in sales milestone payments upon the achievement of specified annual commercial sales threshold of RM2 in the event the Company pursues commercialization.</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charges of $5.4 million for the six months ended June 30, 2025 and $36.0 million for the three and six months ended June 30, 2024 were recognized in R&amp;D expenses in the Company's condensed consolidated statements of operations related to the RM2 Asset Purchase. No such expenses were incurred in the three months ended June 30, 2025. Global rights are exclusive for therapeutic fields in all countries and diagnostic fields in the Americas and co-exclusive with Life Molecular for diagnostic fields outside of the Americas.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condensed consolidated statements of operations.</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CODM uses net income to monitor budget and forecast versus actual results in assessing segment performance and to evaluate income generated from segment assets in deciding how to allocate resources. The measure of segment assets is reported on the condensed consolidated balance sheets as total consolidated assets.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Significant segment expenses reviewed by the CODM include sales and marketing, general and administrative, and R&amp;D expenses as reported in the Company’s condensed consolidated statements of operations. However, the CODM reviews R&amp;D expenses in more detail for certain expenses related to the Company’s development of new products and clinical programs. The approximate disaggregated amounts that comprise R&amp;D expenses regularly reviewed by the CODM are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25114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1700"/>
        <w:spacing w:after="0" w:line="242" w:lineRule="auto"/>
        <w:rPr>
          <w:sz w:val="20"/>
          <w:szCs w:val="20"/>
          <w:color w:val="auto"/>
        </w:rPr>
      </w:pPr>
      <w:r>
        <w:rPr>
          <w:rFonts w:ascii="Times New Roman" w:cs="Times New Roman" w:eastAsia="Times New Roman" w:hAnsi="Times New Roman"/>
          <w:sz w:val="18"/>
          <w:szCs w:val="18"/>
          <w:color w:val="auto"/>
        </w:rPr>
        <w:t>Program third-party research and development expenses</w:t>
      </w:r>
    </w:p>
    <w:p>
      <w:pPr>
        <w:ind w:left="1700"/>
        <w:spacing w:after="0"/>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4"/>
          <w:szCs w:val="24"/>
          <w:color w:val="auto"/>
          <w:vertAlign w:val="superscript"/>
        </w:rPr>
        <w:t>(1)</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8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0</wp:posOffset>
            </wp:positionV>
            <wp:extent cx="4989195" cy="274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89195" cy="274320"/>
                    </a:xfrm>
                    <a:prstGeom prst="rect">
                      <a:avLst/>
                    </a:prstGeom>
                    <a:noFill/>
                  </pic:spPr>
                </pic:pic>
              </a:graphicData>
            </a:graphic>
          </wp:anchor>
        </w:drawing>
      </w:r>
    </w:p>
    <w:p>
      <w:pPr>
        <w:spacing w:after="0" w:line="178" w:lineRule="exact"/>
        <w:rPr>
          <w:sz w:val="20"/>
          <w:szCs w:val="20"/>
          <w:color w:val="auto"/>
        </w:rPr>
      </w:pPr>
    </w:p>
    <w:p>
      <w:pPr>
        <w:ind w:left="420" w:hanging="415"/>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8,938  $    6,472  $   17,367  $    9,803</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36,55154,129</w:t>
      </w:r>
      <w:r>
        <w:rPr>
          <w:rFonts w:ascii="Times New Roman" w:cs="Times New Roman" w:eastAsia="Times New Roman" w:hAnsi="Times New Roman"/>
          <w:sz w:val="18"/>
          <w:szCs w:val="18"/>
          <w:u w:val="single" w:color="auto"/>
          <w:color w:val="auto"/>
        </w:rPr>
        <w:t>64,436</w:t>
      </w:r>
      <w:r>
        <w:rPr>
          <w:rFonts w:ascii="Times New Roman" w:cs="Times New Roman" w:eastAsia="Times New Roman" w:hAnsi="Times New Roman"/>
          <w:sz w:val="18"/>
          <w:szCs w:val="18"/>
          <w:color w:val="auto"/>
        </w:rPr>
        <w:t>98,822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1830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5715</wp:posOffset>
            </wp:positionV>
            <wp:extent cx="5657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tabs>
          <w:tab w:leader="none" w:pos="300" w:val="left"/>
          <w:tab w:leader="none" w:pos="960" w:val="left"/>
          <w:tab w:leader="none" w:pos="1280" w:val="left"/>
          <w:tab w:leader="none" w:pos="1920" w:val="left"/>
          <w:tab w:leader="none" w:pos="2240" w:val="left"/>
          <w:tab w:leader="none" w:pos="290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45,489</w:t>
      </w:r>
      <w:r>
        <w:rPr>
          <w:sz w:val="20"/>
          <w:szCs w:val="20"/>
          <w:color w:val="auto"/>
        </w:rPr>
        <w:tab/>
      </w:r>
      <w:r>
        <w:rPr>
          <w:rFonts w:ascii="Times New Roman" w:cs="Times New Roman" w:eastAsia="Times New Roman" w:hAnsi="Times New Roman"/>
          <w:sz w:val="18"/>
          <w:szCs w:val="18"/>
          <w:u w:val="single" w:color="auto"/>
          <w:color w:val="auto"/>
        </w:rPr>
        <w:t>$</w:t>
        <w:tab/>
        <w:t>60,601</w:t>
        <w:tab/>
        <w:t>$</w:t>
        <w:tab/>
        <w:t>81,803</w:t>
      </w:r>
      <w:r>
        <w:rPr>
          <w:sz w:val="20"/>
          <w:szCs w:val="20"/>
          <w:color w:val="auto"/>
        </w:rPr>
        <w:tab/>
      </w:r>
      <w:r>
        <w:rPr>
          <w:rFonts w:ascii="Times New Roman" w:cs="Times New Roman" w:eastAsia="Times New Roman" w:hAnsi="Times New Roman"/>
          <w:sz w:val="18"/>
          <w:szCs w:val="18"/>
          <w:color w:val="auto"/>
        </w:rPr>
        <w:t>$  108,625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-121920</wp:posOffset>
            </wp:positionV>
            <wp:extent cx="4989195" cy="1631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5060" w:space="680"/>
            <w:col w:w="5500"/>
          </w:cols>
          <w:pgMar w:left="320" w:top="117" w:right="339" w:bottom="1440" w:gutter="0" w:footer="0" w:header="0"/>
          <w:type w:val="continuous"/>
        </w:sectPr>
      </w:pPr>
    </w:p>
    <w:p>
      <w:pPr>
        <w:spacing w:after="0" w:line="10" w:lineRule="exact"/>
        <w:rPr>
          <w:sz w:val="20"/>
          <w:szCs w:val="20"/>
          <w:color w:val="auto"/>
        </w:rPr>
      </w:pPr>
    </w:p>
    <w:p>
      <w:pPr>
        <w:ind w:left="1120" w:right="360" w:hanging="513"/>
        <w:spacing w:after="0" w:line="298" w:lineRule="auto"/>
        <w:tabs>
          <w:tab w:leader="none" w:pos="11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R&amp;D expenses consist of all other R&amp;D costs incurred for the benefit of multiple R&amp;D programs, including legal, employee costs, depreciation, information technology, other facility-bases expenses and other third-party costs.</w:t>
      </w:r>
    </w:p>
    <w:p>
      <w:pPr>
        <w:spacing w:after="0" w:line="263"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Reform</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July 4, 2025, H.R.1, the One Big Beautiful Bill Act (“OBBBA”) was signed into law. The OBBBA provides for significant U.S. tax law changes, including the permanent extension of certain expiring provisions of the Tax Cuts and Jobs Act, modifications to the international tax framework, and the restoration of favorable tax treatment for certain business provisions. The Company is currently evaluating the OBBBA’s impact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Life Molecular Imaging Ltd.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July 21, 2025, the Company acquired Life Molecular Imaging, Inc. ("Life Molecular") for an upfront payment of $350.0 million in cash and up to an additional $400.0 million in potential earn-out and milestone payments. Life Molecular is based in Berlin, Germany and is dedicated to advancing novel PET radiopharmaceutical diagnostics. The acquisition includes Neuraceq, an approved Alzheimer’s disease radiodiagnostic.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July 31, 2025, the Board authorized a program to repurchase up to $400.0 million of shares of the Company’s common stock through December 31, 2027 (the “2025 Program”). The 2025 Program replaces the 2024 Program, including the remaining unused amounts under the 2024 Program, and authorizes the Company to purchase shares of its common stock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timing, manner, price and amount of any repurchase will be subject to the discretion of the Company’s management. The 2025 Program does not obligate the Company to acquire any particular amount of its common stock, and the Company may suspend or discontinue the 2025 Program at any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80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Note Regarding Forward-Looking Statements</w:t>
      </w:r>
    </w:p>
    <w:p>
      <w:pPr>
        <w:ind w:firstLine="509"/>
        <w:spacing w:after="0" w:line="251" w:lineRule="auto"/>
        <w:rPr>
          <w:sz w:val="20"/>
          <w:szCs w:val="20"/>
          <w:color w:val="auto"/>
        </w:rPr>
      </w:pPr>
      <w:r>
        <w:rPr>
          <w:rFonts w:ascii="Times New Roman" w:cs="Times New Roman" w:eastAsia="Times New Roman" w:hAnsi="Times New Roman"/>
          <w:sz w:val="18"/>
          <w:szCs w:val="18"/>
          <w:color w:val="auto"/>
        </w:rPr>
        <w:t>Some of the statements contained in this Quarterly Report on Form 10-Q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“commitment,” “could,” “designed,” “estimates,” “expects,” “generate,” “impact,” “increasing,” “hopes,” “intends,” “launch,” “likely,” “long-term,” “maintain,” “may,” “pipeline,” “plans,” “potential,” “predict,” “remain,” “seek,” “should,” “sustain,” “target,” “will,” “would” and similar expressions, or by express or implied discussions regarding potential or pending acquisitions, dispositions, collaborations, development and commercialization plans described in this Form 10-Q, or regarding potential future revenues and expenses from such acquisitions, collaborations, development and commercialization plans. Examples of forward-looking statements include statements we make relating to our outlook and expectations including, without limitation, in connection with: (i) continued market expansion and penetration for our established commercial products, particularly PYLARIFY and DEFINITY, in a competitive environment and our ability to clinically and commercially differentiate our products; (ii) our ability to have third parties manufacture our products and our ability to manufacture DEFINITY in our in-house manufacturing facility, in amounts and at the times needed; (iii) the availability of raw materials, key components, and equipment, either used in the production of our products and product candidates, or in the use by healthcare professionals (“HCPs”) of our products and product candidates, including, but not limited to positron emission tomography (“PET”) scanners for PYLARIFY, MK-6240 and NAV-4694; (iv) our ability to satisfy our obligations under our existing clinical development partnerships using MK-6240 or NAV-4694 as a research tool and under the license agreements through which we have rights to MK-6240 and NAV-4694, and to further develop and commercialize MK-6240 and NAV-4694 as approved products, including the timing for any potential regulatory submissions for these investigational assets; (v) our ability to successfully integrate acquisitions, including of Life Molecular Imaging Ltd. (“Life Molecular”) and Evergreen Theragnostics, Inc. (“Evergreen”), including the potential for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 (vi) our ability to obtain U.S. Food and Drug Administration ("FDA") approval for our new formulation of our F-18 PSMA PET imaging agent, to complete the technology transfer across our PMF network for such new formulation, and to obtain adequate coding, coverage and payment, including transitional pass-through payment status (“TPT Status”), for such new formulation; (vii) our ability to complete the sale of our single-photon emission computerized tomography ("SPECT") business to SHINE Technologies, LLC ("SHINE"), a wholly-owned subsidiary of Illuminated Holdings, Inc. on the proposed terms or on the anticipated timeline, or at all, including risks and uncertainties related to securing the necessary regulatory approvals and satisfaction of other closing conditions to consummate the transaction, unforeseen expenses related to the divestiture, and failure to realize the expected benefits of the transaction; (viii) our ability to obtain FDA approval for LNTH-2501, our investigational kit for the preparation of Gallium-68 DOTATOC, which may be used in conjunction with a PET scan to stage and localize gastroenteropancreatic neuroendocrine tumors in adults and children, and approval for PNT2003, and to be successful in the patent litigation associated with PNT2003; (ix) the cost, efforts and timing for clinical development, regulatory approval, adequate coding, coverage and payment and successful commercialization of our product candidates and new clinical applications and territories for our products, in each case, that we or our strategic partners may undertake; and (x) our ability to identify opportunities to collaborate with strategic partners and to acquire or in-license additional diagnostic and therapeutic product opportunities in oncology, neurology and other strategic areas and continue to grow and advance our pipeline of products.</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10-Q may not in fact occur. We caution you, therefore, against relying on any of these forward-looking statements. These forward-looking statements are subject to a number of risks, uncertainties and assumptions, including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(“Form 10-K”) for the year ended December 31, 2024,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Form 10-Q.</w:t>
      </w:r>
    </w:p>
    <w:p>
      <w:pPr>
        <w:spacing w:after="0" w:line="18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global Internet site is www.lantheus.com. We routinely make available important information, including copies of our Form 10-K, Form 10-Q, Current Reports on Form 8-K and amendments to those reports filed or furnished pursuant to Section 13(a) or 15(d) of the Exchange Act, as soon as reasonably practicable after those reports are electronically filed with, or furnished to, the Securities and Exchange Commission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10-Q, and any website references are not intended to be made through active hyperlinks.</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reports filed with, or furnished to, the SEC are also available on the SEC’s website at www.sec.gov, and for Form 10-Ks and Form 10-Qs, in an Inline Extensible Business Reporting Language (“iXBRL”) format. iXBRL is an electronic coding language used to create interactive financial statement data over the Internet. The information on our website is neither part of nor incorporated by reference into this Form 10-Q.</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should be read together with the condensed consolidated financial statements and the related notes included in Item 1 of this Form 10-Q as well as the other factors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for the year ended December 31, 2024,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the leading radiopharmaceutical-focused company committed to enabling clinicians to Find, Fight and Follow disease to deliver better patient outcomes. We classify our revenues into three product categories: Radiopharmaceutical Oncology, Precision Diagnostics, and Strategic Partnerships and Other Revenue. Our leading Radiopharmaceutical Oncology products help HCPs Find, Fight and Follow cancer. Our leading Precision Diagnostic products assist HCPs to Find and Follow diseases, with a focus in cardiology. Our Strategic Partnerships include biomarkers and digital solutions in support of our partners’ therapeutic development, out-licensing agreements for non-core assets and optimization of our assets geographically. We are headquartered in Massachusetts with offices in New Jersey, Canada, Germany, Switzerland and Sweden.</w:t>
      </w:r>
    </w:p>
    <w:p>
      <w:pPr>
        <w:spacing w:after="0" w:line="18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Our commercial products are used by cardiologists, internal medicine physicians, nuclear medicine physicians, oncologists, radiologists, sonographers, technologists, and urologists working in a variety of clinical settings. We believe that our diagnostic products provide information that enables HCPs to better detect and characterize, or rule out, disease, with the potential to achieve better patient outcomes, reduce patient risk, and limit overall costs.</w:t>
      </w:r>
    </w:p>
    <w:p>
      <w:pPr>
        <w:spacing w:after="0" w:line="180"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produce and market our products throughout the United States (the “United States” or the “U.S.”), selling primarily to hospitals, independent diagnostic testing facilities, and radiopharmacies. We sell our products outside the U.S. through a combination of direct distribution in Canada and third-party distribution relationships in Europe, Canada, Australia, Asia-Pacific, Central America, and South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continue to execute on our strategy to evolve into a fully integrated radiopharmaceutical company, supported by our increasingly diversified portfolio and our targeted initiatives to expand our pipeline, commercial, development and manufacturing capabilities. Over the past year, we announced multiple strategic transactions, which furthered our goal to focus on new markets and expand and diversify our capabilities and development pipeline with complementary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31, 2025, our Board of Directors (the “Board”) authorized a program to repurchase up to $400.0 million of shares of our common stock through December 31, 2027 (the “2025 Program”). The 2025 Program replaces the program authorized by the Board in November 2024 to repurchase up to $250 million of our common stock during the twelve months following the authorization (the “2024 Program”), including the remaining unused amounts under the 2024 Program, and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its common stock, and we may suspend or discontinue the 2025 Program at any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of NDA for PSMA PET Imaging Agent</w:t>
      </w:r>
    </w:p>
    <w:p>
      <w:pPr>
        <w:spacing w:after="0" w:line="33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August 6, 2025, we announced that the FDA had accepted our New Drug Application (“NDA”) for a new formulation of our F-18 PSMA PET imaging agent, filed by our affiliate Aphelion LLC (“Aphelion”), and that the FDA set an action date goal of March 6, 2026 under the Prescription Drug User Fee Act (“PDUFA”). The new formulation was designed to optimize the manufacturing process and increase the batch size of our F-18 PSMA PET imaging agent by approximately 50%. If the NDA is approved, we plan to work closely with clinicians and PMF sites to ensure a smooth rollout of the new formulation, including providing clear guidance on ordering, handling, and clinical use to support continuity of care for patients, and we plan to apply for reimbursement from the Centers for Medicare and Medicaid Services (“CMS”) for the new formulation, including obtaining three years of TPT Status.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Life Molecular Imaging</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On July 21, 2025, we acquired Life Molecular for an upfront payment of $350.0 million in cash and up to an additional $400.0 million in potential earn-out and milestone payments, pursuant to the terms of the Sale and Purchase Agreement with Life Medical Group Limited and Life Healthcare Group Holdings Limited. Life Molecular is based in Berlin, Germany and is dedicated to advancing novel PET radiopharmaceutical diagnostics. The acquisition includes Neuraceq, an approved Alzheimer's disease diagnostic.</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Previously, on July 3, 2024,we acquired from Life Molecular the global rights to RM2, its clinical stage, gastrin-releasing peptide receptor (“GRPR”)-targeting agent, including the associated novel, clinical-stage radiotherapeutic and radiodiagnostic pair, previously referred to as 177Lu-DOTA-RM2 and 68Ga-DOTA-RM2 (and which we now refer to as LNTH-2402 and LNTH-2401, respectively), for an upfront payment of $35.0 million plus a $1.0 million payment made prior to the acquisition (the “RM2 Asset Purchase”). In addition, in March 2025, the Company paid a $5.4 million milestone payment related to regulatory activities. On July 21, 2025, we acquired Life Molecular pursuant to a Sale and Purchase Agreement, dated as of January 12, 2025, with Life Medical Group Limited (the “Seller”) and Life Healthcare Group Holdings Limited (the “Sale and Purchase Agreement”). In connection with the completion of this acquisition, we entered into a Deed of Amendment and Restatement (the “Amendment”) to the Sale and Purchase Agreement, pursuant to which, among other things, the parties agreed to deliver the consideration for the RM2 Asset Purchase to the Seller, rather than to Life Molecular (which was the original party to the agreement pursuant to which the Company purchased the RM2 license). We may be required to pay the Seller additional milestone payments and royalties in connection with the RM2 Asset Purchase. GRPR is a member of the bombesin G protein-coupled receptor family, which has been found to be overexpressed in multiple cancers, including prostate, breast and lung. First-in-human dosimetry showed a favorable safety and dosimetry profile and confirmed preclinical data demonstrating dose-dependent efficacy of LNTH-2402. We intend to submit investigational new drug applications in support of a Phase 1b/2 clinical trial with the LNTH-2401/LNTH-2402 theranostic pair in prostate cancer patients in the fourth quarter of 2025.</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For more information on the acquisition of the global rights to RM2, see Note 19,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xml:space="preserve"> in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Evergreen Theragnostics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April 1, 2025 (the “Closing Date”), we acquired all the issued and outstanding shares of Evergreen by means of a statutory merger of a subsidiary of the Company with and into Evergreen, with Evergreen surviving as the Company’s wholly-owned subsidiary (the “Evergreen Merger”), pursuant to the terms of the Agreement and Plan of Merger (the “Evergreen Merger Agreement”) with Evergreen and Shareholder Representative Services LLC. Evergreen is a clinical-stage radiopharmaceutical company engaged in contract development and manufacturing services as well as drug discovery and commercialization of proprietary products.</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consideration for the Evergreen Merger, we remitted an upfront payment of $276.4 million in cash. We may make additional potential milestone payments of up to $727.5 million in cash, which may be adjusted pursuant to the Evergreen Merger Agreement, as described therein.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May 1, 2025, we entered into a definitive agreement to sell our SPECT business to SHINE, a wholly-owned subsidiary of Illuminated Holdings, Inc. Under the terms of the agreement, SHINE will acquire the assets and liabilities associated with our SPECT business, including its diagnostic agents (TechneLite, NEUROLITE, Xenon Xe-133 Gas, and Cardiolite), the portion of the North Billerica, Massachusetts campus that manufactures our SPECT products and the SPECT-related Canadian operations. The transaction allows us to focus on growing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commercial portfolio of innovative PET radiodiagnostics and microbubbles, while advancing our pipeline of radiopharmaceuticals. The transaction is subject to customary closing conditions and is expected to be completed around the end of the calendar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NAV-4694</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June 18, 2024, we acquired Meilleur Technologies Inc. (“Meilleur”), including its asset NAV-4694, an investigational late-stage F-18-labeled PET imaging agent that targets beta amyloids in Alzheimer’s disease. Under the terms of the agreement, we paid the stockholders of Meilleur (“Meilleur Stockholders”) an upfront payment of $32.9 million and paid an additional $10.0 million in August 2024 after the successful completion of a technology transfer. We could pay additional milestone payments upon achievement of specified U.S. regulatory and commercial milestones related to NAV-4694. We could also pay a double-digit royalty on research revenue and commercial sales. Research revenue is derived from partnerships with pharmaceutical companies and academic institutions that use NAV-4694 in clinical trials. NAV-4694 is currently in Phase 3 development and is also being used in academic and industry sponsored clinical trials. We expect to submit an NDA for NAV-4694 in 2026. In May 2025, we paid AstraZeneca AB (“AstraZeneca”), a $10.0 million one-time, non-refundable upfront payment to reduce the future royalty obligations owed to AstraZeneca, pursuant to a license agreement between AstraZeneca and Meilleur related to NAV-4694.</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for Radiopharm Theranostics Limited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June 15, 2024, we entered into an agreement with Radiopharm to acquire all of Radiopharm’s rights to two licensed preclinical assets for an upfront payment of $2.0 million (the “Radiopharm Asset Purchase”). We acquired global, exclusive rights to both a leucine-rich repeat-containing protein 15 (“LRRC15”)-targeted monoclonal antibody, which we refer to as LNTH-2403, and a Trophoblast cell surface antigen 2 targeted nanobody, which we refer to as LNTH-2404, each of which is a preclinical therapeutic candidate. LNTH-2403 is our pre-clinical therapeutic targeting LRRC15, which is strongly expressed in multiple malignancies, including head and neck, breast, lung, and pancreatic cancers. We are initially focusing on osteosarcoma, for which the FDA has granted both Orphan Drug and Rare Pediatric Disease designations. Osteosarcoma is a malignant bone tumor that primarily develops in children and teenagers. Osteosarcoma is the most common childhood bone cancer, though it is still rare, with around 1,000 new cases diagnosed annually in the U.S.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acquisition, we assumed the underlying license agreements related to the two preclinical assets, together with their respective milestone and royalty payment obligations.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purchased 149,625,180 shares of Radiopharm common stock (“Radiopharm Shares”) at the fair market offering price of approximately $0.03 per share, for an aggregate purchase price of approximately $5.0 million. In January 2025, we purchased an additional 133,333,333 Radiopharm Shares at the fair market price of approximately $0.04, for an aggregate purchase price of approximately $5.0 million. At June 30, 2025, we held 282,958,513 Radiopharm Shares.</w:t>
      </w:r>
    </w:p>
    <w:p>
      <w:pPr>
        <w:spacing w:after="0" w:line="178"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in our condensed consolidated financial statements herein.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Agreements with Perspective Therapeutics, Inc.</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January 8, 2024, we entered into multiple strategic agreements with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22, 2024, we purchased 56,342,355 shares of Perspective’s common stock (“Perspective Shares”) at a purchase price of $0.37 per share in a private placement transaction for approximately $20.8 million in cash. We were also granted certain pro rata participation rights to maintain our ownership position in Perspective in the event that Perspective makes any public or non-public offering of any equity or voting securities, subject to certain exceptions.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March 1, 2024, we transferred the fixed assets and associated lease for the property at 110 Clyde Rd., Somerset, New Jersey (the “Somerset Facility”) to Perspective, and the parties entered into a transition services arrangement pursuant to which we provided Perspective certain services relating to final disposal of radioactive waste and certain other related services.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6, 2024, we purchased an additional 60,431,039 Perspective Shares at a price of $0.95 per share. The total consideration for this additional purchase was approximately $57.4 million, resulting in Lantheus Alpha holding approximately 19.90% of the outstanding Perspective Shares (or 17.35% on a fully diluted basis) as of March 6,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14, 2024, Perspective effected a 1-for-10 reverse stock split, after which we held 11,677,339 Perspective Shares.</w:t>
      </w:r>
    </w:p>
    <w:p>
      <w:pPr>
        <w:sectPr>
          <w:pgSz w:w="11900" w:h="16838" w:orient="portrait"/>
          <w:cols w:equalWidth="0" w:num="1">
            <w:col w:w="11220"/>
          </w:cols>
          <w:pgMar w:left="320" w:top="117"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MK-6240</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2023, we acquired Cerveau, which holds the rights under a license agreement to develop and commercialize MK-6240, an investigational late-stage F-18-labeled PET imaging agent that targets tau tangles in Alzheimer’s disease. Under the terms of the purchase agreement, the former stockholders of Cerveau are eligible to receive certain development and commercial milestone payments, in addition to the initial payments made in 2023. We will pay double-digit royalty payments for research revenue and commercial sales. Research revenue is derived from partnerships with pharmaceutical companies and academic institutions that use MK-6240 in clinical trials and includes milestone and dose-related payments. In September 2023, MK-6240 was granted Fast Track designation by the FDA.</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2024, we held a pre-NDA meeting with the FDA, and during the second quarter of 2025, we announced that MK-6240 successfully met its co-primary endpoints in two pivotal studies assessing its sensitivity and specificity. The data from these two studies will support an NDA submission to the FDA expected to be filed in the third quarter of 2025, but we can provide no assurance that we will meet that expected timeline, that our NDA will be accepted by the FDA, that MK-6240 will be approved by the FDA or, if approved, that we will be successful in commercialization.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more information,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our condensed consolidated financial statements included herein.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Credit Facility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and financial performance have been, and continue to be, impacted by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PYLARIFY 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PYLARIFY, an F-18-labeled PET imaging agent targeting prostate-specific membrane antigen (“PSMA”), was approved by the FDA in May 2021 and commercially launched in the U.S.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PET manufacturing facilities (“PMFs”), including both commercial and academic partners.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successful growth of PYLARIFY is dependent on our ability to maintain PYLARIFY as the most utilized PSMA PET imaging agent in an increasingly competitive space. PYLARIFY’s competition includes three gallium-68-based PSMA imaging agents, an F-18-based PSMA imaging agent, and other non-PSMA-based imaging agents commonly referred to as conventional imaging. The potential for future generic entrants to the market due to the expiry of PYLARIFY’s new chemical entity exclusivity period in 2026 could also generate increased competition for PYLARIFY. We will continue to make investments necessary to drive PYLARIFY awareness and adoption.</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Growth and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changes to Medicare fee-for-service (“FFS”) hospital outpatient payment. Our Healthcare Procedure Coding System code, which enables streamlined billing, went into effect as of January 1, 2022. In addition, from January 1, 2022 to December 31, 2024, PYLARIFY had TPT Status from CMS in the hospital outpatient setting, enabling traditional Medicare FFS to provide separate payment for PYLARIFY in addition to the payment for the PET/computed tomography (“CT”) procedure in that setting. In November 2024, CMS released the final rule for its calendar year 2025 Medicare Hospital Outpatient Prospective Payment System (the “CMS 2025 OPPS Rule”), which recognized the value and need for broad access to diagnostic radiopharmaceuticals. The CMS 2025 OPPS Rule provided separate payment for those diagnostic radiopharmaceuticals with per day costs greater than $630 based on their mean unit cost (“MUC”) for the approximately 20% of patients with traditional Medicare FFS insurance coverage who are treated in the hospital outpatient setting. Effective January 1, 2025, CMS began maintaining separate payment for PYLARIFY based on MUC in the hospital outpatient setting, which is lower than payments based on the average selling price that were made during TPT Status. Although PYLARIFY continues to be paid separately, other competitive PSMA PET imaging agents continue to have TPT Status after December 31, 2024, and hospital use of those products, for the approximately 20% of traditional Medicare FFS patients in the hospital outpatient setting, generally will be paid separately based on ASP plus six percent rather than on MUC. In July 2025, CMS released the proposed rule for its calendar year 2026 Medicare Hospital Outpatient</w:t>
      </w:r>
    </w:p>
    <w:p>
      <w:pPr>
        <w:sectPr>
          <w:pgSz w:w="11900" w:h="16838" w:orient="portrait"/>
          <w:cols w:equalWidth="0" w:num="1">
            <w:col w:w="11200"/>
          </w:cols>
          <w:pgMar w:left="320" w:top="117" w:right="37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Prospective Payment System (the “CMS 2026 Proposed OPPS Rule”). In the CMS 2026 Proposed OPPS Rule, CMS stated that it continues to believe Average Sales Price (“ASP”) data from manufacturers generally is insufficient for payment and that it is seeking comments on how CMS can ensure more consistent, validated, and universal reporting. We have repeatedly engaged CMS on methodology for reporting ASP, and we will continue to work with coalition partners and CMS to support using ASP to calculate payment for diagnostic radiopharmaceuticals in future years similar to the way Medicare Outpatient Prospective Payment System (“OPPS”) currently pays for other drugs, biologics, and therapeutic radiopharmaceuticals.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plan to successfully grow PYLARIFY includes conveying its commercial and clinical value, negotiating and realizing the benefits from strategic contracts with customers in the U.S., expanding PYLARIFY’s use in appropriate new patient populations, and through strategic partnerships and collaborations, including outside of the U.S. Internationally, we previously licensed exclusive rights to Curium Pharma ("Curium") to develop and commercialize piflufolastat F-18 in Europe, where it is being commercialized in the European Union under the brand name PYLCLARI. We have entered into strategic collaborations with pharmaceutical companies for the use of PYLARIFY in connection with the development of PSMA-targeted therapeutics. Additional information on these collaborations are described further under Part I, Item 1. </w:t>
      </w:r>
      <w:r>
        <w:rPr>
          <w:rFonts w:ascii="Times New Roman" w:cs="Times New Roman" w:eastAsia="Times New Roman" w:hAnsi="Times New Roman"/>
          <w:sz w:val="18"/>
          <w:szCs w:val="18"/>
          <w:i w:val="1"/>
          <w:iCs w:val="1"/>
          <w:color w:val="auto"/>
        </w:rPr>
        <w:t>“Business - Strategic Partnerships and Other Revenue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Oncology” </w:t>
      </w:r>
      <w:r>
        <w:rPr>
          <w:rFonts w:ascii="Times New Roman" w:cs="Times New Roman" w:eastAsia="Times New Roman" w:hAnsi="Times New Roman"/>
          <w:sz w:val="18"/>
          <w:szCs w:val="18"/>
          <w:color w:val="auto"/>
        </w:rPr>
        <w:t>in our Form 10-K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DEFINITY Revenue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believe we will be able to increase use of DEFINITY through continued education of physicians and HCPs about the benefits of ultrasound enhancing agents in suboptimal echocardiograms. The U.S. market currently has three echocardiography ultrasound enhancing agents approved by the FDA; we estimate that DEFINITY will continue to hold at least an 80% share of the U.S. segment for ultrasound enhancing agents in echocardiography procedures.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we continue to grow our microbubble platform, our activities include:</w:t>
      </w:r>
    </w:p>
    <w:p>
      <w:pPr>
        <w:spacing w:after="0" w:line="115" w:lineRule="exact"/>
        <w:rPr>
          <w:sz w:val="20"/>
          <w:szCs w:val="20"/>
          <w:color w:val="auto"/>
        </w:rPr>
      </w:pPr>
    </w:p>
    <w:p>
      <w:pPr>
        <w:ind w:left="1020" w:right="40" w:hanging="503"/>
        <w:spacing w:after="0" w:line="315"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Expansion of Label – </w:t>
      </w:r>
      <w:r>
        <w:rPr>
          <w:rFonts w:ascii="Times New Roman" w:cs="Times New Roman" w:eastAsia="Times New Roman" w:hAnsi="Times New Roman"/>
          <w:sz w:val="17"/>
          <w:szCs w:val="17"/>
          <w:color w:val="auto"/>
        </w:rPr>
        <w:t>In March 2024, we received FDA approval for our supplemental NDA for the use of DEFINITY in pediatric patients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suboptimal echocardiograms. The FDA decision was based on usage data from three pediatric clinical trials conducted with DEFINITY.</w:t>
      </w:r>
    </w:p>
    <w:p>
      <w:pPr>
        <w:spacing w:after="0" w:line="26" w:lineRule="exact"/>
        <w:rPr>
          <w:rFonts w:ascii="Times New Roman" w:cs="Times New Roman" w:eastAsia="Times New Roman" w:hAnsi="Times New Roman"/>
          <w:sz w:val="17"/>
          <w:szCs w:val="17"/>
          <w:color w:val="auto"/>
        </w:rPr>
      </w:pPr>
    </w:p>
    <w:p>
      <w:pPr>
        <w:jc w:val="both"/>
        <w:ind w:left="1020" w:right="180" w:hanging="503"/>
        <w:spacing w:after="0" w:line="26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 </w:t>
      </w:r>
      <w:r>
        <w:rPr>
          <w:rFonts w:ascii="Times New Roman" w:cs="Times New Roman" w:eastAsia="Times New Roman" w:hAnsi="Times New Roman"/>
          <w:sz w:val="18"/>
          <w:szCs w:val="18"/>
          <w:color w:val="auto"/>
        </w:rPr>
        <w:t>We continue to actively pursue additional patents in connection with DEFINITY, both in the U.S. and internationally.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DEFINITY, we have Orange Book-listed method-of-use patents, as well as additional manufacturing patents that are not Orange Book-listed.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Strategic Partnerships and Other Revenue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continue to seek ways to further increase the overall value of our portfolio of products and product candidates. We are evaluating a number of different opportunities to collaborate, in-license or acquire additional products, product candidates, businesses and technologies to drive our future growth. In particular, with respect to our Strategic Partnerships and Other Revenue category, we are focused on radiopharmaceutical diagnostic and therapeutic product opportunities in oncology, neurology, and other strategic areas that will complement our existing portfolio.</w:t>
      </w:r>
    </w:p>
    <w:p>
      <w:pPr>
        <w:spacing w:after="0" w:line="180"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Strategic Partnerships and Other Revenue category includes our Strategic Partnerships, Digital Solutions, Biomarker Solutions and contract development and manufacturing organization (“CDMO”) services and is focused on enabling precision medicine with biomarkers, digital solutions and CDMO services.</w:t>
      </w:r>
    </w:p>
    <w:p>
      <w:pPr>
        <w:spacing w:after="0" w:line="66" w:lineRule="exact"/>
        <w:rPr>
          <w:sz w:val="20"/>
          <w:szCs w:val="20"/>
          <w:color w:val="auto"/>
        </w:rPr>
      </w:pPr>
    </w:p>
    <w:p>
      <w:pPr>
        <w:ind w:left="1020" w:right="16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Partnerships </w:t>
      </w:r>
      <w:r>
        <w:rPr>
          <w:rFonts w:ascii="Times New Roman" w:cs="Times New Roman" w:eastAsia="Times New Roman" w:hAnsi="Times New Roman"/>
          <w:sz w:val="18"/>
          <w:szCs w:val="18"/>
          <w:color w:val="auto"/>
        </w:rPr>
        <w:t>– We seek to monetize our assets through our Strategic Partnerships business, which includes biomarkers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in support of our partners’ therapeutic development, out-licensing agreements for non-core assets and optimization of our assets geographically. For example, we licensed the commercialization rights for piflufolastat F-18 in Europe to Curium, where it is now commercialized under the brand name PYLCLARI, and for flurpiridaz, which received FDA approval in 2024 under the brand name Flyrcado, to GE Healthcare Limited (“GE Healthcare”) for coronary artery disease diagnosis.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Solutions </w:t>
      </w:r>
      <w:r>
        <w:rPr>
          <w:rFonts w:ascii="Times New Roman" w:cs="Times New Roman" w:eastAsia="Times New Roman" w:hAnsi="Times New Roman"/>
          <w:sz w:val="18"/>
          <w:szCs w:val="18"/>
          <w:color w:val="auto"/>
        </w:rPr>
        <w:t>– Our Digital Solutions are designed to enhance imaging value and the throughput, reproducibility and reliability of image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as well as to inform treatment selection and response to therapy. We offer our Digital Solutions to HCPs for clinical use and to pharmaceutical companies for development purposes, and in some cases, we also obtain clinical imaging data that we may use to further develop artificial intelligence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Digital Solutions include artificial intelligence medical device software, such as aPROMISE and Automated Bone Scan Index, both of which are FDA cleared and received a European Conformity Marking.</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Biomarker Solutions </w:t>
      </w:r>
      <w:r>
        <w:rPr>
          <w:rFonts w:ascii="Times New Roman" w:cs="Times New Roman" w:eastAsia="Times New Roman" w:hAnsi="Times New Roman"/>
          <w:sz w:val="18"/>
          <w:szCs w:val="18"/>
          <w:color w:val="auto"/>
        </w:rPr>
        <w:t>– We use our Biomarker Solutions business to offer our Biomarker and Microbubble Platforms to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support their R&amp;D of therapeutic drugs and devices. The strategic goal of our Biomarker 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 MK-6240 is a widely utilized tau PET tracer in Alzheimer’s disease studies with over 100 ongoing academic and industry sponsored clinical trials, many for late-stage therapeutic candidates. NAV-4694 is also being used in academic and industry sponsored clinical trials.</w:t>
      </w:r>
    </w:p>
    <w:p>
      <w:pPr>
        <w:sectPr>
          <w:pgSz w:w="11900" w:h="16838" w:orient="portrait"/>
          <w:cols w:equalWidth="0" w:num="1">
            <w:col w:w="11240"/>
          </w:cols>
          <w:pgMar w:left="320" w:top="117"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20" w:right="20" w:hanging="503"/>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CDMO </w:t>
      </w:r>
      <w:r>
        <w:rPr>
          <w:rFonts w:ascii="Times New Roman" w:cs="Times New Roman" w:eastAsia="Times New Roman" w:hAnsi="Times New Roman"/>
          <w:sz w:val="18"/>
          <w:szCs w:val="18"/>
          <w:color w:val="auto"/>
        </w:rPr>
        <w:t>– Through the Evergreen Merger, we acquired a Good Manufacturing Practices (“GMP”) certified radiopharmaceutical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facility that provides end-to-end manufacturing services for alpha- and beta-emitting 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 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Supply &amp; Third Party Suppliers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obtain a substantial portion of our imaging agents from third-party suppliers. Although we manufacture DEFINITY at our facility in North Billerica, Massachusetts, Jubilant HollisterStier (“JHS”) is currently a significant supplier of DEFINITY and our sole source manufacturer of NEUROLITE, CARDIOLITE and evacuation vials, the latter being an ancillary component for our TechneLite generators. Our manufacturing and supply agreement with JHS (the “JHS MSA”) runs through December 31, 2027 and can be further extended by mutual agreement of the parties. The JHS MSA requires us to purchase from JHS specified percentages of our total requirements for DEFINITY, as well as specified quantities of NEUROLITE, CARDIOLITE and evacuation vial products, each year during the contract term. Either party can terminate the JHS MSA upon the occurrence of certain events, including the material breach or bankruptcy of the other party.</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Radiopharmaceuticals are decaying radioisotopes with half-lives ranging from a few hours to several days. Radiopharmaceutical finished goods, such as doses of PYLARIFY, cannot be kept in inventory because of their limited shelf lives and are subject to just-in-time manufacturing, processing and distribution, which takes place at multiple PMF manufacturing partner sites that produce and deliver doses for us across the U.S. Our TechneLite generators and Xenon-133 are manufactured at our facilities in North Billerica, Massachusetts.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To ensure we remain the leading radiopharmaceutical-focused company, we have historically made and will continue to make substantial investments in new product development and lifecycle management for existing products, including:</w:t>
      </w:r>
    </w:p>
    <w:p>
      <w:pPr>
        <w:spacing w:after="0" w:line="54" w:lineRule="exact"/>
        <w:rPr>
          <w:sz w:val="20"/>
          <w:szCs w:val="20"/>
          <w:color w:val="auto"/>
        </w:rPr>
      </w:pPr>
    </w:p>
    <w:p>
      <w:pPr>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we are conducting a clinical trial to determine whether PYLARIFY can detect the presence or absence of additional prostate cancer lesions in patients with favorable intermediate-risk prostate cancer, as well as how it may change the patient’s intended management. We also continue to support investigator sponsored research with the potential to expand the clinical utility of PYLARIFY.</w:t>
      </w:r>
    </w:p>
    <w:p>
      <w:pPr>
        <w:spacing w:after="0" w:line="67"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PNT2002 and PNT2003, we were granted a license to exclusive worldwide rights (excluding certain countries) for $260.0 million in upfront payments during the fourth quarter of 2022 and, with respect to PNT2003, will potentially make additional payments as described below. We also filed an Abbreviated New Drug Application (“ANDA”) for PNT2003 as described further in the section entitled </w:t>
      </w:r>
      <w:r>
        <w:rPr>
          <w:rFonts w:ascii="Times New Roman" w:cs="Times New Roman" w:eastAsia="Times New Roman" w:hAnsi="Times New Roman"/>
          <w:sz w:val="18"/>
          <w:szCs w:val="18"/>
          <w:i w:val="1"/>
          <w:iCs w:val="1"/>
          <w:color w:val="auto"/>
        </w:rPr>
        <w:t>“Exclusive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for PNT2002 and PNT2003” </w:t>
      </w:r>
      <w:r>
        <w:rPr>
          <w:rFonts w:ascii="Times New Roman" w:cs="Times New Roman" w:eastAsia="Times New Roman" w:hAnsi="Times New Roman"/>
          <w:sz w:val="18"/>
          <w:szCs w:val="18"/>
          <w:color w:val="auto"/>
        </w:rPr>
        <w:t>in Part I, Item 1.</w:t>
      </w:r>
      <w:r>
        <w:rPr>
          <w:rFonts w:ascii="Times New Roman" w:cs="Times New Roman" w:eastAsia="Times New Roman" w:hAnsi="Times New Roman"/>
          <w:sz w:val="18"/>
          <w:szCs w:val="18"/>
          <w:i w:val="1"/>
          <w:iCs w:val="1"/>
          <w:color w:val="auto"/>
        </w:rPr>
        <w:t xml:space="preserve"> “Business - Other Notable Transactions” </w:t>
      </w:r>
      <w:r>
        <w:rPr>
          <w:rFonts w:ascii="Times New Roman" w:cs="Times New Roman" w:eastAsia="Times New Roman" w:hAnsi="Times New Roman"/>
          <w:sz w:val="18"/>
          <w:szCs w:val="18"/>
          <w:color w:val="auto"/>
        </w:rPr>
        <w:t>of our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w:t>
      </w:r>
    </w:p>
    <w:p>
      <w:pPr>
        <w:spacing w:after="0" w:line="75"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LNTH-2501, we acquired the rights to the investigational asset through our acquisition of Evergreen. We intend to submit an NDA for LNTH-2501 in 2025.</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MK-6240, we acquired the right to the investigational asset for an upfront payment of $35.3 million in February 2023 and an additional $10.0 million in May 2023 upon the successful completion of a technology transfer and will potentially make additional milestone and royalty payments. In 2024, we held a pre-NDA meeting with the FDA, and during the second quarter of 2025, we announced that MK-6240 successfully met its co-primary endpoints in two pivotal studies assessing its sensitivity and specificity. The data from these two studies will support an NDA submission to the FDA expected to be filed in the third quarter of 2025.</w:t>
      </w:r>
    </w:p>
    <w:p>
      <w:pPr>
        <w:spacing w:after="0" w:line="75" w:lineRule="exact"/>
        <w:rPr>
          <w:rFonts w:ascii="Times New Roman" w:cs="Times New Roman" w:eastAsia="Times New Roman" w:hAnsi="Times New Roman"/>
          <w:sz w:val="18"/>
          <w:szCs w:val="18"/>
          <w:color w:val="auto"/>
        </w:rPr>
      </w:pPr>
    </w:p>
    <w:p>
      <w:pPr>
        <w:ind w:left="1020" w:right="20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NAV-4694, we acquired the rights to the investigational asset for an upfront payment of $32.9 million in June 2024 and an additional $10.0 million in August 2024 upon the successful completion of a technology transfer and will potentially make additional milestone and royalty payments. We intend to submit an NDA for NAV-4694 in 2026. In May 2025, we paid AstraZeneca a $10.0 million one-time, non-refundable upfront payment to reduce the future royalty obligations owed to AstraZeneca, pursuant to a license agreement between AstraZeneca and Meilleur related to NAV-4694.</w:t>
      </w:r>
    </w:p>
    <w:p>
      <w:pPr>
        <w:spacing w:after="0" w:line="75"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LNTH-1363S, in collaboration with Ratio Therapeutics LLC (previously NoriaTherapeutics Inc.), we completed a Phase 1 study to evaluate the pharmacokinetics, biodistribution, and radiation dosimetry in adult healthy volunteers. We initiated a Phase 1/2a study in patients in 2024.</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RM2, we acquired global rights for an upfront payment of $35.0 million plus a $1.0 million payment made prior to the acquisition, paid a $5.4 million milestone payment related to regulatory activities, and could potentially make additional milestone and royalty payments in the future. We plan to initiate a Phase 1/2a study in prostate cancer patients in 2025.</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LNTH-2403 and LNTH-2404, we acquired the rights to the preclinical assets and the underlying license agreements for $2.0 million and will potentially make additional milestone and royalty payments.</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 for additional information on potential milestone and royalty payments related to the product candidates listed above.</w:t>
      </w:r>
    </w:p>
    <w:p>
      <w:pPr>
        <w:spacing w:after="0" w:line="16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PNT2002</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PNT2002 License Agreement, we paid POINT Biopharma Global Inc. (“POINT”) an upfront cash payment of $250.0 million. 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work closely with our partner, Eli Lilly and Company, to review the full dataset, we do not plan to pursue an NDA or further invest in this asset.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PNT2003</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PNT2003 License Agreement, we paid POINT an upfront payment of $10.0 million, and could pay up to an additional $34.5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108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260" w:type="dxa"/>
            <w:vAlign w:val="bottom"/>
            <w:gridSpan w:val="2"/>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378,045</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394,091</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(16,046)</w:t>
            </w:r>
          </w:p>
        </w:tc>
        <w:tc>
          <w:tcPr>
            <w:tcW w:w="13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750,809</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764,066</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(13,257)</w:t>
            </w:r>
          </w:p>
        </w:tc>
        <w:tc>
          <w:tcPr>
            <w:tcW w:w="1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272,098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5,652</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241,011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255,774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(14,763)</w:t>
            </w:r>
          </w:p>
        </w:tc>
        <w:tc>
          <w:tcPr>
            <w:tcW w:w="13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478,711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497,620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(18,909)</w:t>
            </w:r>
          </w:p>
        </w:tc>
        <w:tc>
          <w:tcPr>
            <w:tcW w:w="1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24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41,041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(3,994)</w:t>
            </w: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83,544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90,581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(7,037)</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19,106</w:t>
            </w:r>
          </w:p>
        </w:tc>
        <w:tc>
          <w:tcPr>
            <w:tcW w:w="22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95,304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28,027</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60,601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(15,112)</w:t>
            </w: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81,803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(26,822)</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153,045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153,045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288,678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294,510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(5,832)</w:t>
            </w:r>
          </w:p>
        </w:tc>
        <w:tc>
          <w:tcPr>
            <w:tcW w:w="1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87,966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102,729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(14,763)</w:t>
            </w:r>
          </w:p>
        </w:tc>
        <w:tc>
          <w:tcPr>
            <w:tcW w:w="1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190,033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209,364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(19,331)</w:t>
            </w:r>
          </w:p>
        </w:tc>
        <w:tc>
          <w:tcPr>
            <w:tcW w:w="1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4,862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9,721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9,721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in equity securities -</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(14,573)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22,537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(37,110)</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(164.7%)</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(38,167)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38,456</w:t>
            </w:r>
          </w:p>
        </w:tc>
        <w:tc>
          <w:tcPr>
            <w:tcW w:w="220" w:type="dxa"/>
            <w:vAlign w:val="bottom"/>
          </w:tcPr>
          <w:p>
            <w:pPr>
              <w:spacing w:after="0"/>
              <w:rPr>
                <w:sz w:val="10"/>
                <w:szCs w:val="10"/>
                <w:color w:val="auto"/>
              </w:rPr>
            </w:pP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(6,895)</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(9,044)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w:t>
            </w:r>
          </w:p>
        </w:tc>
        <w:tc>
          <w:tcPr>
            <w:tcW w:w="2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(21,023)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(17,832)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(3,191)</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84,374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20,143</w:t>
            </w:r>
          </w:p>
        </w:tc>
        <w:tc>
          <w:tcPr>
            <w:tcW w:w="220" w:type="dxa"/>
            <w:vAlign w:val="bottom"/>
          </w:tcPr>
          <w:p>
            <w:pPr>
              <w:spacing w:after="0"/>
              <w:rPr>
                <w:sz w:val="12"/>
                <w:szCs w:val="12"/>
                <w:color w:val="auto"/>
              </w:rPr>
            </w:pP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201,046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255,642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(54,596)</w:t>
            </w:r>
          </w:p>
        </w:tc>
        <w:tc>
          <w:tcPr>
            <w:tcW w:w="1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w:t>
            </w:r>
          </w:p>
        </w:tc>
        <w:tc>
          <w:tcPr>
            <w:tcW w:w="2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(13,157)</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42"/>
        </w:trPr>
        <w:tc>
          <w:tcPr>
            <w:tcW w:w="2420" w:type="dxa"/>
            <w:vAlign w:val="bottom"/>
            <w:tcBorders>
              <w:top w:val="single" w:sz="8" w:color="CFF0FC"/>
              <w:bottom w:val="single" w:sz="8" w:color="CFF0FC"/>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78,755</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62,073</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16,682</w:t>
            </w:r>
          </w:p>
        </w:tc>
        <w:tc>
          <w:tcPr>
            <w:tcW w:w="220" w:type="dxa"/>
            <w:vAlign w:val="bottom"/>
            <w:tcBorders>
              <w:top w:val="single" w:sz="8" w:color="CFF0FC"/>
            </w:tcBorders>
          </w:tcPr>
          <w:p>
            <w:pPr>
              <w:spacing w:after="0"/>
              <w:rPr>
                <w:sz w:val="12"/>
                <w:szCs w:val="12"/>
                <w:color w:val="auto"/>
              </w:rPr>
            </w:pPr>
          </w:p>
        </w:tc>
        <w:tc>
          <w:tcPr>
            <w:tcW w:w="1340" w:type="dxa"/>
            <w:vAlign w:val="bottom"/>
            <w:tcBorders>
              <w:top w:val="single" w:sz="8" w:color="CFF0FC"/>
              <w:bottom w:val="single" w:sz="8" w:color="CFF0FC"/>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26.9%</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151,700</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193,139</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(41,439)</w:t>
            </w:r>
          </w:p>
        </w:tc>
        <w:tc>
          <w:tcPr>
            <w:tcW w:w="220" w:type="dxa"/>
            <w:vAlign w:val="bottom"/>
            <w:tcBorders>
              <w:top w:val="single" w:sz="8" w:color="CFF0FC"/>
              <w:bottom w:val="single" w:sz="8" w:color="CFF0FC"/>
            </w:tcBorders>
          </w:tcPr>
          <w:p>
            <w:pPr>
              <w:spacing w:after="0"/>
              <w:rPr>
                <w:sz w:val="12"/>
                <w:szCs w:val="12"/>
                <w:color w:val="auto"/>
              </w:rPr>
            </w:pPr>
          </w:p>
        </w:tc>
        <w:tc>
          <w:tcPr>
            <w:tcW w:w="126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-1388110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-1388110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-1388110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-1388110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-1388110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-1388110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-1002030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-1002030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-1002030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-1002030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-1002030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-1002030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-805180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-805180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-805180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-805180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-805180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-325120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-325120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-325120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-325120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-325120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-325120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-128270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-128270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-128270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-128270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-128270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-128270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June 30,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classify our revenues into three product categories: Radiopharmaceutical Oncology, Precision Diagnostics, and Strategic Partnerships and Other Revenue. Radiopharmaceutical Oncology includes PYLARIFY and historically included AZEDRA. In the first quarter of 2024, we discontinued the production of AZEDRA. Precision Diagnostics includes DEFINITY, TechneLite, and other diagnostic imaging products. Strategic Partnerships and Other Revenue primarily includes revenue derived from partnerships with pharmaceutical companies and academic institutions that use our investigational products, such as MK-6240 and NAV-4694 in clinical trials as research tools. This category of revenues also includes royalties and other milestone payments received from our strategic partners that have commercialized products pursuant to license arrangements with us as well as CDMO revenue generated by Evergreen, which we acquired on April 1, 2025.</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summarized by product category on a net basis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Change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250,642</w:t>
            </w:r>
          </w:p>
        </w:tc>
        <w:tc>
          <w:tcPr>
            <w:tcW w:w="3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273,255</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(22,613)</w:t>
            </w:r>
          </w:p>
        </w:tc>
        <w:tc>
          <w:tcPr>
            <w:tcW w:w="126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508,296</w:t>
            </w:r>
          </w:p>
        </w:tc>
        <w:tc>
          <w:tcPr>
            <w:tcW w:w="42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532,125</w:t>
            </w:r>
          </w:p>
        </w:tc>
        <w:tc>
          <w:tcPr>
            <w:tcW w:w="4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(23,829)</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radiopharmaceutical oncology</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radiopharmaceutical oncology</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250,642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273,255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(22,613)</w:t>
            </w:r>
          </w:p>
        </w:tc>
        <w:tc>
          <w:tcPr>
            <w:tcW w:w="126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508,296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532,509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(24,213)</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83,939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163,150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154,664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8,486</w:t>
            </w:r>
          </w:p>
        </w:tc>
        <w:tc>
          <w:tcPr>
            <w:tcW w:w="22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TechneLite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12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10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precision diagnostics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2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precision diagnostics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115,813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220,176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216,321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3,855</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 revenue</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32.8%</w:t>
            </w: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22,337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7,101</w:t>
            </w:r>
          </w:p>
        </w:tc>
        <w:tc>
          <w:tcPr>
            <w:tcW w:w="22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378,045</w:t>
            </w:r>
          </w:p>
        </w:tc>
        <w:tc>
          <w:tcPr>
            <w:tcW w:w="3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394,091</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(16,046)</w:t>
            </w:r>
          </w:p>
        </w:tc>
        <w:tc>
          <w:tcPr>
            <w:tcW w:w="126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750,809</w:t>
            </w:r>
          </w:p>
        </w:tc>
        <w:tc>
          <w:tcPr>
            <w:tcW w:w="42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764,066</w:t>
            </w:r>
          </w:p>
        </w:tc>
        <w:tc>
          <w:tcPr>
            <w:tcW w:w="4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(13,257)</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-624840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-624840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-624840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-624840</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-624840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-624840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-624840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-624840</wp:posOffset>
            </wp:positionV>
            <wp:extent cx="1200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-230505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-230505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-230505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-230505</wp:posOffset>
            </wp:positionV>
            <wp:extent cx="120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-230505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-230505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-230505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-230505</wp:posOffset>
            </wp:positionV>
            <wp:extent cx="1200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200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decrease in revenues for the three and six months ended June 30, 2025, as compared to the same periods of 2024, were primarily driven by a decrease in net sales price of PYLARIFY and a decrease in sales volume of TechneLite. These decreases were partially offset by an increase in DEFINITY sales volumes and contract manufacturing service revenue generated by Evergreen.</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for the six months ended June 30, 2025, the decreases were offset by revenue generated from sales for investigational use of NAV-4694, and milestone achievement for the first commercial sale of Flyrcado by GE Healthcare.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 and Allowances</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and other liabilities in our condensed consolidated balance sheets. These rebates and allowances result from performance-based offers that are primarily based on attaining contractually specified sales volumes and growth, Medicaid rebate programs for our products, administrative fees of group purchasing organizations, and certain distributor related commissions. The calculation of the accrual for these rebates and allowances is based on an estimate of the third-party’s expected purchases and the resulting applicable contractual rebate to be earned over a contractual period.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analysis of the amount of, and change in, reserves for rebates and allowances is summarized as follows: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decrease in gross profit for the three and six months ended June 30, 2025, as compared to the prior year periods, is primarily due to the decrease in PYLARIFY net sales price, partially offset by an increase in PYLARIFY sales volume and an increase in DEFINITY sales volume. In addition, for the three months ended June 30, 2025, the decrease in gross profit was partially offset by a reduction in vendor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and other related costs for personnel in field sales, marketing, and customer service functions. Other costs in sales and marketing expenses include the development of advertising and promotional material, professional services, market research, and sales meetings.</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$4.0 million and $7.0 million for the three and six months ended June 30, 2025, as compared to the prior year periods. This was primarily the result of an overall reduction in employee-related costs, as well a decrease in third party vendor and other marketing spend. In addition, the decrease for the six months ended June 30, 2025 included a one-time investment in a brand campaign launch for PYLARIFY that took place during the three months ended March 31, 2024, as well as the cessation in 2025 of launch support related to PNT2002.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$19.1 million and $28.0 million for the three and six months ended June 30, 2025, respectively, as compared to prior year periods. This was primarily driven by the impact of the acquisition of Evergreen in April 2025, including nonrecurring post-combination expenses related to the settlement of unvested Evergreen stock awards, which resulted in higher stock-based compensation expense and professional fees. In addition, with the increase in headcount from the acquisition, we incurred higher employee-related costs in the three and six months ended June 30, 2025, as compared to the same prior year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R&amp;D expenses relate primarily to salaries and costs related to the development of product candidates to add to our portfolio and costs related to our medical affairs, medical information and regulatory functions.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R&amp;D expenses decreased $15.1 million for the three months ended June 30, 2025, as compared to the same prior year period. This was primarily driven by an upfront option payment of $36.0 million in cash to Life Molecular to sublicense LNTH-2401 and LNTH-2402, as well as $2.0 million to Radiopharm to sublicense LNTH-2403 and LNTH-2404, in the second quarter of 2024. These decreases were partially offset by a payment to AstraZeneca of $10.0 million in May 2025 to reduce future royalty obligations for NAV-4694, expenses resulting from the acquisition of Evergreen in April 2025 and increases in project costs related to assets acquired in 2024, including LNTH-2401, LNTH-2402, LNTH-2403 and NAV-4694.</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R&amp;D expenses decreased $26.8 million for the six months ended June 30, 2025, as compared to the same period of 2024. This was primarily driven by the upfront payment of $36.0 million to Life Molecular to sublicense LNTH-2401 and LNTH-2402, an upfront option payment of $28.0 million to Perspective, as well as $2.0 million to Radiopharm to sublicense LNTH-2403 and LNTH-2404, in each case during the prior year period. These decreases were partially offset by a payment to AstraZeneca of $10.0 million to reduce future royalty obligations for NAV-4694, expenses related to the acquisition of Evergreen, increases in project costs related to assets acquired in 2024 including LNTH-2401, LNTH-2402, LNTH-2403, and NAV-4694, as well as an increase in employee-related costs resulting from an increase in headcount.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Securities - Unrealized (Gain) Loss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Investment in equity securities - net unrealized (gain) loss increased $37.1 million for the three months ended June 30, 2025, compared to the same period of 2024. Investment in equity securities - net unrealized (gain) loss decreased $38.5 million for the six months ended June 30, 2025, compared to the same period of 2024. Each quarter our investments in equity securities of Radiopharm and Perspective are revalued to market price. For the three months ended June 30, 2025, we recorded an unrealized loss on the investment in Radiopharm of $0.8 million and recorded an unrealized gain on the investment in Perspective of $15.3 million. For the six months ended June 30, 2025, we recorded an unrealized loss on the investment in Radiopharm of $3.3 million and recorded an unrealized gain on the investment in Perspective of $2.9 million. This is compared to unrealized gain on the investment in Perspective of $22.5 million for the three months ended June 30, 2024 and an unrealized loss on the investment in Perspective Shares of $38.2 million for the six months ended June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Other income decreased $2.1 million for the three months ended June 30, 2025 compared to the same period of 2024, primarily due to a decrease in interest income on lower average cash balances after the acquisition of Evergreen in April 2025. Other income increased $3.2 million for the six months ended June 30, 2025, compared to the same period of 2024, primarily due to a $4.7 million adjustment recorded to reduce the previous estimate of remediation costs related to the potential decommissioning of our facilities of their radioactive-related operations. See Note 10, </w:t>
      </w:r>
      <w:r>
        <w:rPr>
          <w:rFonts w:ascii="Times New Roman" w:cs="Times New Roman" w:eastAsia="Times New Roman" w:hAnsi="Times New Roman"/>
          <w:sz w:val="18"/>
          <w:szCs w:val="18"/>
          <w:i w:val="1"/>
          <w:iCs w:val="1"/>
          <w:color w:val="auto"/>
        </w:rPr>
        <w:t>“Asset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for more information on our asset retirement obligation. This was partially offset by a decrease in interest income on lower average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mentioned above.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for each reporting period is presented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96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9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5660" w:type="dxa"/>
            <w:vAlign w:val="bottom"/>
            <w:gridSpan w:val="2"/>
            <w:shd w:val="clear" w:color="auto" w:fill="CFF0FC"/>
          </w:tcPr>
          <w:p>
            <w:pPr>
              <w:jc w:val="right"/>
              <w:ind w:right="4308"/>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6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bl>
    <w:p>
      <w:pPr>
        <w:spacing w:after="0" w:line="23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June 30, 2025 differs from the U.S. statutory rate of 21% primarily due to state income taxes and non-deductible stock compensation, partially offset by tax credits and the change in valuation allowance related to the fluctuation in value of our investment in equity securities balance. Our effective tax rate for six months ended June 30, 2025 differs from the U.S. statutory rate of 21% primarily due to state income taxes, partially offset by tax credits and the income tax benefits associated with stock compensation deductions.</w:t>
      </w:r>
    </w:p>
    <w:p>
      <w:pPr>
        <w:spacing w:after="0" w:line="247" w:lineRule="exact"/>
        <w:rPr>
          <w:sz w:val="20"/>
          <w:szCs w:val="20"/>
          <w:color w:val="auto"/>
        </w:rPr>
      </w:pPr>
    </w:p>
    <w:p>
      <w:pPr>
        <w:jc w:val="both"/>
        <w:ind w:right="340" w:firstLine="509"/>
        <w:spacing w:after="0" w:line="289" w:lineRule="auto"/>
        <w:rPr>
          <w:sz w:val="20"/>
          <w:szCs w:val="20"/>
          <w:color w:val="auto"/>
        </w:rPr>
      </w:pPr>
      <w:r>
        <w:rPr>
          <w:rFonts w:ascii="Times New Roman" w:cs="Times New Roman" w:eastAsia="Times New Roman" w:hAnsi="Times New Roman"/>
          <w:sz w:val="17"/>
          <w:szCs w:val="17"/>
          <w:color w:val="auto"/>
        </w:rPr>
        <w:t>The decrease in the effective income tax rate for the three months ended June 30, 2025 is primarily due to the change in the valuation allowance related to the fluctuation in value of our investment in equity securities balance, partially offset by the increase in non-deductible stock compensation. There was no material change in the effective tax rate for the six months ended June 30, 2025, when compared to the same period of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194,669</w:t>
            </w: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(296,190)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(116,632)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$194.7 million in the six months ended June 30, 2025 was primarily comprised of net income adjusted for the net effect of non-cash items such as unrealized loss (gain) on investment in equity securities, charges incurred in connection with the RM2 license, adjustments to the fair value of asset retirement obligation, depreciation, amortization and accretion expense, and stock-based compensation expense. The primary working capital sources of cash include an increase in accounts payable and accrued expenses which was attributable to the timing of payments to large vendors. The primary working capital uses of cash include an increase in trade receivables associated primarily with the timing of billings and collections and an increase in inventory related to the timing of batch processes. In addition, the Company recognized a nonrecurring post-combination expense attributed to the acceleration of historical Evergreen stock awards of $7.5 million.</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$212.0 million in the six months ended June 30, 2024 was primarily comprised of net income adjusted for the net effect of non-cash items such as unrealized gain on equity investment, charges incurred in connection with the Perspective IPR&amp;D exclusive license option, charges related to Radiopharma’s licensed assets, charges related to Life Molecular’s RM2 license, depreciation, amortization and accretion expense and stock-based compensation expense. The primary working capital sources of cash were the timing of payments to large vendors. The primary working capital uses of cash were an increase in trade receivables associated primarily with the increase in PYLARIFY revenues, and an increase in inventory related to the timing of batch processes.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was driven by $269.1 million paid to the former holders of Evergreen Shares for the acquisition of Evergreen, $5.0 million used to purchase equity securities, a $5.4 million milestone payment made related to RM2 and $16.7 million of capital expenditures.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driven by an upfront option payment of $28.0 million to Perspective, $1.0 million upfront payment to Life Molecular, $32.9 million upfront payment to the Meilleur Stockholders, $78.3 million for the purchase of equity securities and $19.4 million of capital expenditures, partially offset by net cash proceeds of $8.0 million from the sale of the Somerset facility sublease and associated assets.</w:t>
      </w:r>
    </w:p>
    <w:p>
      <w:pPr>
        <w:sectPr>
          <w:pgSz w:w="11900" w:h="16838" w:orient="portrait"/>
          <w:cols w:equalWidth="0" w:num="1">
            <w:col w:w="11220"/>
          </w:cols>
          <w:pgMar w:left="320" w:top="117"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is primarily attributable to the repurchase of our common stock for approximately $100.0 million, the payments for minimum statutory tax withholding related to net share settlement of equity awards of $24.5 million, offset by proceeds of $8.3 million from stock option exercises and issuance of common stock.</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is primarily attributable to the payments for minimum statutory tax withholding related to net share settlement of equity awards of $20.4 million, offset by proceeds of $4.3 million from stock option exercises and issuance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 of Liquidity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2024, we entered into an amendment to the 2022 Revolving Facility that, among other things, extended the maturity date from December 2, 2027 to December 19, 2029, increased the 2022 Revolving Facility from $350.0 million to $750.0 million and increased the additional amount that Lantheus Medical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 The full terms of the 2022 Revolving Facility are set forth in the Credit Agreement, dated as of December 2, 2022, by and among us, the lenders from time to time party thereto and Citizens Bank, N.A., as administrative agent and collateral agent, as amended. We have the right to request an increase to the 2022 Revolving Facility or request the establishment of one or more new incremental term loan facilities, in an aggregate principal amount of up to the greater of $685.0 million (so that the total amount available is $1.44 billion) or 100% of consolidated earnings before interest, taxes, depreciation and amortization for the four consecutive fiscal quarters most recently ended, plus additional amounts, in certain circumstances.</w:t>
      </w:r>
    </w:p>
    <w:p>
      <w:pPr>
        <w:spacing w:after="0" w:line="1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spacing w:after="0" w:line="181"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color w:val="auto"/>
        </w:rPr>
        <w:t>“Long-Term Debt, Net, and Other Borrowings”</w:t>
      </w:r>
      <w:r>
        <w:rPr>
          <w:rFonts w:ascii="Times New Roman" w:cs="Times New Roman" w:eastAsia="Times New Roman" w:hAnsi="Times New Roman"/>
          <w:sz w:val="18"/>
          <w:szCs w:val="18"/>
          <w:color w:val="auto"/>
        </w:rPr>
        <w:t xml:space="preserve"> to our condensed consolidated financial statements for further details on the 2022 Revolving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we were in compliance with all financial and other covenants under the 2022 Credit Agreement.</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December 8, 2022, we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as Guarantor, and U.S. Bank Trust Company, National Association, as Trustee. The net proceeds from the issuance of the Notes were approximately $557.8 million, after deducting the initial purchasers’ discounts and offering expenses payable by us.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2024, the Board authorized a program to repurchase up to $250 million of our common stock during the twelve months following the authorization (the “2024 Program”). During the three months ended June 30, 2025, we repurchased 1.3 million shares of our common stock for an aggregate purchase price of approximately $100.0 million. As of June 30, 2025, we have purchased approximately 2.4 million shares of our common stock under the 2024 Program for approximately $200.0 million. On July 31, 2025, the Board authorized the 2025 Program, which replaces the 2024 Program, including the remaining unused portion of the 2024 Program. Pursuant to the 2025 Program, we may repurchase up to $400.0 million in shares of our common stock through December 31, 2027,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actual timing, number and dollar amount of repurchase transactions will be determined by our management, in its discretion and will depend on a number of factors, including but not limited to, the market price of our common stock.</w:t>
      </w:r>
    </w:p>
    <w:p>
      <w:pPr>
        <w:spacing w:after="0" w:line="200" w:lineRule="exact"/>
        <w:rPr>
          <w:sz w:val="20"/>
          <w:szCs w:val="20"/>
          <w:color w:val="auto"/>
        </w:rPr>
      </w:pPr>
    </w:p>
    <w:p>
      <w:pPr>
        <w:spacing w:after="0" w:line="21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and the pricing environment of our currently marketed products, particularly PYLARIFY and DEFINITY, as well as any additional products that we may market in the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shifts and associated volume and selling price changes that could result from additional competition or changes in customers’ product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costs of the ongoing commercialization of our products;</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successfully integrate acquisitions, including of Life Molecular and Evergreen, including the potential for unforeseen expenses related to integration activities and liabilities within those businesses, costs to integrate disparate information technology systems, retain key talent and create a merged corporate culture that successfully realizes the full potential of the combined organization;</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the further clinical development and commercialization of products and development candidates, as well as whether we exercise our option and co-development rights under the Perspective agreements;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investing in our facilities, equipment and technology infrastructure;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amending manufacturing and supply arrangements for commercial supplies of our products and raw materials and components;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relating to maintaining, expanding and enforcing our intellectual property portfolio, pursuing insurance or other claims and defending against product liability, regulatory compliance, intellectual property or other claims, including the patent infringement claim related to the filing of our ANDA for PNT2003 and our patent infringement lawsuit against a healthcare-related imaging software developer;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on any additional borrowings which we may incur under our financing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sustained inflation on our costs of goods sold and operating expenses.</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Disruption in our financial performance could occur if we experience significant adverse changes in product or customer mix, significant changes in our competitive or regulatory environment, broad economic downturns, sustained inflation, adverse industry or company conditions or catastrophic external events, including pandemics,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w:t>
      </w:r>
    </w:p>
    <w:p>
      <w:pPr>
        <w:spacing w:after="0" w:line="183"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Credit Agreement. Additional equity or debt financing, or other transactions, may not be available on acceptable terms, if at all. If any of these transactions require an amendment or waiver under the covenants in our 2022 Credit Agreement,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At June 30, 2025, our only current committed external source of funds is our borrowing availability under our 2022 Revolving Facility. We had $695.6 million of cash and cash equivalents as of June 30, 2025.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plans, we believe our balance of cash and cash equivalents, along with cash generated by ongoing operations and continued access to our 2022 Revolving Facility, will be sufficient to satisfy our cash requirements over the next twelve months and beyond.</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generally accepted accounting principles in the United States.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in the underlying accounting assumptions and estimates used in such policies in the six months ended June 30, 2025. For further information, refer to our summary of significant accounting policies and estimates in our Form 10-K for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required to provide the Massachusetts Department of Public Health financial assurance demonstrating our ability to fund any decommissioning of our North Billerica, Massachusetts production facility in the event of any closure. We have provided this financial assurance in the form of a $30.3 million surety bond.</w:t>
      </w:r>
    </w:p>
    <w:p>
      <w:pPr>
        <w:spacing w:after="0" w:line="17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We have not engaged in any other off-balance sheet arrangements, including structured finance, special purpose entities or variable interest entities.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quantitative and qualitative disclosures about market risk, see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our Form 10-K for the year ended December 31, 2024. Our exposures to market risk have not changed materially since December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our recorded carrying value of investments in equity securities was $44.2 million, comprised of our equity investments in Perspective and Radiopharm, and is recorded at fair value, subject to market price volatility. We record our equity investments in public companies at fair value and adjust our equity investments in public companies for observable price changes or impairments. Valuations of public companies are variable and subject to change in share price at the applicable measurement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contained in Part I, Item 1. Financial Statements of this Form 10-Q and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our Annual Report on Form 10-K for the year ended December 31, 2024, except as set forth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Portfolio of Commercial Products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grow PYLARIFY as a commercial product is dependent on (A) the ability of positron emission tomography (“PET”) manufacturing facilities (“PMFs”) to manufacture PYLARIFY to meet product demand, including ensuring that PYLARIFY is available at the specific time of day preferred by the end-user, (B) our ability to maintain adequate coding, coverage and payment for PYLARIFY, (C) our ability to promote PYLARIFY to customers and to maintain PYLARIFY as the most utilized prostate-specific membrane antigen (“PSMA”) PET imaging agent, which has been impacted by the expiration of transitional pass-through payment status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TPT Status”) on December 31, 2024, (D) whether and when a potential generic version of PYLARIFY may enter the market and (E) our ability to clinically and commercially differentiate PYLARIFY from an increasing number of potentially competitive products.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To manufacture PYLARIFY, we assembled and qualified a nationwide network of PMFs with radioisotope-producing cyclotrons that make F-18, which has a 110-minute half-life, so PYLARIFY is manufactured and distributed rapidly to end-users. Because each of the PMFs manufacturing these products is deemed by the U.S. Food and Drug Administration (“FDA”) to be a separate manufacturing site, each has to be separately approved by the FDA. Although PYLARIFY is broadly available across the U.S., we continue to seek qualification for additional PMFs in 2025 and can give no assurance that the FDA will continue to approve PMFs in accordance with our expansion plans to meet product demand or that PYLARIFY will be available at the specific time of day preferred by the end-users or that our expansion plans accurately predict demand growth. To the extent that PYLARIFY is not available at preferred times, end users have, in some instances, switched to available competitive products. If FDA approval of manufacturing sites is delayed or withdrawn or if FDA requirements relating to site approval change impacting our ability to meet demand for PYLARIFY or end users scheduling needs or if we invest to extend our PMF network and demand does not grow to meet the expanded capacity, our business, results of operations, financial condition and cash flows would be adversely affected.</w:t>
      </w:r>
    </w:p>
    <w:p>
      <w:pPr>
        <w:spacing w:after="0" w:line="194"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Obtaining adequate coding, coverage, and payment for PYLARIFY is critical, including not only coverage from Medicare, Medicaid and other government payors, as well as private payors, but also appropriate payment levels to adequately cover our customers’ costs of using PYLARIFY in PET/computed tomography (“CT”) imaging procedures. The Healthcare Procedure Coding System code for PYLARIFY, which enables streamlined billing, went into effect as of January 1, 2022. PYLARIFY also had TPT Status from January 1, 2022 until December 31, 2024, which enabled traditional Medicare to provide an incremental payment for PET/CT scans performed with PYLARIFY in the hospital outpatient setting. After expiry of TPT Status, diagnostic radiopharmaceuticals, such as, PYLARIFY, historically would not have been separately reimbursed in the hospital outpatient setting but rather would be bundled into the facility payment a hospital receives for a PET/CT imaging procedure, and the facility payment may not have adequately covered the total cost of the procedure with the diagnostic radiopharmaceutical for all hospitals. In November 2024, the Centers for Medicare and Medicaid Services (“CMS”) released the final rule for its calendar year 2025 Medicare Hospital Outpatient Prospective Payment System (the “CMS 2025 OPPS Rule”). The CMS 2025 OPPS Rule became effective on January 1, 2025</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pursuant to which previously packaged diagnostic radiopharmaceuticals are now “unbundled” with payments being made separately for any diagnostic radiopharmaceutical with a per day cost greater than $630 based on their mean unit cost (“MUC”). For approximately 20% of traditional Medicare fee-for-service (“FFS”) patients in the hospital outpatient setting, these changes enable hospitals that use innovative diagnostic radiopharmaceuticals, including PYLARIFY, to continue to be paid separately by CMS following the expiry of TPT Status at a rate that reflects MUC. The calendar year 2025 payment rate for PYLARIFY is based on MUC and is less than the Average Sales Price (“ASP”)-based amount that was paid during TPT Status. Although PYLARIFY continues to be paid separately, other competitive PSMA PET imaging agents continue to have TPT Status after December 31, 2024 and hospital use of those products, for the approximately 20% of traditional Medicare FFS patients in the hospital outpatient setting, generally will be paid separately based on ASP plus six percent rather than on MUC. In July 2025, CMS released the proposed rule for its calendar year 2026 Medicare Hospital Outpatient Prospective Payment System (the “CMS 2026 Proposed OPPS Rule”). In the CMS 2026 Proposed OPPS Rule, CMS stated that it continues to believe ASP data available from manufacturers generally is insufficient as a basis for determining payment and that it is seeking comments on how CMS can ensure more consistent, validated, and universal reporting. We have reported and continue to report ASP for PYLARIFY, have engaged with CMS on the methodology for reporting ASP, and we will continue to work with coalition partners and CMS to support using ASP to calculate payment for diagnostic radiopharmaceuticals in future years similar to the way Medicare Outpatient Prospective Payment System (“OPPS”) currently pays for other drugs, biologics, and therapeutic radiopharmaceuticals. However, we can give no assurances that we will be successful in those efforts or that the availability of TPT Status for other diagnostic radiopharmaceuticals will not continue to impact clinical decision making regarding which product to use for all patient populations, which could have an adverse effect on our business, results of operations, financial condition and cash flows.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Growth of PYLARIFY is also dependent on our ability to promote PYLARIFY to customers, to clinically and commercially differentiate PYLARIFY from other products on the market, to enter into and realize the benefits of strategic contracts with customers and to maintain PYLARIFY as the most utilized PSMA PET imaging agent in an increasingly competitive environment in which other PSMA PET imaging agents have been approved, for which discounts related to those other agents have been offered to customers and for which TPT Status may be available. PYLARIFY currently competes with three commercially available Ga-68-based PSMA PET imaging agents, two from Telix Pharmaceuticals Limited and one from Novartis AG and an F-18 PSMA PET imaging agent from Blue Earth Diagnostics Ltd. (“Blue Earth”), as well as other non-PSMA PET imaging agents. The potential for future generic entrants to the market due to the expiry of PYLARIFY’s new chemical entity exclusivity period in 2026 could also generate increased competition for PYLARIFY. Growth and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a potential economic difference that could result for the approximately 20% of traditional Medicare FFS patients in the hospital outpatient setting based on the CMS 2025 OPPS Rule, including through flexible and dependable access to PYLARIFY nationally, a best-in-class customer experience and continued promotion and education regarding PYLARIFY’s clinical and commercial attributes. Our ability to negotiate and realize the benefits from strategic contracts is also key to our ability to maintain and expand market share. Despite these efforts, we have seen net price compression and lost market share to certain competitors that have later approved products with TPT Status at a time when PYLARIFY’s TPT Status has expired, and we may experience further net price compression or lose market share to future competitive products due to reimbursement status as well as due to the impact of any potential generic entrant to the market. Such loss of market share could have an adverse impact on our business, results of operations, financial condition and cash flows.</w:t>
      </w:r>
    </w:p>
    <w:p>
      <w:pPr>
        <w:spacing w:after="0" w:line="8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success in growing PYLARIFY also depends, in part, on our successfully establishing the use of PYLARIFY for new patient populations, such as patients with favorable intermediate-risk prostate cancer, and potentially for updates to the label, including for patient selection for PSMA-targeted therapeutics. For example, we are conducting a clinical trial to determine whether PYLARIFY can detect the presence or absence of additional prostate cancer lesions in patients with favorable intermediate-risk prostate cancer, as well as how it may change the patient’s intended management, but cannot predict whether the outcome of this clinical trial will support such a use of PYLARIFY. Similarly, we believe the approval of PLUVICTO for the treatment of adult patients with PSMA-positive metastatic castration-resistant prostate cancer (“mCRPC”) created a new addressable market for the use of PSMA PET imaging in patient selection for PSMA-targeted therapy. We can give no assurances as to how current clinical practice may evolve. To the extent we are unsuccessful in establishing the use of PYLARIFY in new patient populations, such lack of success could have an adverse impact on our business, results of operations, financial condition and cash flows.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Potential generic competitors may seek to enter the market as a result of regulatory exclusivity expiration of PYLARIFY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PYLARIFY currently has six Orange Book-listed patents, the last of which expires in 2037. PYLARIFY also holds a five-year new chemical entity (“NCE”) regulatory exclusivity, which expires on May 26, 2026. As described further under Part I, Item 1., </w:t>
      </w:r>
      <w:r>
        <w:rPr>
          <w:rFonts w:ascii="Times New Roman" w:cs="Times New Roman" w:eastAsia="Times New Roman" w:hAnsi="Times New Roman"/>
          <w:sz w:val="18"/>
          <w:szCs w:val="18"/>
          <w:i w:val="1"/>
          <w:iCs w:val="1"/>
          <w:color w:val="auto"/>
        </w:rPr>
        <w:t>“Business - Regulatory Matters-Hatch Waxman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our Annual Report on Form 10-K (“Form 10-K”) for the year ended December 31, 2024 filed with the Securities and Exchange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February 26, 2025, the FDA is allowed to accept an Abbreviated New Drug Application (“ANDA”) or 505(b)(2) application one year prior to the NCE expiration date under certain circumstances, specifically, from a generic challenger that includes a “Paragraph IV” Certification against each of the six patents we have listed in the Orange Book. If a Paragraph IV Certification is made, we could elect to pursue Hatch-Waxman litigation and trigger the 30-month stay described under Part I, Item 1</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 Intellectual Property Matters – Patent-related Aspects of Regulatory Matters,”</w:t>
      </w:r>
      <w:r>
        <w:rPr>
          <w:rFonts w:ascii="Times New Roman" w:cs="Times New Roman" w:eastAsia="Times New Roman" w:hAnsi="Times New Roman"/>
          <w:sz w:val="18"/>
          <w:szCs w:val="18"/>
          <w:color w:val="auto"/>
        </w:rPr>
        <w:t xml:space="preserve"> of our Form 10-K for the year ended December 31, 2024 filed with the SEC on February 26, 2025, during which period the FDA would be prohibited from granting full approval to the challenger’s application</w:t>
      </w:r>
      <w:r>
        <w:rPr>
          <w:rFonts w:ascii="Times New Roman" w:cs="Times New Roman" w:eastAsia="Times New Roman" w:hAnsi="Times New Roman"/>
          <w:sz w:val="18"/>
          <w:szCs w:val="18"/>
          <w:u w:val="single" w:color="auto"/>
          <w:color w:val="008080"/>
        </w:rPr>
        <w:t>.</w:t>
      </w:r>
      <w:r>
        <w:rPr>
          <w:rFonts w:ascii="Times New Roman" w:cs="Times New Roman" w:eastAsia="Times New Roman" w:hAnsi="Times New Roman"/>
          <w:sz w:val="18"/>
          <w:szCs w:val="18"/>
          <w:color w:val="auto"/>
        </w:rPr>
        <w:t xml:space="preserve"> As of the date of filing of this Form 10-Q, we have not received any notice of a Paragraph IV Certification, but we can give no assurance that we will not receive notice of a Paragraph IV Certification in the future. If an ANDA or 505(b)(2) applicant were to file prior to the expiration of our NCE regulatory exclusivity, and we were to timely sue pursuant to the Hatch-Waxman Act, then the automatic stay of FDA approval could run until November 26, 2028, calculated as 30 months from the NCE expiration date (May 26, 2026), unless prior to such date the generic challenger successfully invalidates or proves non-infringement of all six Orange Book-listed patents or the lawsuit is otherwise settled. If litigation is ongoing in November 2028, then any generic launch would be at risk of the litigation determining that the generic challenger was infringing one or more of our patents Patent litigation is complex and can be protracted and expensive, so if we were to receive such a notice and to challenge the applicant, this could have a negative effect on our business, results of operations and financial condition.</w:t>
      </w:r>
    </w:p>
    <w:p>
      <w:pPr>
        <w:spacing w:after="0" w:line="83"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investments we have made to develop our new formulation of our PSMA PET Imaging Agent.</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6, 2025, we announced that the FDA had accepted our New Drug Application (“NDA”) for a new formulation of our F-18 PSMA PET imaging agent, filed by our affiliate Aphelion, and that the FDA set an action date goal of March 6, 2026 under the Prescription Drug User Fee Act (“PDUFA”). The new formulation was designed to optimize the manufacturing process and increase batch size of the F-18 PSMA PET imaging agent by approximately 50%. If the NDA is approved, we plan to work closely with clinicians and PMF sites to ensure a smooth rollout of the new formulation, including providing clear guidance on ordering, handling, and clinical use to support continuity of care for patients, and we plan to apply for CMS reimbursement for the new formulation, including obtaining three years of TPT Status; however, we can provide no assurance that the new formulation will be approved by the FDA, that we will meet our timeline for our planned rollout, or that we will obtain TPT Status.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Reimbursement and Regulation</w:t>
      </w:r>
    </w:p>
    <w:p>
      <w:pPr>
        <w:spacing w:after="0" w:line="333" w:lineRule="exact"/>
        <w:rPr>
          <w:sz w:val="20"/>
          <w:szCs w:val="20"/>
          <w:color w:val="auto"/>
        </w:rPr>
      </w:pPr>
    </w:p>
    <w:p>
      <w:pPr>
        <w:ind w:right="60"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Reforms to the U.S. healthcare system, including changes to policies, guidelines and practices of regulatory authorities, may adversely affect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patient volume is derived from U.S. government healthcare programs, principally Medicare, which are highly regulated and subject to frequent and substantial changes. The Patient Protection and Affordable Care Act, as amended by the Health Care and Education Reconciliation Act (collectively, the “Healthcare Reform Act”) substantially changed the way healthcare is financed by both governmental and private insurers. The law contains a number of provisions that affect coverage and reimbursement of drug products and medical imaging procedures performed in the U.S. Subsequently, the Medicare Access and CHIP Reauthorization Act of 2015 significantly revised the methodology for updating the Medicare physician fee schedule. In 2017, Congress enacted legislation that effectively eliminated the Healthcare Reform Act's “individual mandate” beginning in 2019. On July 4, 2025, President Trump signed into law the One Big Beautiful Bill Act (the “OBBBA”), which will reduce existing patient coverage under Medicaid. The expiration of certain subsidies for Marketplace coverage currently in place under the Healthcare Reform Act at the end of 2025 may also cause material coverage losses. The OBBBA further restricts Medicaid financing, which will decrease federal funds available to state Medicaid agencies and may result in reduced state Medicaid agency reimbursement rates.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29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fiscal year 2030. The imposition of the 2% payment adjustment had been suspended through March 31, 2022 and went into effect as of April 1, 2022. The Congressional Budget Office estimates that, absent future action, the OBBBA will lead to $490 billion in Medicare cuts from 2027 to 2034.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changes in payor mix and reimbursement by private third-party payors may also affect our business. Rates paid by some private third-party payors are based, in part, on established physician, clinic and hospital charges and are generally higher than Medicare payment rates. Reductions in the amount of reimbursement paid for diagnostic medical imaging procedures, including the elimination of any additional payment such as TPT Status,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full impact on our business of healthcare reforms and other new laws, or changes in existing laws, the interpretations of those laws, or changes to the way regulations and regulatory guidance has been implemented, amended and interpreted, is uncertain. Nor is it clear whether additional legislative or executive branch changes will be adopted or how those changes would affect our industry in general or our ability to successfully commercialize our products or develop or commercialize new products. For example, recent government actions, including reductions in staff and department reorganizations, including those at the FDA, could adversely affect the timing of anticipated regulatory actions or their outcome, and could change historical practices relating to the application or interpretation of regulations relevant to our operations in ways that could have an adverse effect on our business. It is unclear exactly how changes implemented by the U.S. Government will affect the U.S. healthcare system, and what impact this will have on our business. If the reforms made by the OBBBA are implemented and result in predicted coverage losses, these changes could reduce the overall number of diagnostic medical imaging procedures performed, reduce reimbursement rates, or both.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Operations and Financial Results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prevailing economic conditions and financial, business and other factors beyond our control.</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ability to attract and retain employees and customers, to invest in and grow our business, to maintain our desired levels of costs of goods sold and operating expenses and to meet our financial obligations depends on our operating and financial performance, which, in turn, is subject to numerous factors, including the prevailing economic conditions, changes to financial, business and regulatory expectations, and other factors beyond our control, such as the rate of unemployment, the number of uninsured persons in the U.S., inflationary pressures, escalating prices, including those that may occur as a result of tariff policies. We cannot anticipate all the ways in which the current or future economic climate, financial market conditions and government actions could adversely impact our business. We are exposed to risks associated with reduced profitability and the potential financial instability of our customers, many of which may be adversely affected by conditions in the financial markets. For example, unemployment and underemployment, and the resultant loss of insurance, may decrease the demand for healthcare services and pharmaceuticals, including our products. If fewer patients are seeking medical care because they do not have insurance coverage, our customers may experience reductions in revenues, profitability and/or cash flow that could lead them to modify, delay or cancel orders for our products or seek lower cost alternatives to our products where available. If customers are not successful in generating sufficient revenue, are precluded from securing financing from the financial markets, or lose or cannot secure funding from the government, they may not be able to pay, or may delay payment of, accounts receivable that are owed to us. Research programs that could benefit from our investigational or commercial products may slow or be discontinued if funding cannot be secured or is withdrawn, which could delay when the results of such research becomes available and when or how often our products are purchased by third parties for use in their research programs. This, in turn, could adversely affect our financial condition and liquidity. To the extent prevailing economic conditions result in fewer procedures being performed or fewer research programs being completed, our business, results of operations, financial condition and cash flows could be adversely affected.</w:t>
      </w:r>
    </w:p>
    <w:p>
      <w:pPr>
        <w:spacing w:after="0" w:line="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we would expect our costs of goods sold and other operating expenses to change in the future in line with periodic inflationary changes.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contract services, and transportation costs, which could increase our level of expenses and the rate at which we use our resources. Similarly, our operations and supply chain may subject us to tariffs and trade policies. For example, the U.S. government has increased, and has indicated a willingness to continue to increase, the use of tariffs by the United States. Such tariffs and any countermeasures taken by other countries could increase the cost of raw materials, components and equipment necessary for our operations, disrupt our global supply chain, create additional operational challenges or adversely impact our customers and business partners. While we generally believe that we will be able to offset the effect of inflationary and other changes by adjusting our product prices and implementing operating efficiencies, any material unfavorable changes in our costs of goods sold or other operating expenses, including from tariffs, could have a material adverse effect on our financial condition, results of operations and cash flows.</w:t>
      </w:r>
    </w:p>
    <w:p>
      <w:pPr>
        <w:spacing w:after="0" w:line="190" w:lineRule="exact"/>
        <w:rPr>
          <w:sz w:val="20"/>
          <w:szCs w:val="20"/>
          <w:color w:val="auto"/>
        </w:rPr>
      </w:pPr>
    </w:p>
    <w:p>
      <w:pPr>
        <w:jc w:val="both"/>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interruption in our ability to fulfill our obligations as a service provider or supplier to third parties, either through our contract development and manufacturing operations and/or in supplying our investigational products in support of research programs being conducted by third parties, may adversely affect our reputation and business.</w:t>
      </w:r>
    </w:p>
    <w:p>
      <w:pPr>
        <w:spacing w:after="0" w:line="6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obligations to perform development and manufacturing services for third parties that have contracted with Evergreen for these services. These services are conducted out of a single location. Any disruption in our operations, any failure to timely and cost-effectively secure necessary personnel, components or materials, any failure to comply with the stringent regulations and requirements of the FDA and other regulatory authorities regarding the manufacture and development of radiopharmaceutical products, may cause us to fail to meet our contractual obligations and may adversely affect our business.</w:t>
      </w:r>
    </w:p>
    <w:p>
      <w:pPr>
        <w:spacing w:after="0" w:line="183" w:lineRule="exact"/>
        <w:rPr>
          <w:sz w:val="20"/>
          <w:szCs w:val="20"/>
          <w:color w:val="auto"/>
        </w:rPr>
      </w:pPr>
    </w:p>
    <w:p>
      <w:pPr>
        <w:jc w:val="both"/>
        <w:ind w:right="40" w:firstLine="509"/>
        <w:spacing w:after="0" w:line="256" w:lineRule="auto"/>
        <w:rPr>
          <w:sz w:val="20"/>
          <w:szCs w:val="20"/>
          <w:color w:val="auto"/>
        </w:rPr>
      </w:pPr>
      <w:r>
        <w:rPr>
          <w:rFonts w:ascii="Times New Roman" w:cs="Times New Roman" w:eastAsia="Times New Roman" w:hAnsi="Times New Roman"/>
          <w:sz w:val="18"/>
          <w:szCs w:val="18"/>
          <w:color w:val="auto"/>
        </w:rPr>
        <w:t>We also have contractual commitments to supply our investigational products and certain of our commercial products to third parties as part of their own research programs. Our ability to supply these products may depend upon the ability of PMFs to manufacture the products to meet the requirements of each research program, including that the product be available at the specific time of day required by the third party’s research protocol, which may include locations both within and outside of the United States. We may have limited alternative PMF facilities in certain locations in the event one or more facility is unable to timely manufacture and supply the relevant products, and it may not be possible to timely manufacture the relevant products at required levels or at all, which may cause us to fail to meet our contractual obligations and may adversely affect our business.</w:t>
      </w:r>
    </w:p>
    <w:p>
      <w:pPr>
        <w:spacing w:after="0" w:line="183"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recent acquisitions, dispositions and other future strategic transactions may disrupt our ongoing business and create distractions for our management. Additionally, the risks related to these transactions, including the risk that we are unable to successfully integrate acquired businesses into our operations, the risk that we are unable to complete dispositions on the proposed terms or on the anticipated timeline, or at all, or are unable to realize the anticipated benefits that each transaction is predicted to bring, could adversely affect our business, financial condition or results of operations.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businesses, such as our recent acquisitions of Life Molecular Imaging Ltd. (“Life Molecular”) in July 2025 and Evergreen Theragnostics, Inc. (“Evergreen”) in April 2025. In addition, as part of our broader strategy, in May 2025, we announced that we had entered into a definitive agreement to sell our single-photon emission computerized tomography (“SPECT”) business to SHINE Technologies, LLC (“SHINE”). These transactions, in addition to advancing our existing pipeline and focusing our operations, create multiple competing interests that are complex and time-consuming, which may distract our management and disrupt our ongoing business.</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completed and any potential future acquisitions involve numerous risks and operational, financial, and managerial challenges, including the following, any of which could adversely affect our business, financial condition, or results of operations:</w:t>
      </w:r>
    </w:p>
    <w:p>
      <w:pPr>
        <w:spacing w:after="0" w:line="54" w:lineRule="exact"/>
        <w:rPr>
          <w:sz w:val="20"/>
          <w:szCs w:val="20"/>
          <w:color w:val="auto"/>
        </w:rPr>
      </w:pPr>
    </w:p>
    <w:p>
      <w:pPr>
        <w:ind w:left="1020" w:right="4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or consolidating geographically separate organizations and integrating personnel with different business backgrounds and corporate cultures;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previously autonomous departments, including those in accounting and administrative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information and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our acquisition activity and the related diversion of already limited resources and management and other personnel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new operations, technologies, products,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standards, controls, procedures,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synergies, if synergies are anticipated, or the inability to realize expected synergies and cost-savings;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any acquired technology, product candidate, or business relative to our expectations and the price we paid;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risks of entering markets or types of businesses in which we have limited or no direct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and strategic partners of acquired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research and development, manufacturing, sales and marketing, finance, legal, and information technologies. There can be no assurance that any of our acquisitions will be successful or will be, or will become or remain, profitable. Our failure to successfully address the foregoing risks may prevent us from achieving the anticipated benefits from any acquisition in a reasonable time frame, or at all.</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 the pending disposition of our SPECT business to SHINE is subject to customary closing conditions. Such closing conditions may be time consuming, and we may not be able to complete the disposition on the proposed terms or in the anticipated timeline, or at all. Additionally, there may be unforeseen expenses related to this divestiture, or we may fail to realize the expected benefits of this transaction.</w:t>
      </w:r>
    </w:p>
    <w:p>
      <w:pPr>
        <w:spacing w:after="0" w:line="172"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Life Molecular’s Alzheimer’s disease radiodiagnostic commercial infrastructure and grow the appropriate use of Neuraceq to detect beta-amyloid plaques in patients evaluated for Alzheimer’s disease.</w:t>
      </w:r>
    </w:p>
    <w:p>
      <w:pPr>
        <w:spacing w:after="0" w:line="5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completed our acquisition of Life Molecular on July 21, 2025, which included the acquisition of Neuraceq, a globally approved F-18 PET imaging agent used to detect beta-amyloid plaques in patients evaluated for Alzheimer’s disease, as well as the addition of an Alzheimer’s disease radiodiagnostic commercial infrastructure, advanced research and development capabilities, and an established international footprint.</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continue to grow Neuraceq sales, which depend, in part, on the expansion of the Alzheimer’s disease therapeutic market, our ability to integrate Life Molecular’s commercial infrastructure, our ability to expand the PMF network where Neuraceq is currently produced in the U.S. and our ability to leverage both the PMF network in place for PYLARIFY in the U.S. and the network in place for Neuraceq to optimize the availability of both products across the U.S., we may not be able to continue to grow the revenue and cash flow of our business, which could have a negative effect on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Capital Structure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Repurchases by us of our common stock may affect the value of our common stock.</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from time to time engaged in repurchase programs of our common stock. In July 2025, our Board of Directors (the “Board”) authorized a program to repurchase up to $400.0 million of shares of our common stock through December 31, 2027, via open market purchases,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Such repurchases could increase, or prevent a decrease in, the market price of our common stock, although there can be no assurance that an increase, or prevention of a decrease, would occur, and stockholders could prefer that we allocate our capital in a different manner, which could negatively impact the market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three months ended June 30, 2025. In November 2024, our Board of Directors (“Board”) authorized a program to repurchase up to $250 million of our common stock (the “2024 Program”). Such repurchases may be made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actual timing, number and dollar amount of repurchase transactions will be determined by our management, in its discretion and will depend on a number of factors, including but not limited to, the market price of our common stock.</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2015 Equity Incentive Plan, adopted by us on June 24, 2015, as amended on April 26, 2016 and as further amended on April 27, 2017, April 24, 2019, April 28, 2021, April 28, 2022, April 25, 2024, October 22, 2024 and April 28, 2025 (the “2015 Plan”), provides for the withholding of shares to satisfy tax withholding obligations and the exercise price of stock options. It does not specify a maximum number of shares that can be withheld for this purpose. The shares of common stock withheld to satisfy tax withholding obligations may be deemed to be “issuer purchases” of shares that are required to be disclosed pursuant to this Item 2.</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the 2024</w:t>
            </w:r>
          </w:p>
        </w:tc>
        <w:tc>
          <w:tcPr>
            <w:tcW w:w="28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5"/>
        </w:trPr>
        <w:tc>
          <w:tcPr>
            <w:tcW w:w="2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bottom w:val="single" w:sz="8" w:color="auto"/>
            </w:tcBorders>
          </w:tcPr>
          <w:p>
            <w:pPr>
              <w:jc w:val="right"/>
              <w:ind w:right="262"/>
              <w:spacing w:after="0" w:line="175"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5"/>
                <w:szCs w:val="15"/>
                <w:color w:val="auto"/>
              </w:rPr>
            </w:pPr>
          </w:p>
        </w:tc>
        <w:tc>
          <w:tcPr>
            <w:tcW w:w="1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Program</w:t>
            </w:r>
            <w:r>
              <w:rPr>
                <w:rFonts w:ascii="Times New Roman" w:cs="Times New Roman" w:eastAsia="Times New Roman" w:hAnsi="Times New Roman"/>
                <w:sz w:val="19"/>
                <w:szCs w:val="19"/>
                <w:b w:val="1"/>
                <w:bCs w:val="1"/>
                <w:color w:val="auto"/>
                <w:w w:val="99"/>
                <w:vertAlign w:val="superscript"/>
              </w:rPr>
              <w:t>(2)</w:t>
            </w:r>
          </w:p>
        </w:tc>
        <w:tc>
          <w:tcPr>
            <w:tcW w:w="280" w:type="dxa"/>
            <w:vAlign w:val="bottom"/>
          </w:tcPr>
          <w:p>
            <w:pPr>
              <w:spacing w:after="0"/>
              <w:rPr>
                <w:sz w:val="15"/>
                <w:szCs w:val="15"/>
                <w:color w:val="auto"/>
              </w:rPr>
            </w:pPr>
          </w:p>
        </w:tc>
        <w:tc>
          <w:tcPr>
            <w:tcW w:w="1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the 2024 Program</w:t>
            </w:r>
            <w:r>
              <w:rPr>
                <w:rFonts w:ascii="Times New Roman" w:cs="Times New Roman" w:eastAsia="Times New Roman" w:hAnsi="Times New Roman"/>
                <w:sz w:val="19"/>
                <w:szCs w:val="19"/>
                <w:b w:val="1"/>
                <w:bCs w:val="1"/>
                <w:color w:val="auto"/>
                <w:w w:val="99"/>
                <w:vertAlign w:val="superscript"/>
              </w:rPr>
              <w:t>(2)</w:t>
            </w:r>
          </w:p>
        </w:tc>
        <w:tc>
          <w:tcPr>
            <w:tcW w:w="0" w:type="dxa"/>
            <w:vAlign w:val="bottom"/>
          </w:tcPr>
          <w:p>
            <w:pPr>
              <w:spacing w:after="0"/>
              <w:rPr>
                <w:sz w:val="1"/>
                <w:szCs w:val="1"/>
                <w:color w:val="auto"/>
              </w:rPr>
            </w:pPr>
          </w:p>
        </w:tc>
      </w:tr>
      <w:tr>
        <w:trPr>
          <w:trHeight w:val="21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2025</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May 2025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1,262,751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1,259,865</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 million</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2025</w:t>
            </w:r>
          </w:p>
        </w:tc>
        <w:tc>
          <w:tcPr>
            <w:tcW w:w="1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2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$50.0 million</w:t>
            </w:r>
          </w:p>
        </w:tc>
        <w:tc>
          <w:tcPr>
            <w:tcW w:w="0" w:type="dxa"/>
            <w:vAlign w:val="bottom"/>
          </w:tcPr>
          <w:p>
            <w:pPr>
              <w:spacing w:after="0"/>
              <w:rPr>
                <w:sz w:val="1"/>
                <w:szCs w:val="1"/>
                <w:color w:val="auto"/>
              </w:rPr>
            </w:pPr>
          </w:p>
        </w:tc>
      </w:tr>
      <w:tr>
        <w:trPr>
          <w:trHeight w:val="210"/>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1,268,667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1,259,865</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 million</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-170815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85725</wp:posOffset>
            </wp:positionV>
            <wp:extent cx="5740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55" w:lineRule="exact"/>
        <w:rPr>
          <w:sz w:val="20"/>
          <w:szCs w:val="20"/>
          <w:color w:val="auto"/>
        </w:rPr>
      </w:pPr>
    </w:p>
    <w:p>
      <w:pPr>
        <w:ind w:left="1120" w:right="100" w:hanging="513"/>
        <w:spacing w:after="0" w:line="269" w:lineRule="auto"/>
        <w:tabs>
          <w:tab w:leader="none" w:pos="11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withheld to satisfy tax withholding amounts due from employees related to the receipt of stock which resulted from the exercise or vesting of equity awards.</w:t>
      </w:r>
    </w:p>
    <w:p>
      <w:pPr>
        <w:ind w:left="1120" w:hanging="513"/>
        <w:spacing w:after="0"/>
        <w:tabs>
          <w:tab w:leader="none" w:pos="11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our common stock repurchased under the 2024 Program, which expires in November 2025.</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Operations-Liquidity and Capital Resources-External Sources of Liquidity” </w:t>
      </w:r>
      <w:r>
        <w:rPr>
          <w:rFonts w:ascii="Times New Roman" w:cs="Times New Roman" w:eastAsia="Times New Roman" w:hAnsi="Times New Roman"/>
          <w:sz w:val="18"/>
          <w:szCs w:val="18"/>
          <w:color w:val="auto"/>
        </w:rPr>
        <w:t>of this Form 10-Q for further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none of our directors or officers (as defined in Rule 16a-1(f) of the Securities Exchange Act of 1934, as amended) adopted, modified, or terminated a Rule 10b5-1 trading arrangement.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380" w:type="dxa"/>
            <w:vAlign w:val="bottom"/>
            <w:gridSpan w:val="7"/>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73"/>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80" w:type="dxa"/>
            <w:vAlign w:val="bottom"/>
            <w:gridSpan w:val="7"/>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69"/>
        </w:trPr>
        <w:tc>
          <w:tcPr>
            <w:tcW w:w="11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4"/>
                <w:szCs w:val="14"/>
                <w:color w:val="auto"/>
              </w:rPr>
            </w:pPr>
          </w:p>
        </w:tc>
        <w:tc>
          <w:tcPr>
            <w:tcW w:w="5620" w:type="dxa"/>
            <w:vAlign w:val="bottom"/>
            <w:tcBorders>
              <w:top w:val="single" w:sz="8" w:color="auto"/>
            </w:tcBorders>
            <w:gridSpan w:val="7"/>
          </w:tcPr>
          <w:p>
            <w:pPr>
              <w:spacing w:after="0" w:line="169"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Amended and Rested Bylaws of Lantheus Holdings, Inc.</w:t>
              </w:r>
            </w:hyperlink>
          </w:p>
        </w:tc>
        <w:tc>
          <w:tcPr>
            <w:tcW w:w="18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001-36569</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ind w:right="359"/>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May 5, 2025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Ninth Amendment to Lantheus Holdings, Inc. 2015 Equity Incentive Plan</w:t>
            </w:r>
          </w:p>
        </w:tc>
        <w:tc>
          <w:tcPr>
            <w:tcW w:w="48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5"/>
                <w:szCs w:val="15"/>
                <w:color w:val="auto"/>
              </w:rPr>
            </w:pPr>
          </w:p>
        </w:tc>
        <w:tc>
          <w:tcPr>
            <w:tcW w:w="5540" w:type="dxa"/>
            <w:vAlign w:val="bottom"/>
            <w:tcBorders>
              <w:bottom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w:t>
            </w:r>
          </w:p>
        </w:tc>
        <w:tc>
          <w:tcPr>
            <w:tcW w:w="2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14(a).</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shd w:val="clear" w:color="auto" w:fill="CCEEFF"/>
          </w:tcPr>
          <w:p>
            <w:pPr>
              <w:spacing w:after="0"/>
              <w:rPr>
                <w:sz w:val="15"/>
                <w:szCs w:val="15"/>
                <w:color w:val="auto"/>
              </w:rPr>
            </w:pPr>
          </w:p>
        </w:tc>
        <w:tc>
          <w:tcPr>
            <w:tcW w:w="5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80" w:type="dxa"/>
            <w:vAlign w:val="bottom"/>
            <w:tcBorders>
              <w:top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14(a).</w:t>
            </w:r>
          </w:p>
        </w:tc>
        <w:tc>
          <w:tcPr>
            <w:tcW w:w="320" w:type="dxa"/>
            <w:vAlign w:val="bottom"/>
            <w:tcBorders>
              <w:top w:val="single" w:sz="8" w:color="CCEEFF"/>
            </w:tcBorders>
            <w:gridSpan w:val="3"/>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58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Certification pursuant to 18 U.S.C. Section 1350.</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7"/>
                <w:szCs w:val="17"/>
                <w:color w:val="auto"/>
              </w:rPr>
            </w:pPr>
          </w:p>
        </w:tc>
        <w:tc>
          <w:tcPr>
            <w:tcW w:w="580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580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shd w:val="clear" w:color="auto" w:fill="CCEEFF"/>
          </w:tcPr>
          <w:p>
            <w:pPr>
              <w:spacing w:after="0"/>
              <w:rPr>
                <w:sz w:val="17"/>
                <w:szCs w:val="17"/>
                <w:color w:val="auto"/>
              </w:rPr>
            </w:pPr>
          </w:p>
        </w:tc>
        <w:tc>
          <w:tcPr>
            <w:tcW w:w="580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BRIAN MARKISON</w:t>
            </w: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Brian Markison</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18"/>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6, 2025</w:t>
            </w: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HOLDINGS,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18"/>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6, 2025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Amendment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2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the Lantheus Holdings, Inc. 2015 Equity Incentive Plan, as in effect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is dated as of April 28, 2025.</w:t>
      </w:r>
    </w:p>
    <w:p>
      <w:pPr>
        <w:spacing w:after="0" w:line="15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WHEREAS, pursuant to Section 16.2 of the Plan, the Talent and Compensation Committee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desires to amend Section 16.2 of the Plan to clarify the effect of certain amendments to the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it is hereby acknowledged and agreed that:</w:t>
      </w:r>
    </w:p>
    <w:p>
      <w:pPr>
        <w:spacing w:after="0" w:line="129" w:lineRule="exact"/>
        <w:rPr>
          <w:sz w:val="20"/>
          <w:szCs w:val="20"/>
          <w:color w:val="auto"/>
        </w:rPr>
      </w:pPr>
    </w:p>
    <w:p>
      <w:pPr>
        <w:ind w:left="860" w:hanging="373"/>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Capitalized terms used herein, but not otherwise defined herein, have their respective meanings ascribed to them in the Plan.</w:t>
      </w:r>
    </w:p>
    <w:p>
      <w:pPr>
        <w:spacing w:after="0" w:line="130"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Section 16.2 of the Plan shall be, and is, hereby amended and restated in its entirety as follows:</w:t>
      </w:r>
    </w:p>
    <w:p>
      <w:pPr>
        <w:spacing w:after="0" w:line="117" w:lineRule="exact"/>
        <w:rPr>
          <w:sz w:val="20"/>
          <w:szCs w:val="20"/>
          <w:color w:val="auto"/>
        </w:rPr>
      </w:pPr>
    </w:p>
    <w:p>
      <w:pPr>
        <w:ind w:left="760" w:right="100"/>
        <w:spacing w:after="0" w:line="25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Committee may from time to time and in any respect, amend, modify, suspend or terminate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except as provided in Section 15.8, Section 15.20 or as otherwise determined by the Committee as it deems necessary to comply with applicable laws, no amendment, modification, suspension or termination of the Plan shall adversely affect any Award theretofore granted without the consent of the Participant or the permitted transferee of the Award; and provided, further, that the adoption by the Committee of any increase in the maximum number of shares of Common Stock reserved for issuance under the Plan shall be deemed the adoption of a new plan for purposes of Section 6.7(e). The Committee may seek the approval of any amendment, modification, suspension or termination by the Company’s stockholders to the extent it deems necessary or advisable in its discretion for purposes of compliance with Section 162(m) or Section 422 of the Code, the listing requirements of The NASDAQ Global Market or other exchange or securities market or for any other purpose.</w:t>
      </w:r>
    </w:p>
    <w:p>
      <w:pPr>
        <w:spacing w:after="0" w:line="94" w:lineRule="exact"/>
        <w:rPr>
          <w:sz w:val="20"/>
          <w:szCs w:val="20"/>
          <w:color w:val="auto"/>
        </w:rPr>
      </w:pPr>
    </w:p>
    <w:p>
      <w:pPr>
        <w:ind w:left="760" w:right="640" w:hanging="280"/>
        <w:spacing w:after="0" w:line="284" w:lineRule="auto"/>
        <w:tabs>
          <w:tab w:leader="none" w:pos="8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 to and Effect on the Plan</w:t>
      </w:r>
      <w:r>
        <w:rPr>
          <w:rFonts w:ascii="Times New Roman" w:cs="Times New Roman" w:eastAsia="Times New Roman" w:hAnsi="Times New Roman"/>
          <w:sz w:val="18"/>
          <w:szCs w:val="18"/>
          <w:color w:val="auto"/>
        </w:rPr>
        <w:t>. Except as specifically amended hereby, the Plan shall remain in full force and effect and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unmodified. All references in the Plan to the “Plan” shall mean the Plan as amended hereby.</w:t>
      </w:r>
    </w:p>
    <w:p>
      <w:pPr>
        <w:spacing w:after="0" w:line="63"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This Amendment is effective as of the date first written above.</w:t>
      </w:r>
    </w:p>
    <w:p>
      <w:pPr>
        <w:spacing w:after="0" w:line="223"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Markison, certify that:</w:t>
      </w:r>
    </w:p>
    <w:p>
      <w:pPr>
        <w:spacing w:after="0" w:line="117"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8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5490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84" w:lineRule="exact"/>
        <w:rPr>
          <w:sz w:val="20"/>
          <w:szCs w:val="20"/>
          <w:color w:val="auto"/>
        </w:rPr>
      </w:pPr>
    </w:p>
    <w:p>
      <w:pPr>
        <w:ind w:left="380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Brian Markison</w:t>
      </w:r>
    </w:p>
    <w:p>
      <w:pPr>
        <w:spacing w:after="0" w:line="102" w:lineRule="exact"/>
        <w:rPr>
          <w:sz w:val="20"/>
          <w:szCs w:val="20"/>
          <w:color w:val="auto"/>
        </w:rPr>
      </w:pPr>
    </w:p>
    <w:p>
      <w:pPr>
        <w:ind w:left="380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1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Marshall, Jr., certify that:</w:t>
      </w:r>
    </w:p>
    <w:p>
      <w:pPr>
        <w:spacing w:after="0" w:line="117"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8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0" w:lineRule="exact"/>
        <w:rPr>
          <w:sz w:val="20"/>
          <w:szCs w:val="20"/>
          <w:color w:val="auto"/>
        </w:rPr>
      </w:pPr>
    </w:p>
    <w:p>
      <w:pPr>
        <w:ind w:left="4680"/>
        <w:spacing w:after="0"/>
        <w:tabs>
          <w:tab w:leader="none" w:pos="5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115" w:lineRule="exact"/>
        <w:rPr>
          <w:sz w:val="20"/>
          <w:szCs w:val="20"/>
          <w:color w:val="auto"/>
        </w:rPr>
      </w:pPr>
    </w:p>
    <w:p>
      <w:pPr>
        <w:ind w:left="472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1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Brian Markison, the Chief Executive Officer, and Robert J. Marshall, Jr., the Chief Financial Officer, of Lantheus Holdings, Inc. (the “Company”), hereby certify, that, to their knowledge:</w:t>
      </w:r>
    </w:p>
    <w:p>
      <w:pPr>
        <w:spacing w:after="0" w:line="162" w:lineRule="exact"/>
        <w:rPr>
          <w:sz w:val="20"/>
          <w:szCs w:val="20"/>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2025 (the “Report”)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429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70" w:lineRule="exact"/>
        <w:rPr>
          <w:sz w:val="20"/>
          <w:szCs w:val="20"/>
          <w:color w:val="auto"/>
        </w:rPr>
      </w:pPr>
    </w:p>
    <w:p>
      <w:pPr>
        <w:ind w:left="43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Brian Markison</w:t>
      </w:r>
    </w:p>
    <w:p>
      <w:pPr>
        <w:spacing w:after="0" w:line="115" w:lineRule="exact"/>
        <w:rPr>
          <w:sz w:val="20"/>
          <w:szCs w:val="20"/>
          <w:color w:val="auto"/>
        </w:rPr>
      </w:pPr>
    </w:p>
    <w:p>
      <w:pPr>
        <w:ind w:left="440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1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429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84" w:lineRule="exact"/>
        <w:rPr>
          <w:sz w:val="20"/>
          <w:szCs w:val="20"/>
          <w:color w:val="auto"/>
        </w:rPr>
      </w:pPr>
    </w:p>
    <w:p>
      <w:pPr>
        <w:ind w:left="43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102" w:lineRule="exact"/>
        <w:rPr>
          <w:sz w:val="20"/>
          <w:szCs w:val="20"/>
          <w:color w:val="auto"/>
        </w:rPr>
      </w:pPr>
    </w:p>
    <w:p>
      <w:pPr>
        <w:ind w:left="440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1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2)"/>
      <w:numFmt w:val="decimal"/>
      <w:start w:val="1"/>
    </w:lvl>
  </w:abstractNum>
  <w:abstractNum w:abstractNumId="17">
    <w:nsid w:val="75A2A8D4"/>
    <w:multiLevelType w:val="hybridMultilevel"/>
    <w:lvl w:ilvl="0">
      <w:lvlJc w:val="left"/>
      <w:lvlText w:val="%1."/>
      <w:numFmt w:val="decimal"/>
      <w:start w:val="21"/>
    </w:lvl>
    <w:lvl w:ilvl="1">
      <w:lvlJc w:val="left"/>
      <w:lvlText w:val="%2"/>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3"/>
    </w:lvl>
    <w:lvl w:ilvl="1">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84" Type="http://schemas.openxmlformats.org/officeDocument/2006/relationships/hyperlink" Target="https://www.sec.gov/Archives/edgar/data/1521036/000119312525112812/d206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2025-08-06T06:54:40Z</dcterms:created>
  <dcterms:modified xsi:type="dcterms:W3CDTF">2025-08-06T06:54:40Z</dcterms:modified>
</cp:coreProperties>
</file>