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001-36569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35-2318913</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201 Burlington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South Building</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Bedford,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01730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671-8001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7, 2026, Lantheus Holdings, Inc. (the “Company”) announced via press release its financial results as of and for the three months ended March 31, 2026. A copy of that press release is being furnished as Exhibit 99.1 and is hereby incorporated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(the “Securities Act”),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3" w:lineRule="exact"/>
        <w:rPr>
          <w:sz w:val="20"/>
          <w:szCs w:val="20"/>
          <w:color w:val="auto"/>
        </w:rPr>
      </w:pPr>
    </w:p>
    <w:p>
      <w:pPr>
        <w:ind w:left="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0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74" w:lineRule="exact"/>
        <w:rPr>
          <w:sz w:val="20"/>
          <w:szCs w:val="20"/>
          <w:color w:val="auto"/>
        </w:rPr>
      </w:pPr>
    </w:p>
    <w:p>
      <w:pPr>
        <w:ind w:left="1200" w:right="740" w:hanging="87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Lantheus Holdings, Inc. dated May 7, 2026, entitled “Lantheus Reports First Quarter 2026 Financial Results and Provides Business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-185420</wp:posOffset>
            </wp:positionV>
            <wp:extent cx="5917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756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-48260</wp:posOffset>
            </wp:positionV>
            <wp:extent cx="1243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142" w:lineRule="exact"/>
        <w:rPr>
          <w:sz w:val="20"/>
          <w:szCs w:val="20"/>
          <w:color w:val="auto"/>
        </w:rPr>
      </w:pPr>
    </w:p>
    <w:p>
      <w:pPr>
        <w:ind w:left="1320" w:hanging="934"/>
        <w:spacing w:after="0"/>
        <w:tabs>
          <w:tab w:leader="none" w:pos="13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3" w:lineRule="exact"/>
        <w:rPr>
          <w:rFonts w:ascii="Times New Roman" w:cs="Times New Roman" w:eastAsia="Times New Roman" w:hAnsi="Times New Roman"/>
          <w:sz w:val="18"/>
          <w:szCs w:val="18"/>
          <w:color w:val="auto"/>
        </w:rPr>
      </w:pPr>
    </w:p>
    <w:p>
      <w:pPr>
        <w:ind w:left="520" w:right="100" w:hanging="46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Exhibits 99.1 attached hereto are being furnished and shall not be deemed “filed” for purposes of Section 18 of the Exchange Act, as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subject to the liabilities of that section, nor shall such information be deemed incorporated by reference in any filing under the Securities Act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51"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Daniel M. Niedzwiecki</w:t>
            </w:r>
          </w:p>
        </w:tc>
      </w:tr>
      <w:tr>
        <w:trPr>
          <w:trHeight w:val="48"/>
        </w:trPr>
        <w:tc>
          <w:tcPr>
            <w:tcW w:w="7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Daniel M. Niedzwiecki</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200025</wp:posOffset>
            </wp:positionV>
            <wp:extent cx="216852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Reports First Quarter 2026 Financial Results and Provides Business Update</w:t>
      </w:r>
    </w:p>
    <w:p>
      <w:pPr>
        <w:spacing w:after="0" w:line="200" w:lineRule="exact"/>
        <w:rPr>
          <w:sz w:val="20"/>
          <w:szCs w:val="20"/>
          <w:color w:val="auto"/>
        </w:rPr>
      </w:pPr>
    </w:p>
    <w:p>
      <w:pPr>
        <w:spacing w:after="0" w:line="24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start to the year with worldwide revenue of $377.3 million in the first quarter 2026</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fully diluted earnings per share of $1.80, compared to $1.02 in the first quarter of 2025</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fully diluted earnings per share of $1.46, compared to $1.53 in the first quarter of 2025</w:t>
      </w:r>
    </w:p>
    <w:p>
      <w:pPr>
        <w:spacing w:after="0" w:line="16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approves PYLARIFY TruVu</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(piflufolastat F18); phased geographic launch planned to begin in the fourth quarter of 2026</w:t>
      </w:r>
    </w:p>
    <w:p>
      <w:pPr>
        <w:spacing w:after="0" w:line="108" w:lineRule="exact"/>
        <w:rPr>
          <w:rFonts w:ascii="Times New Roman" w:cs="Times New Roman" w:eastAsia="Times New Roman" w:hAnsi="Times New Roman"/>
          <w:sz w:val="18"/>
          <w:szCs w:val="18"/>
          <w:color w:val="auto"/>
        </w:rPr>
      </w:pPr>
    </w:p>
    <w:p>
      <w:pPr>
        <w:ind w:left="760" w:right="14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tentative approval for Lutetium Lu 177 Dotatate (PNT2003); expected to be the first radioequivalent for the treatment of gastroenteropancreatic neuroendocrine tumors</w:t>
      </w:r>
    </w:p>
    <w:p>
      <w:pPr>
        <w:spacing w:after="0" w:line="8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Reaffirmed previously issued corporate guidance for full year 2026 revenue and adjusted fully diluted earnings per share</w:t>
      </w:r>
    </w:p>
    <w:p>
      <w:pPr>
        <w:spacing w:after="0" w:line="158"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BEDFORD, Mass., May 7, 2026 (GLOBE NEWSWIRE) -- Lantheus Holdings, Inc. (Lantheus or the Company) (NASDAQ: LNTH), the leading radiopharmaceutical-focused company committed to enabling clinicians to Find, Fight and Follow disease to deliver better patient outcomes, today reported financial results for its first quarter ended March 31, 2026.</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first quarter results demonstrate disciplined execution across the business, with strong performance from PYLARIFY, Neuraceq, and DEFINITY, and continued progress against the priorities that underpin our long-term strategy,” said Mary Anne Heino, Chief Executive Officer of Lantheus. “During the quarter, we secured FDA approval for PYLARIFY TruVu and achieved tentative approval for PNT2003. For the remainder of 2026, we are focused on sustaining our leadership in PSMA PET as we prepare for the PYLARIFY TruVu conversion later this year, expanding our Alzheimer’s imaging portfolio, and advancing our prioritized pipeline. At the same time, we will remain disciplined in our capital deployment, prioritizing radiodiagnostics while evaluating the best path to maximize value from our radiotherapeutic assets – all as we lay the groundwork for growth acceleration beginning in 2027.”</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Results</w:t>
      </w:r>
    </w:p>
    <w:p>
      <w:pPr>
        <w:spacing w:after="0" w:line="21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 unaudited)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Worldwide revenue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fully diluted earnings per share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fully diluted earnings per share (non-GAAP)</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w:t>
      </w:r>
    </w:p>
    <w:p>
      <w:pPr>
        <w:spacing w:after="0" w:line="22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revenue increased 1.2% to $377.3 million compared to the same period in 2025.</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PYLARIFY were $240.9 million, a decrease of 6.5%.</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Neuraceq were $35.4 million.</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DEFINITY were $84.6 million, an increase of 6.8%.</w:t>
      </w:r>
    </w:p>
    <w:p>
      <w:pPr>
        <w:spacing w:after="0" w:line="157" w:lineRule="exact"/>
        <w:rPr>
          <w:rFonts w:ascii="Times New Roman" w:cs="Times New Roman" w:eastAsia="Times New Roman" w:hAnsi="Times New Roman"/>
          <w:sz w:val="18"/>
          <w:szCs w:val="18"/>
          <w:color w:val="auto"/>
        </w:rPr>
      </w:pPr>
    </w:p>
    <w:p>
      <w:pPr>
        <w:jc w:val="center"/>
        <w:ind w:left="5180" w:right="1100" w:hanging="4798"/>
        <w:spacing w:after="0" w:line="485" w:lineRule="auto"/>
        <w:tabs>
          <w:tab w:leader="none" w:pos="7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20.3% to $81.3 million. Adjusted operating income (non-GAAP) decreased 10.5% to $129.1 million. 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 w:name="page5"/>
    <w:bookmarkEnd w:id="4"/>
    <w:p>
      <w:pPr>
        <w:ind w:left="760" w:right="6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earnings per share increased 76.5% to $1.80, compared to fully diluted earnings per share of $1.02 in the prior year period. Adjusted fully diluted earnings per share (non-GAAP) decreased 4.6% to $1.46, compared to $1.53 in the prior year period.</w:t>
      </w:r>
    </w:p>
    <w:p>
      <w:pPr>
        <w:spacing w:after="0" w:line="9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and free cash flow were $125.1 million and $121.9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229" w:lineRule="exact"/>
        <w:rPr>
          <w:sz w:val="20"/>
          <w:szCs w:val="20"/>
          <w:color w:val="auto"/>
        </w:rPr>
      </w:pPr>
    </w:p>
    <w:p>
      <w:pPr>
        <w:jc w:val="both"/>
        <w:ind w:left="760" w:right="40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the Company's cash and cash equivalents were $498.6 million, including proceeds of $31.4 million from the sale of the Company’s single-photon emission computerized tomography (“SPECT”) business to SHINE Technologies, LLC (“SHINE”) on January 1, 2026, compared to $359.1 million at December 31, 2025.</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has access to up to $750.0 million from a revolving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215" w:lineRule="exact"/>
        <w:rPr>
          <w:sz w:val="20"/>
          <w:szCs w:val="20"/>
          <w:color w:val="auto"/>
        </w:rPr>
      </w:pPr>
    </w:p>
    <w:p>
      <w:pPr>
        <w:ind w:left="760" w:right="20" w:hanging="378"/>
        <w:spacing w:after="0" w:line="235" w:lineRule="exact"/>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approval for PYLARIFY TruVu</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(piflufolastat F18), a new formulation of PYLARIFY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Company’s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leading PSMA PET imaging agent, designed to enhance manufacturing efficiency and supply flexibility; a phased geographic commercial launch is planned to begin in the fourth quarter of 2026 to align with coding, coverage, payment, and customer and PMF readiness.</w:t>
      </w:r>
    </w:p>
    <w:p>
      <w:pPr>
        <w:spacing w:after="0" w:line="119" w:lineRule="exact"/>
        <w:rPr>
          <w:rFonts w:ascii="Times New Roman" w:cs="Times New Roman" w:eastAsia="Times New Roman" w:hAnsi="Times New Roman"/>
          <w:sz w:val="18"/>
          <w:szCs w:val="18"/>
          <w:color w:val="auto"/>
        </w:rPr>
      </w:pPr>
    </w:p>
    <w:p>
      <w:pPr>
        <w:ind w:left="760" w:right="11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divestiture of the legacy SPECT business to SHINE (effective January 1, 2026), a decisive action taken to focus on PET radiodiagnostics and simplify the Company’s operating model. </w:t>
      </w:r>
    </w:p>
    <w:p>
      <w:pPr>
        <w:spacing w:after="0" w:line="94" w:lineRule="exact"/>
        <w:rPr>
          <w:rFonts w:ascii="Times New Roman" w:cs="Times New Roman" w:eastAsia="Times New Roman" w:hAnsi="Times New Roman"/>
          <w:sz w:val="18"/>
          <w:szCs w:val="18"/>
          <w:color w:val="auto"/>
        </w:rPr>
      </w:pPr>
    </w:p>
    <w:p>
      <w:pPr>
        <w:ind w:left="760" w:right="60" w:hanging="378"/>
        <w:spacing w:after="0" w:line="220" w:lineRule="exact"/>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FDA tentative approval for PNT2003, which upon full approval would be the first radioequivalent to Lutetium Lu 177 Dotatate for the treatment of gastroenteropancreatic neuroendocrine tumors (GEP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NETs); launch timing will consider the following factors: the timing of FDA approval, the expiration of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stay and disposition of the related legal proceedings, as well as manufacturing and commercial strategy to ensure launch success.</w:t>
      </w:r>
    </w:p>
    <w:p>
      <w:pPr>
        <w:spacing w:after="0" w:line="92" w:lineRule="exact"/>
        <w:rPr>
          <w:rFonts w:ascii="Times New Roman" w:cs="Times New Roman" w:eastAsia="Times New Roman" w:hAnsi="Times New Roman"/>
          <w:sz w:val="18"/>
          <w:szCs w:val="18"/>
          <w:color w:val="auto"/>
        </w:rPr>
      </w:pPr>
    </w:p>
    <w:p>
      <w:pPr>
        <w:ind w:left="760" w:right="300" w:hanging="378"/>
        <w:spacing w:after="0" w:line="236" w:lineRule="exact"/>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extended the PDUFA date for LNTH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2501(Ga 68 edotreotide), the Company’s PET diagnostic imaging kit for somatostatin receptor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positive neuroendocrine tumors (NETs), by three months to June 29, 2026, to allow additional time to review manufacturing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information. This standard review extension is not related to the efficacy or safety data of LNTH-2501.</w:t>
      </w:r>
    </w:p>
    <w:p>
      <w:pPr>
        <w:spacing w:after="0" w:line="113"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Full Year 2026 Financial Guidance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Guidance Issued May 7, 2026</w:t>
            </w:r>
          </w:p>
        </w:tc>
        <w:tc>
          <w:tcPr>
            <w:tcW w:w="20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Guidance Issued February 26, 2026</w:t>
            </w:r>
          </w:p>
        </w:tc>
      </w:tr>
      <w:tr>
        <w:trPr>
          <w:trHeight w:val="209"/>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FY 2026</w:t>
            </w:r>
          </w:p>
        </w:tc>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 billion - $1.45 billion</w:t>
            </w:r>
          </w:p>
        </w:tc>
        <w:tc>
          <w:tcPr>
            <w:tcW w:w="200" w:type="dxa"/>
            <w:vAlign w:val="bottom"/>
            <w:shd w:val="clear" w:color="auto" w:fill="CFF0FC"/>
          </w:tcPr>
          <w:p>
            <w:pPr>
              <w:spacing w:after="0"/>
              <w:rPr>
                <w:sz w:val="18"/>
                <w:szCs w:val="18"/>
                <w:color w:val="auto"/>
              </w:rPr>
            </w:pP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 billion - $1.45 billion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FY 2026</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fully diluted EPS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$5.00 - $5.25</w:t>
            </w:r>
          </w:p>
        </w:tc>
        <w:tc>
          <w:tcPr>
            <w:tcW w:w="2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$5.00 - $5.25</w:t>
            </w:r>
          </w:p>
        </w:tc>
      </w:tr>
    </w:tbl>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 forward-looking basis, the Company does not provide GAAP income per common share guidance or a reconciliation of GAAP income per common share to adjusted fully diluted EPS because the Company is unable to predict with reasonable certainty business development and acquisition related expenses, purchase accounting fair value adjustments, and any one-time, non-recurring charges. These items are uncertain, depend on various factors, and could be material to results computed in accordance with GAAP. As a result, it is the Company’s view that a quantitative reconciliation of adjusted fully diluted EPS on a forward-looking basis is not available without unreasonable effort.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previously announced, the Company will host a conference call and webcast on Thursday, May 7, 2026, at 8:00 a.m. ET. To access the conference call or webcast, participants should register online at https://investor.lantheus.com/news-events/calendar-of-events.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approximately two hours after completion of the webcast and will be archived on the same web page for at least 30 days.</w:t>
      </w:r>
    </w:p>
    <w:p>
      <w:pPr>
        <w:spacing w:after="0" w:line="1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The conference call may include forward-looking statements. See the cautionary information about forward-looking statements in the safe-harbor section of this press release.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Lantheus is the leading radiopharmaceutical-focused company, delivering life-changing science to enable clinicians to Find, Fight and Follow disease to deliver better patient outcomes. Headquartered in Massachusetts with offices in New Jersey, Canada, Germany, Switzerland, Sweden and the United Kingdom, Lantheus has been providing radiopharmaceutical solutions for 70 years. For more information, visit www.lantheus.com.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Posting of Information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uses non-GAAP financial measures, such as adjusted net income and its line components; adjusted fully diluted net income per share; adjusted operating income, and free cash flow. The Company’s management believes that the presentation of these measures provides useful information to investors. These measures may assist investors in evaluating the Company’s operations, period over period. However, these measures may exclude items that may be highly variable, difficult to predict and of a size that could have a substantial impact on the Company’s reported results of operations for a particular period. Management uses these and other non-GAAP measures internally for evaluation of the performance of the business, including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our guidance for the fiscal year 2026 and our plans to successfully execute on the commercialization of marketed products, ensure launch readiness for new products, advance a focused late-stage pipeline, and allocate capital thoughtfully, and our focus mainly on our radiodiagnostic business and pursuing value-maximizing alternatives for our radiotherapeutic assets, and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continued market expansion, penetration and reimbursement for our established commercial products, particularly PYLARIFY, DEFINITY and Neuraceq, in a competitive environment and our ability to clinically and commercially differentiate our products; (ii) our ability to complete the technology transfer across our positron emission tomography (“PET”) manufacturing facilities (“PMF”) network for PYLARIFY TruVu, the new formulation of our F-18 prostate-specific membrane antigen (“PSMA”)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(iii) the availability of raw materials, key components, equipment, manufacturing time slots, either used in the production of our products and product candidates, or by customers of our products and product candidates, including, but not limited to PET scanners for PYLARIFY, PYLARIFY TruVu, Neuraceq, MK-6240, LNTH-2501 and NAV-4694; (iv) our ability to have third parties manufacture our products and product candidates and our ability to manufacture DEFINITY in our in-house manufacturing facility, in amounts and at the times needed; (v) our ability to satisfy our obligations under our existing clinical development partnerships using Neuraceq, MK-6240 or NAV-4694 and other assets as a research tool and under the license agreements through which we have rights to those assets, and to further develop and commercialize MK-6240 and NAV-4694 as approved products; (vi) our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(vii) our ability to obtain FDA approval for LNTH-2501, our investigational kit for the preparation of Gallium-68 edotreotide injection, which has been studied for use in conjunction with a PET scan to stage and localize neuroendocrine tumors in adult and pediatric patients and to successfully commercialize LNTH-2501 if approved; (viii) our ability to obtain final FDA approval for PNT2003, which received FDA tentative approval in March 2026, to be successful in the patent litigation associated with PNT2003 and to successfully commercialize PNT2003 if approved; (ix) the cost, efforts and timing for clinical development, manufacturing, regulatory approval, adequate coding, coverage and payment and successful commercialization of our newly approved products, product candidates and new clinical applications and territories for our products, in each case, that we or our strategic partners may undertake, including those investigational assets for which FDA approval has been obtained or is anticipated to be obtained this year; (x) our ability to identify opportunities to collaborate with strategic partners and to acquire or in-license additional diagnostic and therapeutic product opportunities in oncology, neurology and other strategic areas and continue to grow and advance our pipeline of products; (xi) the effect that changes to management, including the recent turnover in our leadership and senior management team, could have on our business; and (xii) the risk and uncertainties discussed in our filings with the Securities and Exchange Commission (including those described in the Risk Factors section in our Annual Reports on Form 10-K and our Quarterly Reports on Form 10-Q).</w:t>
      </w:r>
      <w:r>
        <w:rPr>
          <w:rFonts w:ascii="Arial" w:cs="Arial" w:eastAsia="Arial" w:hAnsi="Arial"/>
          <w:sz w:val="18"/>
          <w:szCs w:val="18"/>
          <w:i w:val="1"/>
          <w:iCs w:val="1"/>
          <w:color w:val="auto"/>
        </w:rPr>
        <w:t> </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Tables Follow -</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 unaudited)</w:t>
      </w:r>
    </w:p>
    <w:p>
      <w:pPr>
        <w:spacing w:after="0" w:line="21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8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377,333</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372,764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135,064</w:t>
            </w:r>
          </w:p>
        </w:tc>
        <w:tc>
          <w:tcPr>
            <w:tcW w:w="10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230,922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56,816</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149,596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10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81,326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equity securities - unrealized (gain) loss</w:t>
            </w:r>
          </w:p>
        </w:tc>
        <w:tc>
          <w:tcPr>
            <w:tcW w:w="1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(14,905)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business, net of transaction costs</w:t>
            </w:r>
          </w:p>
        </w:tc>
        <w:tc>
          <w:tcPr>
            <w:tcW w:w="1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(14,128)</w:t>
            </w:r>
          </w:p>
        </w:tc>
      </w:tr>
      <w:tr>
        <w:trPr>
          <w:trHeight w:val="209"/>
        </w:trPr>
        <w:tc>
          <w:tcPr>
            <w:tcW w:w="58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156,405</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96,529</w:t>
            </w:r>
          </w:p>
        </w:tc>
        <w:tc>
          <w:tcPr>
            <w:tcW w:w="100" w:type="dxa"/>
            <w:vAlign w:val="bottom"/>
            <w:tcBorders>
              <w:top w:val="single" w:sz="8" w:color="CFF0FC"/>
            </w:tcBorders>
          </w:tcPr>
          <w:p>
            <w:pPr>
              <w:spacing w:after="0"/>
              <w:rPr>
                <w:sz w:val="18"/>
                <w:szCs w:val="18"/>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118,417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19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20" w:type="dxa"/>
            <w:vAlign w:val="bottom"/>
            <w:shd w:val="clear" w:color="auto" w:fill="CFF0FC"/>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60" w:type="dxa"/>
            <w:vAlign w:val="bottom"/>
            <w:gridSpan w:val="2"/>
            <w:shd w:val="clear" w:color="auto" w:fill="CFF0FC"/>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0"/>
                <w:szCs w:val="20"/>
                <w:color w:val="auto"/>
              </w:rPr>
            </w:pPr>
          </w:p>
        </w:tc>
      </w:tr>
      <w:tr>
        <w:trPr>
          <w:trHeight w:val="197"/>
        </w:trPr>
        <w:tc>
          <w:tcPr>
            <w:tcW w:w="5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9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64,736</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8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65,772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71,461</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-2794000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-2236470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-1945005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-487680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Revenues Analysis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52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60" w:type="dxa"/>
            <w:vAlign w:val="bottom"/>
          </w:tcPr>
          <w:p>
            <w:pPr>
              <w:spacing w:after="0"/>
              <w:rPr>
                <w:sz w:val="12"/>
                <w:szCs w:val="12"/>
                <w:color w:val="auto"/>
              </w:rPr>
            </w:pPr>
          </w:p>
        </w:tc>
        <w:tc>
          <w:tcPr>
            <w:tcW w:w="146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r>
      <w:tr>
        <w:trPr>
          <w:trHeight w:val="142"/>
        </w:trPr>
        <w:tc>
          <w:tcPr>
            <w:tcW w:w="316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PYLARIFY</w:t>
            </w:r>
          </w:p>
        </w:tc>
        <w:tc>
          <w:tcPr>
            <w:tcW w:w="1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240,924</w:t>
            </w:r>
          </w:p>
        </w:tc>
        <w:tc>
          <w:tcPr>
            <w:tcW w:w="1180" w:type="dxa"/>
            <w:vAlign w:val="bottom"/>
            <w:gridSpan w:val="2"/>
            <w:shd w:val="clear" w:color="auto" w:fill="CCEEFF"/>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257,654</w:t>
            </w:r>
          </w:p>
        </w:tc>
        <w:tc>
          <w:tcPr>
            <w:tcW w:w="600" w:type="dxa"/>
            <w:vAlign w:val="bottom"/>
            <w:gridSpan w:val="2"/>
            <w:shd w:val="clear" w:color="auto" w:fill="CCEEFF"/>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(16,730)</w:t>
            </w:r>
          </w:p>
        </w:tc>
        <w:tc>
          <w:tcPr>
            <w:tcW w:w="16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(6.5)%</w:t>
            </w:r>
          </w:p>
        </w:tc>
      </w:tr>
      <w:tr>
        <w:trPr>
          <w:trHeight w:val="20"/>
        </w:trPr>
        <w:tc>
          <w:tcPr>
            <w:tcW w:w="3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oncology</w:t>
            </w: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240,924</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257,654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(16,730)</w:t>
            </w:r>
          </w:p>
        </w:tc>
        <w:tc>
          <w:tcPr>
            <w:tcW w:w="16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(6.5)%</w:t>
            </w:r>
          </w:p>
        </w:tc>
      </w:tr>
      <w:tr>
        <w:trPr>
          <w:trHeight w:val="142"/>
        </w:trPr>
        <w:tc>
          <w:tcPr>
            <w:tcW w:w="316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Neuraceq</w:t>
            </w:r>
          </w:p>
        </w:tc>
        <w:tc>
          <w:tcPr>
            <w:tcW w:w="13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35,439</w:t>
            </w:r>
          </w:p>
        </w:tc>
        <w:tc>
          <w:tcPr>
            <w:tcW w:w="3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35,439</w:t>
            </w:r>
          </w:p>
        </w:tc>
        <w:tc>
          <w:tcPr>
            <w:tcW w:w="260" w:type="dxa"/>
            <w:vAlign w:val="bottom"/>
            <w:tcBorders>
              <w:bottom w:val="single" w:sz="8" w:color="CFF0FC"/>
            </w:tcBorders>
            <w:shd w:val="clear" w:color="auto" w:fill="CFF0FC"/>
          </w:tcPr>
          <w:p>
            <w:pPr>
              <w:spacing w:after="0"/>
              <w:rPr>
                <w:sz w:val="12"/>
                <w:szCs w:val="12"/>
                <w:color w:val="auto"/>
              </w:rPr>
            </w:pPr>
          </w:p>
        </w:tc>
        <w:tc>
          <w:tcPr>
            <w:tcW w:w="164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100.0%</w:t>
            </w: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neurology</w:t>
            </w:r>
          </w:p>
        </w:tc>
        <w:tc>
          <w:tcPr>
            <w:tcW w:w="13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35,439</w:t>
            </w:r>
          </w:p>
        </w:tc>
        <w:tc>
          <w:tcPr>
            <w:tcW w:w="3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35,439</w:t>
            </w:r>
          </w:p>
        </w:tc>
        <w:tc>
          <w:tcPr>
            <w:tcW w:w="260" w:type="dxa"/>
            <w:vAlign w:val="bottom"/>
          </w:tcPr>
          <w:p>
            <w:pPr>
              <w:spacing w:after="0"/>
              <w:rPr>
                <w:sz w:val="12"/>
                <w:szCs w:val="12"/>
                <w:color w:val="auto"/>
              </w:rPr>
            </w:pPr>
          </w:p>
        </w:tc>
        <w:tc>
          <w:tcPr>
            <w:tcW w:w="1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100.0%</w:t>
            </w:r>
          </w:p>
        </w:tc>
      </w:tr>
      <w:tr>
        <w:trPr>
          <w:trHeight w:val="142"/>
        </w:trPr>
        <w:tc>
          <w:tcPr>
            <w:tcW w:w="316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DEFINITY</w:t>
            </w:r>
          </w:p>
        </w:tc>
        <w:tc>
          <w:tcPr>
            <w:tcW w:w="13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84,627</w:t>
            </w:r>
          </w:p>
        </w:tc>
        <w:tc>
          <w:tcPr>
            <w:tcW w:w="3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79,211</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5,416</w:t>
            </w:r>
          </w:p>
        </w:tc>
        <w:tc>
          <w:tcPr>
            <w:tcW w:w="260" w:type="dxa"/>
            <w:vAlign w:val="bottom"/>
            <w:tcBorders>
              <w:bottom w:val="single" w:sz="8" w:color="CFF0FC"/>
            </w:tcBorders>
            <w:shd w:val="clear" w:color="auto" w:fill="CFF0FC"/>
          </w:tcPr>
          <w:p>
            <w:pPr>
              <w:spacing w:after="0"/>
              <w:rPr>
                <w:sz w:val="12"/>
                <w:szCs w:val="12"/>
                <w:color w:val="auto"/>
              </w:rPr>
            </w:pPr>
          </w:p>
        </w:tc>
        <w:tc>
          <w:tcPr>
            <w:tcW w:w="164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6.8%</w:t>
            </w: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cardiology</w:t>
            </w:r>
          </w:p>
        </w:tc>
        <w:tc>
          <w:tcPr>
            <w:tcW w:w="13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84,627</w:t>
            </w:r>
          </w:p>
        </w:tc>
        <w:tc>
          <w:tcPr>
            <w:tcW w:w="3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79,211</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5,416</w:t>
            </w:r>
          </w:p>
        </w:tc>
        <w:tc>
          <w:tcPr>
            <w:tcW w:w="260" w:type="dxa"/>
            <w:vAlign w:val="bottom"/>
          </w:tcPr>
          <w:p>
            <w:pPr>
              <w:spacing w:after="0"/>
              <w:rPr>
                <w:sz w:val="12"/>
                <w:szCs w:val="12"/>
                <w:color w:val="auto"/>
              </w:rPr>
            </w:pPr>
          </w:p>
        </w:tc>
        <w:tc>
          <w:tcPr>
            <w:tcW w:w="1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6.8%</w:t>
            </w:r>
          </w:p>
        </w:tc>
      </w:tr>
      <w:tr>
        <w:trPr>
          <w:trHeight w:val="142"/>
        </w:trPr>
        <w:tc>
          <w:tcPr>
            <w:tcW w:w="31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Strategic partnerships and other</w:t>
            </w:r>
          </w:p>
        </w:tc>
        <w:tc>
          <w:tcPr>
            <w:tcW w:w="13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16,343</w:t>
            </w:r>
          </w:p>
        </w:tc>
        <w:tc>
          <w:tcPr>
            <w:tcW w:w="3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10,747</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w:t>
            </w:r>
          </w:p>
        </w:tc>
        <w:tc>
          <w:tcPr>
            <w:tcW w:w="260" w:type="dxa"/>
            <w:vAlign w:val="bottom"/>
            <w:tcBorders>
              <w:bottom w:val="single" w:sz="8" w:color="CFF0FC"/>
            </w:tcBorders>
            <w:shd w:val="clear" w:color="auto" w:fill="CFF0FC"/>
          </w:tcPr>
          <w:p>
            <w:pPr>
              <w:spacing w:after="0"/>
              <w:rPr>
                <w:sz w:val="12"/>
                <w:szCs w:val="12"/>
                <w:color w:val="auto"/>
              </w:rPr>
            </w:pPr>
          </w:p>
        </w:tc>
        <w:tc>
          <w:tcPr>
            <w:tcW w:w="164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52.1%</w:t>
            </w: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SPECT</w:t>
            </w: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25,152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(25,152)</w:t>
            </w:r>
          </w:p>
        </w:tc>
        <w:tc>
          <w:tcPr>
            <w:tcW w:w="16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(100.0)%</w:t>
            </w:r>
          </w:p>
        </w:tc>
      </w:tr>
      <w:tr>
        <w:trPr>
          <w:trHeight w:val="182"/>
        </w:trPr>
        <w:tc>
          <w:tcPr>
            <w:tcW w:w="31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3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ind w:right="7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377,333</w:t>
            </w:r>
          </w:p>
        </w:tc>
        <w:tc>
          <w:tcPr>
            <w:tcW w:w="3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ind w:right="7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372,764</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4,569</w:t>
            </w:r>
          </w:p>
        </w:tc>
        <w:tc>
          <w:tcPr>
            <w:tcW w:w="26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-847725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-847725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-847725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-641985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-641985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-641985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-436245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-436245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-436245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-230505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-230505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-230505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19"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5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118,417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72,945</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97"/>
        </w:trPr>
        <w:tc>
          <w:tcPr>
            <w:tcW w:w="724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16,041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21,198</w:t>
            </w: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Non-recurring fees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 on sale of business, net of transaction costs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(59,328)</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Investment in equity securities - unrealized (gain) loss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(14,905)</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integration and divestiture-related items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Pr>
          <w:p>
            <w:pPr>
              <w:spacing w:after="0"/>
              <w:rPr>
                <w:sz w:val="18"/>
                <w:szCs w:val="18"/>
                <w:color w:val="auto"/>
              </w:rPr>
            </w:pPr>
          </w:p>
        </w:tc>
      </w:tr>
      <w:tr>
        <w:trPr>
          <w:trHeight w:val="250"/>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95,801</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109,475</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net income, as a percentage of revenues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29.4%</w:t>
            </w:r>
          </w:p>
        </w:tc>
      </w:tr>
      <w:tr>
        <w:trPr>
          <w:trHeight w:val="20"/>
        </w:trPr>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7"/>
        </w:trPr>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9"/>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5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1"/>
                <w:szCs w:val="21"/>
                <w:color w:val="auto"/>
              </w:rPr>
            </w:pPr>
          </w:p>
        </w:tc>
      </w:tr>
      <w:tr>
        <w:trPr>
          <w:trHeight w:val="197"/>
        </w:trPr>
        <w:tc>
          <w:tcPr>
            <w:tcW w:w="724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top w:val="single" w:sz="8" w:color="CFF0FC"/>
            </w:tcBorders>
          </w:tcPr>
          <w:p>
            <w:pPr>
              <w:spacing w:after="0"/>
              <w:rPr>
                <w:sz w:val="17"/>
                <w:szCs w:val="17"/>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Non-recurring fees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 on sale of business, net of transaction costs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(0.90)</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Investment in equity securities - unrealized (gain) loss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integration and divestiture-related items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2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2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Adjusted net income per share - diluted</w:t>
            </w:r>
            <w:r>
              <w:rPr>
                <w:rFonts w:ascii="Times New Roman" w:cs="Times New Roman" w:eastAsia="Times New Roman" w:hAnsi="Times New Roman"/>
                <w:sz w:val="24"/>
                <w:szCs w:val="24"/>
                <w:color w:val="auto"/>
                <w:vertAlign w:val="superscript"/>
              </w:rPr>
              <w:t>(b)</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21"/>
                <w:szCs w:val="21"/>
                <w:color w:val="auto"/>
              </w:rPr>
            </w:pPr>
          </w:p>
        </w:tc>
      </w:tr>
      <w:tr>
        <w:trPr>
          <w:trHeight w:val="196"/>
        </w:trPr>
        <w:tc>
          <w:tcPr>
            <w:tcW w:w="72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65,772</w:t>
            </w:r>
          </w:p>
        </w:tc>
        <w:tc>
          <w:tcPr>
            <w:tcW w:w="1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71,461</w:t>
            </w:r>
          </w:p>
        </w:tc>
        <w:tc>
          <w:tcPr>
            <w:tcW w:w="100" w:type="dxa"/>
            <w:vAlign w:val="bottom"/>
            <w:tcBorders>
              <w:top w:val="single" w:sz="8" w:color="CFF0FC"/>
            </w:tcBorders>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-4499610</wp:posOffset>
            </wp:positionV>
            <wp:extent cx="1117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-4482465</wp:posOffset>
            </wp:positionV>
            <wp:extent cx="1117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-4499610</wp:posOffset>
            </wp:positionV>
            <wp:extent cx="1117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-4482465</wp:posOffset>
            </wp:positionV>
            <wp:extent cx="1117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-2819400</wp:posOffset>
            </wp:positionV>
            <wp:extent cx="1117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-2802255</wp:posOffset>
            </wp:positionV>
            <wp:extent cx="1117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-2819400</wp:posOffset>
            </wp:positionV>
            <wp:extent cx="1117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-2802255</wp:posOffset>
            </wp:positionV>
            <wp:extent cx="111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-1868170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-1851025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-1868170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-1851025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920" w:hanging="743"/>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estimated income tax effect of the adjustments between GAAP net income and adjusted net income (non-GAAP).</w:t>
      </w:r>
    </w:p>
    <w:p>
      <w:pPr>
        <w:spacing w:after="0" w:line="128" w:lineRule="exact"/>
        <w:rPr>
          <w:rFonts w:ascii="Times New Roman" w:cs="Times New Roman" w:eastAsia="Times New Roman" w:hAnsi="Times New Roman"/>
          <w:sz w:val="17"/>
          <w:szCs w:val="17"/>
          <w:color w:val="auto"/>
        </w:rPr>
      </w:pPr>
    </w:p>
    <w:p>
      <w:pPr>
        <w:ind w:left="920" w:hanging="743"/>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may not add due to rounding.</w:t>
      </w:r>
    </w:p>
    <w:p>
      <w:pPr>
        <w:spacing w:after="0" w:line="1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900" w:top="441" w:right="7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(Continued)</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1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5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81,326</w:t>
            </w:r>
          </w:p>
        </w:tc>
        <w:tc>
          <w:tcPr>
            <w:tcW w:w="2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102,067</w:t>
            </w:r>
          </w:p>
        </w:tc>
        <w:tc>
          <w:tcPr>
            <w:tcW w:w="180" w:type="dxa"/>
            <w:vAlign w:val="bottom"/>
            <w:shd w:val="clear" w:color="auto" w:fill="CFF0FC"/>
          </w:tcPr>
          <w:p>
            <w:pPr>
              <w:spacing w:after="0"/>
              <w:rPr>
                <w:sz w:val="21"/>
                <w:szCs w:val="21"/>
                <w:color w:val="auto"/>
              </w:rPr>
            </w:pPr>
          </w:p>
        </w:tc>
      </w:tr>
      <w:tr>
        <w:trPr>
          <w:trHeight w:val="196"/>
        </w:trPr>
        <w:tc>
          <w:tcPr>
            <w:tcW w:w="724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16,041</w:t>
            </w:r>
          </w:p>
        </w:tc>
        <w:tc>
          <w:tcPr>
            <w:tcW w:w="2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21,198</w:t>
            </w:r>
          </w:p>
        </w:tc>
        <w:tc>
          <w:tcPr>
            <w:tcW w:w="180" w:type="dxa"/>
            <w:vAlign w:val="bottom"/>
            <w:tcBorders>
              <w:top w:val="single" w:sz="8" w:color="CFF0FC"/>
            </w:tcBorders>
          </w:tcPr>
          <w:p>
            <w:pPr>
              <w:spacing w:after="0"/>
              <w:rPr>
                <w:sz w:val="17"/>
                <w:szCs w:val="17"/>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80" w:type="dxa"/>
            <w:vAlign w:val="bottom"/>
            <w:shd w:val="clear" w:color="auto" w:fill="CFF0FC"/>
          </w:tcPr>
          <w:p>
            <w:pPr>
              <w:spacing w:after="0"/>
              <w:rPr>
                <w:sz w:val="18"/>
                <w:szCs w:val="18"/>
                <w:color w:val="auto"/>
              </w:rPr>
            </w:pP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Non-recurring fees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tcPr>
          <w:p>
            <w:pPr>
              <w:spacing w:after="0"/>
              <w:rPr>
                <w:sz w:val="18"/>
                <w:szCs w:val="18"/>
                <w:color w:val="auto"/>
              </w:rPr>
            </w:pPr>
          </w:p>
        </w:tc>
      </w:tr>
      <w:tr>
        <w:trPr>
          <w:trHeight w:val="216"/>
        </w:trPr>
        <w:tc>
          <w:tcPr>
            <w:tcW w:w="7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80" w:type="dxa"/>
            <w:vAlign w:val="bottom"/>
            <w:shd w:val="clear" w:color="auto" w:fill="CFF0FC"/>
          </w:tcPr>
          <w:p>
            <w:pPr>
              <w:spacing w:after="0"/>
              <w:rPr>
                <w:sz w:val="18"/>
                <w:szCs w:val="18"/>
                <w:color w:val="auto"/>
              </w:rPr>
            </w:pPr>
          </w:p>
        </w:tc>
      </w:tr>
      <w:tr>
        <w:trPr>
          <w:trHeight w:val="216"/>
        </w:trPr>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integration and divestiture-related items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8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129,148</w:t>
            </w: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144,258</w:t>
            </w:r>
          </w:p>
        </w:tc>
        <w:tc>
          <w:tcPr>
            <w:tcW w:w="18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7"/>
        </w:trPr>
        <w:tc>
          <w:tcPr>
            <w:tcW w:w="7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operating income, as a percentage of revenues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38.7%</w:t>
            </w: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-1456690</wp:posOffset>
            </wp:positionV>
            <wp:extent cx="1117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-1439545</wp:posOffset>
            </wp:positionV>
            <wp:extent cx="1117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-1456690</wp:posOffset>
            </wp:positionV>
            <wp:extent cx="1117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-1439545</wp:posOffset>
            </wp:positionV>
            <wp:extent cx="1117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-333375</wp:posOffset>
            </wp:positionV>
            <wp:extent cx="1117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-333375</wp:posOffset>
            </wp:positionV>
            <wp:extent cx="1117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1117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1117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441" w:right="8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19"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125,127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107,563</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(3,226)</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(8,718)</w:t>
            </w:r>
          </w:p>
        </w:tc>
      </w:tr>
      <w:tr>
        <w:trPr>
          <w:trHeight w:val="249"/>
        </w:trPr>
        <w:tc>
          <w:tcPr>
            <w:tcW w:w="76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98,845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(63,718)</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(11,623)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(18,219)</w:t>
            </w:r>
          </w:p>
        </w:tc>
      </w:tr>
      <w:tr>
        <w:trPr>
          <w:trHeight w:val="20"/>
        </w:trPr>
        <w:tc>
          <w:tcPr>
            <w:tcW w:w="7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-487680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-470535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-487680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-470535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-187960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-170815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124460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441" w:right="6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498,582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358,640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80,742</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942,288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899,964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notes receivable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92,103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706,058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722,779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239,517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20" w:type="dxa"/>
            <w:vAlign w:val="bottom"/>
          </w:tcPr>
          <w:p>
            <w:pPr>
              <w:spacing w:after="0"/>
              <w:rPr>
                <w:sz w:val="18"/>
                <w:szCs w:val="18"/>
                <w:color w:val="auto"/>
              </w:rPr>
            </w:pPr>
          </w:p>
        </w:tc>
      </w:tr>
      <w:tr>
        <w:trPr>
          <w:trHeight w:val="25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2,346,587</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120" w:type="dxa"/>
            <w:vAlign w:val="bottom"/>
            <w:shd w:val="clear" w:color="auto" w:fill="CFF0FC"/>
          </w:tcPr>
          <w:p>
            <w:pPr>
              <w:spacing w:after="0"/>
              <w:rPr>
                <w:sz w:val="21"/>
                <w:szCs w:val="21"/>
                <w:color w:val="auto"/>
              </w:rPr>
            </w:pPr>
          </w:p>
        </w:tc>
      </w:tr>
      <w:tr>
        <w:trPr>
          <w:trHeight w:val="196"/>
        </w:trPr>
        <w:tc>
          <w:tcPr>
            <w:tcW w:w="7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286,488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568,678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 net of current portion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105,235</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1,134,299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1,137,602</w:t>
            </w:r>
          </w:p>
        </w:tc>
        <w:tc>
          <w:tcPr>
            <w:tcW w:w="12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1,212,288</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1,089,797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2,346,587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-2142490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-2125345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-2142490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-2125345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-1293495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-462280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 w:name="page14"/>
    <w:bookmarkEnd w:id="13"/>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External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p>
      <w:pPr>
        <w:spacing w:after="0" w:line="18"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2026-05-07T06:38:22Z</dcterms:created>
  <dcterms:modified xsi:type="dcterms:W3CDTF">2026-05-07T06:38:22Z</dcterms:modified>
</cp:coreProperties>
</file>