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Robert J. Jr.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96,624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10,652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85,972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45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reflects additional shares of common stock issued by Lantheus Holdings, Inc. to the reporting person upon the vesting of relative Total Shareholder Return performance-based restricted stock units ("PSUs") that were previously granted and included in the Form 4 filed on March 6, 2023. The number of shares reported in the Form 4 reflected 100% of the target number of shares underlying the PSUs. The number of shares that actually vested under the PSUs equaled 162.8% of the target number of shares. Accordingly, the number of shares reported in this Form 4 reflects the difference between the number of shares that actually vested under the PSUs and the target number of shares originally included in the Form 4.</w:t>
      </w:r>
    </w:p>
    <w:p>
      <w:pPr>
        <w:ind w:left="658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9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2026-03-04T15:26:52Z</dcterms:created>
  <dcterms:modified xsi:type="dcterms:W3CDTF">2026-03-04T15:26:52Z</dcterms:modified>
</cp:coreProperties>
</file>