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Heino Mary Anne</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Lantheus Holdings,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LNTH</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04/26/2018</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23"/>
        <w:spacing w:after="0"/>
        <w:rPr>
          <w:sz w:val="20"/>
          <w:szCs w:val="20"/>
          <w:color w:val="auto"/>
        </w:rPr>
      </w:pPr>
      <w:r>
        <w:rPr>
          <w:rFonts w:ascii="Times New Roman" w:cs="Times New Roman" w:eastAsia="Times New Roman" w:hAnsi="Times New Roman"/>
          <w:sz w:val="18"/>
          <w:szCs w:val="18"/>
          <w:color w:val="0000FF"/>
        </w:rPr>
        <w:t>President &amp; CEO</w:t>
      </w:r>
    </w:p>
    <w:p>
      <w:pPr>
        <w:spacing w:after="0" w:line="449"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4"/>
                <w:szCs w:val="14"/>
                <w:color w:val="auto"/>
              </w:rPr>
              <w:t>4. If Amendment, Date of Original Filed (Month/Day/Year)</w:t>
            </w:r>
          </w:p>
        </w:tc>
        <w:tc>
          <w:tcPr>
            <w:tcW w:w="3580" w:type="dxa"/>
            <w:vAlign w:val="bottom"/>
            <w:tcBorders>
              <w:top w:val="single" w:sz="8" w:color="2C2C2C"/>
              <w:bottom w:val="single" w:sz="8" w:color="2C2C2C"/>
            </w:tcBorders>
            <w:gridSpan w:val="6"/>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gridSpan w:val="7"/>
            <w:vMerge w:val="continue"/>
          </w:tcPr>
          <w:p>
            <w:pPr>
              <w:spacing w:after="0" w:line="20" w:lineRule="exact"/>
              <w:rPr>
                <w:sz w:val="1"/>
                <w:szCs w:val="1"/>
                <w:color w:val="auto"/>
              </w:rPr>
            </w:pPr>
          </w:p>
        </w:tc>
        <w:tc>
          <w:tcPr>
            <w:tcW w:w="358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gridSpan w:val="7"/>
            <w:vMerge w:val="continue"/>
          </w:tcPr>
          <w:p>
            <w:pPr>
              <w:spacing w:after="0"/>
              <w:rPr>
                <w:sz w:val="10"/>
                <w:szCs w:val="10"/>
                <w:color w:val="auto"/>
              </w:rPr>
            </w:pPr>
          </w:p>
        </w:tc>
        <w:tc>
          <w:tcPr>
            <w:tcW w:w="3580" w:type="dxa"/>
            <w:vAlign w:val="bottom"/>
            <w:gridSpan w:val="6"/>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gridSpan w:val="2"/>
            <w:vMerge w:val="restart"/>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NORTH</w:t>
            </w: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0000FF"/>
              </w:rPr>
              <w:t>01862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BILLERICA</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180"/>
              <w:spacing w:after="0" w:line="118" w:lineRule="exact"/>
              <w:rPr>
                <w:sz w:val="20"/>
                <w:szCs w:val="20"/>
                <w:color w:val="auto"/>
              </w:rPr>
            </w:pPr>
            <w:r>
              <w:rPr>
                <w:rFonts w:ascii="Arial" w:cs="Arial" w:eastAsia="Arial" w:hAnsi="Arial"/>
                <w:sz w:val="12"/>
                <w:szCs w:val="12"/>
                <w:color w:val="auto"/>
              </w:rPr>
              <w:t>Person</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812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8"/>
                <w:szCs w:val="18"/>
                <w:color w:val="0000FF"/>
              </w:rPr>
              <w:t>04/26/2018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color w:val="0000FF"/>
                <w:w w:val="96"/>
              </w:rPr>
              <w:t>29,449</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17.9</w:t>
            </w:r>
          </w:p>
        </w:tc>
        <w:tc>
          <w:tcPr>
            <w:tcW w:w="12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8"/>
                <w:szCs w:val="18"/>
                <w:color w:val="0000FF"/>
              </w:rPr>
              <w:t>650,045</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80" w:type="dxa"/>
            <w:vAlign w:val="bottom"/>
            <w:gridSpan w:val="11"/>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transaction reported on this Form 4 represents the disposition of shares withheld by the Company to satisfy withholding tax liabilities of the Reporting Person associated with the initial vesting of restricted stock previously granted and reported on a previously filed Form 4.</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Daniel Niedzwiecki,</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04/27/2018</w:t>
            </w:r>
          </w:p>
        </w:tc>
        <w:tc>
          <w:tcPr>
            <w:tcW w:w="0" w:type="dxa"/>
            <w:vAlign w:val="bottom"/>
          </w:tcPr>
          <w:p>
            <w:pPr>
              <w:spacing w:after="0"/>
              <w:rPr>
                <w:sz w:val="1"/>
                <w:szCs w:val="1"/>
                <w:color w:val="auto"/>
              </w:rPr>
            </w:pPr>
          </w:p>
        </w:tc>
      </w:tr>
      <w:tr>
        <w:trPr>
          <w:trHeight w:val="88"/>
        </w:trPr>
        <w:tc>
          <w:tcPr>
            <w:tcW w:w="1660" w:type="dxa"/>
            <w:vAlign w:val="bottom"/>
            <w:tcBorders>
              <w:top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attorney-in-fact</w:t>
            </w:r>
          </w:p>
        </w:tc>
        <w:tc>
          <w:tcPr>
            <w:tcW w:w="4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60" w:type="dxa"/>
            <w:vAlign w:val="bottom"/>
            <w:tcBorders>
              <w:top w:val="single" w:sz="8" w:color="auto"/>
            </w:tcBorders>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76"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2019-12-07T23:13:39Z</dcterms:created>
  <dcterms:modified xsi:type="dcterms:W3CDTF">2019-12-07T23:13:39Z</dcterms:modified>
</cp:coreProperties>
</file>