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510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51065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47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Heino Mary Anne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LANTHEUS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201 BURLINGTON ROAD, SOUTH BLDG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Lantheus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03/27/2023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5" w:lineRule="exact"/>
        <w:rPr>
          <w:sz w:val="24"/>
          <w:szCs w:val="24"/>
          <w:color w:val="auto"/>
        </w:rPr>
      </w:pPr>
    </w:p>
    <w:p>
      <w:pPr>
        <w:sectPr>
          <w:pgSz w:w="11900" w:h="16838" w:orient="portrait"/>
          <w:cols w:equalWidth="0" w:num="3">
            <w:col w:w="3200" w:space="720"/>
            <w:col w:w="3100" w:space="720"/>
            <w:col w:w="3340"/>
          </w:cols>
          <w:pgMar w:left="460" w:top="217" w:right="359" w:bottom="471"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BEDFORD</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01730</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60"/>
            <w:col w:w="7160"/>
          </w:cols>
          <w:pgMar w:left="460" w:top="217" w:right="359" w:bottom="47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03/27/2023</w:t>
            </w:r>
          </w:p>
        </w:tc>
        <w:tc>
          <w:tcPr>
            <w:tcW w:w="1080" w:type="dxa"/>
            <w:vAlign w:val="bottom"/>
          </w:tcPr>
          <w:p>
            <w:pPr>
              <w:spacing w:after="0"/>
              <w:rPr>
                <w:sz w:val="21"/>
                <w:szCs w:val="21"/>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44,484</w:t>
            </w:r>
          </w:p>
        </w:tc>
        <w:tc>
          <w:tcPr>
            <w:tcW w:w="52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463,881</w:t>
            </w:r>
            <w:r>
              <w:rPr>
                <w:rFonts w:ascii="Times New Roman" w:cs="Times New Roman" w:eastAsia="Times New Roman" w:hAnsi="Times New Roman"/>
                <w:sz w:val="21"/>
                <w:szCs w:val="21"/>
                <w:color w:val="008000"/>
                <w:w w:val="94"/>
                <w:vertAlign w:val="superscript"/>
              </w:rPr>
              <w:t>(2)</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03/27/2023</w:t>
            </w:r>
          </w:p>
        </w:tc>
        <w:tc>
          <w:tcPr>
            <w:tcW w:w="10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28,662</w:t>
            </w:r>
          </w:p>
        </w:tc>
        <w:tc>
          <w:tcPr>
            <w:tcW w:w="52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80.4733</w:t>
            </w:r>
            <w:r>
              <w:rPr>
                <w:rFonts w:ascii="Times New Roman" w:cs="Times New Roman" w:eastAsia="Times New Roman" w:hAnsi="Times New Roman"/>
                <w:sz w:val="21"/>
                <w:szCs w:val="21"/>
                <w:color w:val="008000"/>
                <w:w w:val="93"/>
                <w:vertAlign w:val="superscript"/>
              </w:rPr>
              <w:t>(3)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435,219</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03/27/2023</w:t>
            </w:r>
          </w:p>
        </w:tc>
        <w:tc>
          <w:tcPr>
            <w:tcW w:w="10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15,822</w:t>
            </w:r>
          </w:p>
        </w:tc>
        <w:tc>
          <w:tcPr>
            <w:tcW w:w="52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81.3001</w:t>
            </w:r>
            <w:r>
              <w:rPr>
                <w:rFonts w:ascii="Times New Roman" w:cs="Times New Roman" w:eastAsia="Times New Roman" w:hAnsi="Times New Roman"/>
                <w:sz w:val="21"/>
                <w:szCs w:val="21"/>
                <w:color w:val="008000"/>
                <w:w w:val="93"/>
                <w:vertAlign w:val="superscript"/>
              </w:rPr>
              <w:t>(4)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419,397</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Grantor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Retained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Annuity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19.11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03/27/2023</w:t>
            </w:r>
          </w:p>
        </w:tc>
        <w:tc>
          <w:tcPr>
            <w:tcW w:w="1100" w:type="dxa"/>
            <w:vAlign w:val="bottom"/>
          </w:tcPr>
          <w:p>
            <w:pPr>
              <w:spacing w:after="0"/>
              <w:rPr>
                <w:sz w:val="17"/>
                <w:szCs w:val="17"/>
                <w:color w:val="auto"/>
              </w:rPr>
            </w:pPr>
          </w:p>
        </w:tc>
        <w:tc>
          <w:tcPr>
            <w:tcW w:w="780" w:type="dxa"/>
            <w:vAlign w:val="bottom"/>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44,484</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04/15/2023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44,484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February 24, 2023.</w:t>
      </w:r>
    </w:p>
    <w:p>
      <w:pPr>
        <w:spacing w:after="0" w:line="43"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10, 2023, the reporting person transferred 300,000 shares of LNTH common stock to a Grantor Retained Annuity Trust of which the reporting person's spouse is a trustee. The reporting person and members of her immediate family are the sole beneficiaries of the trust.</w:t>
      </w:r>
    </w:p>
    <w:p>
      <w:pPr>
        <w:spacing w:after="0" w:line="17"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$79.89 to $80.88, inclusive. The reporting person undertakes to provide to Lantheus Holdings, Inc. ("LNTH") any security holder of LNTH or the staff of the Securities and Exchange Commission ("SEC"), upon request, full information regarding the number of shares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ind w:left="40" w:right="18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$80.89 to $81.838, inclusive. The reporting person undertakes to provide to LNTH any security holder of LNTH or the staff of the SEC, upon request, full information regarding the number of shares sold at each separate price within the ranges set forth in this footnote (4) to this Form 4.</w:t>
      </w: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are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Eric M. Green,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03/29/2023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2023-03-29T16:53:20Z</dcterms:created>
  <dcterms:modified xsi:type="dcterms:W3CDTF">2023-03-29T16:53:20Z</dcterms:modified>
</cp:coreProperties>
</file>