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178435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LANTHEUS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6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001-36569</w:t>
            </w:r>
          </w:p>
        </w:tc>
        <w:tc>
          <w:tcPr>
            <w:tcW w:w="1500" w:type="dxa"/>
            <w:vAlign w:val="bottom"/>
          </w:tcPr>
          <w:p>
            <w:pPr>
              <w:jc w:val="center"/>
              <w:ind w:left="302"/>
              <w:spacing w:after="0"/>
              <w:rPr>
                <w:sz w:val="20"/>
                <w:szCs w:val="20"/>
                <w:color w:val="auto"/>
              </w:rPr>
            </w:pPr>
            <w:r>
              <w:rPr>
                <w:rFonts w:ascii="Arial" w:cs="Arial" w:eastAsia="Arial" w:hAnsi="Arial"/>
                <w:sz w:val="18"/>
                <w:szCs w:val="18"/>
                <w:b w:val="1"/>
                <w:bCs w:val="1"/>
                <w:color w:val="auto"/>
                <w:w w:val="91"/>
              </w:rPr>
              <w:t>35-2318913</w:t>
            </w:r>
          </w:p>
        </w:tc>
      </w:tr>
      <w:tr>
        <w:trPr>
          <w:trHeight w:val="149"/>
        </w:trPr>
        <w:tc>
          <w:tcPr>
            <w:tcW w:w="18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(Commission</w:t>
            </w:r>
          </w:p>
        </w:tc>
        <w:tc>
          <w:tcPr>
            <w:tcW w:w="150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6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File Number)</w:t>
            </w:r>
          </w:p>
        </w:tc>
        <w:tc>
          <w:tcPr>
            <w:tcW w:w="1500" w:type="dxa"/>
            <w:vAlign w:val="bottom"/>
          </w:tcPr>
          <w:p>
            <w:pPr>
              <w:jc w:val="center"/>
              <w:ind w:left="302"/>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1880" w:type="dxa"/>
            <w:vAlign w:val="bottom"/>
          </w:tcPr>
          <w:p>
            <w:pPr>
              <w:spacing w:after="0"/>
              <w:rPr>
                <w:sz w:val="24"/>
                <w:szCs w:val="24"/>
                <w:color w:val="auto"/>
              </w:rPr>
            </w:pPr>
          </w:p>
        </w:tc>
        <w:tc>
          <w:tcPr>
            <w:tcW w:w="5760" w:type="dxa"/>
            <w:vAlign w:val="bottom"/>
          </w:tcPr>
          <w:p>
            <w:pPr>
              <w:jc w:val="center"/>
              <w:ind w:right="59"/>
              <w:spacing w:after="0"/>
              <w:rPr>
                <w:sz w:val="20"/>
                <w:szCs w:val="20"/>
                <w:color w:val="auto"/>
              </w:rPr>
            </w:pPr>
            <w:r>
              <w:rPr>
                <w:rFonts w:ascii="Arial" w:cs="Arial" w:eastAsia="Arial" w:hAnsi="Arial"/>
                <w:sz w:val="18"/>
                <w:szCs w:val="18"/>
                <w:b w:val="1"/>
                <w:bCs w:val="1"/>
                <w:color w:val="auto"/>
                <w:w w:val="92"/>
              </w:rPr>
              <w:t>331 Treble Cove Road, North Billerica, MA 01862</w:t>
            </w:r>
          </w:p>
        </w:tc>
        <w:tc>
          <w:tcPr>
            <w:tcW w:w="150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500" w:type="dxa"/>
            <w:vAlign w:val="bottom"/>
          </w:tcPr>
          <w:p>
            <w:pPr>
              <w:spacing w:after="0"/>
              <w:rPr>
                <w:sz w:val="16"/>
                <w:szCs w:val="16"/>
                <w:color w:val="auto"/>
              </w:rPr>
            </w:pPr>
          </w:p>
        </w:tc>
      </w:tr>
      <w:tr>
        <w:trPr>
          <w:trHeight w:val="417"/>
        </w:trPr>
        <w:tc>
          <w:tcPr>
            <w:tcW w:w="1880" w:type="dxa"/>
            <w:vAlign w:val="bottom"/>
          </w:tcPr>
          <w:p>
            <w:pPr>
              <w:spacing w:after="0"/>
              <w:rPr>
                <w:sz w:val="24"/>
                <w:szCs w:val="24"/>
                <w:color w:val="auto"/>
              </w:rPr>
            </w:pPr>
          </w:p>
        </w:tc>
        <w:tc>
          <w:tcPr>
            <w:tcW w:w="576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Registrant’s telephone number, including area code: (978) 671-8001</w:t>
            </w:r>
          </w:p>
        </w:tc>
        <w:tc>
          <w:tcPr>
            <w:tcW w:w="1500" w:type="dxa"/>
            <w:vAlign w:val="bottom"/>
          </w:tcPr>
          <w:p>
            <w:pPr>
              <w:spacing w:after="0"/>
              <w:rPr>
                <w:sz w:val="24"/>
                <w:szCs w:val="24"/>
                <w:color w:val="auto"/>
              </w:rPr>
            </w:pPr>
          </w:p>
        </w:tc>
      </w:tr>
      <w:tr>
        <w:trPr>
          <w:trHeight w:val="409"/>
        </w:trPr>
        <w:tc>
          <w:tcPr>
            <w:tcW w:w="1880" w:type="dxa"/>
            <w:vAlign w:val="bottom"/>
          </w:tcPr>
          <w:p>
            <w:pPr>
              <w:spacing w:after="0"/>
              <w:rPr>
                <w:sz w:val="24"/>
                <w:szCs w:val="24"/>
                <w:color w:val="auto"/>
              </w:rPr>
            </w:pPr>
          </w:p>
        </w:tc>
        <w:tc>
          <w:tcPr>
            <w:tcW w:w="5760" w:type="dxa"/>
            <w:vAlign w:val="bottom"/>
          </w:tcPr>
          <w:p>
            <w:pPr>
              <w:jc w:val="center"/>
              <w:ind w:right="39"/>
              <w:spacing w:after="0"/>
              <w:rPr>
                <w:sz w:val="20"/>
                <w:szCs w:val="20"/>
                <w:color w:val="auto"/>
              </w:rPr>
            </w:pPr>
            <w:r>
              <w:rPr>
                <w:rFonts w:ascii="Arial" w:cs="Arial" w:eastAsia="Arial" w:hAnsi="Arial"/>
                <w:sz w:val="18"/>
                <w:szCs w:val="18"/>
                <w:b w:val="1"/>
                <w:bCs w:val="1"/>
                <w:color w:val="auto"/>
                <w:w w:val="92"/>
              </w:rPr>
              <w:t>Not Applicable</w:t>
            </w:r>
          </w:p>
        </w:tc>
        <w:tc>
          <w:tcPr>
            <w:tcW w:w="150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NTP Amendment No. 4</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December 29, 2017, Lantheus Medical Imaging, Inc. (“LMI”), the operating subsidiary of Lantheus Holdings, Inc. (the “Company”), entered into Amendment No. 4 to Sales Agreement (the “Amendment”), effective as of December 29, 2017, amending the Sales Agreement, dated as of April 1, 2009 (as amended, the “Agreement”), by and between LMI and NTP Radioisotopes (SOC) Ltd. (“NTP”). The Amendment extends the term of the Agreement from December 31, 2017 to December 31, 2020 and modifies LMI’s volume purchase requirements and unit pricing. The Amendment provides for the supply of molybdenum-99 (“Mo-99”) from NTP and its subcontractor, the Australian Nuclear Science and Technology Organisation (“ANSTO”). The Agreement allows for termination upon the occurrence of certain events, including, but not limited to, failure by NTP to provide LMI’s required amount of Mo-99, material breach of any provision by either party, bankruptcy by either party and certain force majeure events.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intends to request confidential treatment of the specific volume purchase requirements and unit pricing terms in connection with the filing of its Annual Report on Form 10-K for the fiscal year ended December 31, 2017.</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30, 2017, LMI entered into a binding extension of its supply agreement with Jubilant Drax Image Radiopharmacies, Inc. d/b/a Triad Isotopes, Inc. (“Triad”), effective as of January 1, 2018, pursuant to which LMI will continue to supply Triad with TechneLite generators, Xenon, Neurolite and other products through 2020. The extended supply agreement specifies pricing levels and volume purchase requirements. The extended supply agreement will expire on December 31, 2020 and may be terminated upon the occurrence of specified events, including a material breach by the other party and certain force majeure events.</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LANTHEUS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P. Duffy</w:t>
            </w:r>
          </w:p>
        </w:tc>
      </w:tr>
      <w:tr>
        <w:trPr>
          <w:trHeight w:val="182"/>
        </w:trPr>
        <w:tc>
          <w:tcPr>
            <w:tcW w:w="540" w:type="dxa"/>
            <w:vAlign w:val="bottom"/>
          </w:tcPr>
          <w:p>
            <w:pPr>
              <w:spacing w:after="0" w:line="18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82" w:lineRule="exact"/>
              <w:rPr>
                <w:sz w:val="20"/>
                <w:szCs w:val="20"/>
                <w:color w:val="auto"/>
              </w:rPr>
            </w:pPr>
            <w:r>
              <w:rPr>
                <w:rFonts w:ascii="Arial" w:cs="Arial" w:eastAsia="Arial" w:hAnsi="Arial"/>
                <w:sz w:val="18"/>
                <w:szCs w:val="18"/>
                <w:color w:val="auto"/>
              </w:rPr>
              <w:t>Michael P. Duffy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w w:val="89"/>
              </w:rPr>
              <w:t>General Counsel, Secretary and Senior Vice President,</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Strategy and Business Development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January 5, 2018</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2019-12-07T23:35:47Z</dcterms:created>
  <dcterms:modified xsi:type="dcterms:W3CDTF">2019-12-07T23:35:47Z</dcterms:modified>
</cp:coreProperties>
</file>