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PATEL RAJIV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FARALLON CAPITAL MANAGEMENT, L.L.C.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MARITIME PLAZA,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08/06/2025</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Lantheus Holdings, Inc.</w:t>
              </w:r>
            </w:hyperlink>
            <w:r>
              <w:rPr/>
              <w:t xml:space="preserve"> [ </w:t>
            </w:r>
            <w:r>
              <w:rPr>
                <w:rFonts w:ascii="Times;serif" w:hAnsi="Times;serif"/>
                <w:color w:val="0000FF"/>
                <w:sz w:val="24"/>
                <w:shd w:fill="FFFFFF" w:val="clear"/>
              </w:rPr>
              <w:t>LNTH</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Member of a Group Owning 10%</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6,883,227</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(1)(2)(3)(4)(5)</w:t>
            </w:r>
            <w:r>
              <w:rPr/>
              <w:t xml:space="preserve">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PATEL RAJIV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FARALLON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MARITIME PLAZA,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Roberts Thomas G.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FARALLON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MARITIME PLAZA,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Saito Edric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FARALLON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MARITIME PLAZA,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Seybold William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FARALLON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MARITIME PLAZA,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Short Daniel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FARALLON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MARITIME PLAZA,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Spokes Andrew J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FARALLON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MARITIME PLAZA,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Warren John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FARALLON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MARITIME PLAZA,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WEHRLY MARK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FARALLON CAPITAL MANAGEMENT, L.L.C.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MARITIME PLAZA, SUITE 2100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entities and individuals identified in the footnotes of this Form 3 may be deemed members of a group holding equity securities of Lantheus Holdings, Inc. (the "Issuer"). The filing of this Form 3 and any statements included herein shall not be deemed to be an admission that such entities and individuals are members of such a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Since the number of reporting persons that may be listed on a Form 3 is limited, the entities and individuals listed in these footnotes that are not reporting persons on this Form 3 are filing an additional Form 3 on the date hereof as reporting persons with respect to the securities described herein (the "Parallel Form 3"). Information regarding these entities and individuals is included in this Form 3 for purposes of clarification and convenience only, and is duplicative of the information reported in the Parallel Form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amount of securities shown in this row is held directly by certain investment funds affiliated with the reporting persons (the "Farallon Funds").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Farallon Partners, L.L.C. and certain affiliated entities (the "Farallon General Partners"), as general partner or sole member of the general partner, as the case may be, of each of the Farallon Funds, may be deemed to be a beneficial owner of the Issuer's securities held by the Farallon Funds. The Farallon General Partners disclaim any beneficial ownership of any of the Issuer's securities reported or noted herein for purposes of Section 16 of the Securities Exchange Act of 1934, as amended (the "'34 Act"), or otherwise, except to the extent of their pecuniary interest,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of Joshua J. Dapice, Philip D. Dreyfuss, Hannah E. Dunn, Richard B. Fried, Varun N. Gehani, Nicolas Giauque, David T. Kim, Michael G. Linn, Patrick (Cheng) Luo, Rajiv A. Patel, Thomas G. Roberts, Jr., Edric C. Saito, William Seybold, Daniel S. Short, Andrew J. M. Spokes, John R. Warren, and Mark C. Wehrly (collectively, the "Managing Members"), as a managing member or manager, or senior managing member or senior manager, as the case may be, of each of the Farallon General Partners, in each case with the power to exercise investment discretion, may be deemed to be a beneficial owner of the Issuer's securities held by the Farallon Funds. Each of the Managing Members disclaims any beneficial ownership of any of the Issuer's securities reported or noted herein for purposes of Section 16 of the '34 Act or otherwise, except to the extent of his or her pecuniary interest, if 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On a Form 10-Q filed by the Issuer on August 6, 2025, the Issuer disclosed that, as of August 1, 2025, the Issuer had 67,994,149 shares of common stock outstanding. The reporting persons are filing this Form 3 to reflect the fact that, due solely to the reduction in the number of shares of common stock outstanding reflected in such Form 10-Q, the Farallon Funds hold greater than 10.0% of the common stock outstanding. This Form 3 does not reflect any acquisition of common stock by any reporting person. Exhibit List: Exhibit 24 - Powers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Hannah E. Dunn,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Hannah E. Dunn,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Hannah E. Dunn,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Hannah E. Dunn,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Hannah E. Dunn,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Hannah E. Dunn,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Hannah E. Dunn,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Hannah E. Dunn,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60"/>
        <w:jc w:val="center"/>
        <w:rPr>
          <w:rFonts w:ascii="Times New Roman;Times;serif" w:hAnsi="Times New Roman;Times;serif"/>
          <w:color w:val="000000"/>
          <w:sz w:val="24"/>
        </w:rPr>
      </w:pPr>
      <w:bookmarkStart w:id="2" w:name="poas.htm"/>
      <w:bookmarkStart w:id="3" w:name="kspoas"/>
      <w:bookmarkEnd w:id="2"/>
      <w:bookmarkEnd w:id="3"/>
      <w:r>
        <w:rPr>
          <w:rFonts w:ascii="Times New Roman;Times;serif" w:hAnsi="Times New Roman;Times;serif"/>
          <w:color w:val="000000"/>
          <w:sz w:val="24"/>
        </w:rPr>
        <w:t>POWER OF ATTORNEY</w:t>
      </w:r>
      <w:r>
        <w:br w:type="page"/>
      </w:r>
    </w:p>
    <w:p>
      <w:pPr>
        <w:pStyle w:val="TextBody"/>
        <w:bidi w:val="0"/>
        <w:spacing w:before="0" w:after="160"/>
        <w:jc w:val="both"/>
        <w:rPr>
          <w:rFonts w:ascii="Times New Roman;Times;serif" w:hAnsi="Times New Roman;Times;serif"/>
          <w:color w:val="000000"/>
          <w:sz w:val="24"/>
        </w:rPr>
      </w:pPr>
      <w:r>
        <w:rPr>
          <w:rFonts w:ascii="Times New Roman;Times;serif" w:hAnsi="Times New Roman;Times;serif"/>
          <w:color w:val="000000"/>
          <w:sz w:val="24"/>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pStyle w:val="TextBody"/>
        <w:bidi w:val="0"/>
        <w:spacing w:before="0" w:after="160"/>
        <w:jc w:val="left"/>
        <w:rPr/>
      </w:pPr>
      <w:r>
        <w:rPr/>
      </w:r>
    </w:p>
    <w:p>
      <w:pPr>
        <w:pStyle w:val="TextBody"/>
        <w:bidi w:val="0"/>
        <w:spacing w:before="0" w:after="160"/>
        <w:ind w:left="0" w:right="0" w:hanging="0"/>
        <w:jc w:val="both"/>
        <w:rPr>
          <w:rFonts w:ascii="Times New Roman;Times;serif" w:hAnsi="Times New Roman;Times;serif"/>
          <w:color w:val="000000"/>
          <w:sz w:val="20"/>
        </w:rPr>
      </w:pPr>
      <w:r>
        <w:rPr>
          <w:rFonts w:ascii="Times New Roman;Times;serif" w:hAnsi="Times New Roman;Times;serif"/>
          <w:color w:val="000000"/>
          <w:sz w:val="24"/>
        </w:rPr>
        <w:t>Date: December 26, 2024</w:t>
      </w:r>
      <w:r>
        <w:rPr>
          <w:rFonts w:ascii="Times New Roman;Times;serif" w:hAnsi="Times New Roman;Times;serif"/>
          <w:color w:val="000000"/>
          <w:sz w:val="20"/>
        </w:rPr>
        <w:t> </w:t>
      </w:r>
      <w:r>
        <w:rPr>
          <w:rFonts w:ascii="Times New Roman;Times;serif" w:hAnsi="Times New Roman;Times;serif"/>
          <w:color w:val="000000"/>
          <w:sz w:val="24"/>
          <w:u w:val="single"/>
        </w:rPr>
        <w:t>/s/ Rajiv A. Patel</w:t>
      </w:r>
    </w:p>
    <w:p>
      <w:pPr>
        <w:pStyle w:val="TextBody"/>
        <w:bidi w:val="0"/>
        <w:spacing w:before="0" w:after="160"/>
        <w:jc w:val="left"/>
        <w:rPr/>
      </w:pPr>
      <w:r>
        <w:rPr/>
      </w:r>
    </w:p>
    <w:p>
      <w:pPr>
        <w:pStyle w:val="TextBody"/>
        <w:bidi w:val="0"/>
        <w:spacing w:before="0" w:after="160"/>
        <w:jc w:val="center"/>
        <w:rPr>
          <w:rFonts w:ascii="Times New Roman;Times;serif" w:hAnsi="Times New Roman;Times;serif"/>
          <w:color w:val="000000"/>
          <w:sz w:val="24"/>
        </w:rPr>
      </w:pPr>
      <w:r>
        <w:rPr>
          <w:rFonts w:ascii="Times New Roman;Times;serif" w:hAnsi="Times New Roman;Times;serif"/>
          <w:color w:val="000000"/>
          <w:sz w:val="24"/>
        </w:rPr>
        <w:t>POWER OF ATTORNEY</w:t>
      </w:r>
    </w:p>
    <w:p>
      <w:pPr>
        <w:pStyle w:val="TextBody"/>
        <w:bidi w:val="0"/>
        <w:spacing w:before="0" w:after="160"/>
        <w:jc w:val="both"/>
        <w:rPr>
          <w:rFonts w:ascii="Times New Roman;Times;serif" w:hAnsi="Times New Roman;Times;serif"/>
          <w:color w:val="000000"/>
          <w:sz w:val="24"/>
        </w:rPr>
      </w:pPr>
      <w:r>
        <w:rPr>
          <w:rFonts w:ascii="Times New Roman;Times;serif" w:hAnsi="Times New Roman;Times;serif"/>
          <w:color w:val="000000"/>
          <w:sz w:val="24"/>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pStyle w:val="TextBody"/>
        <w:bidi w:val="0"/>
        <w:spacing w:before="0" w:after="160"/>
        <w:jc w:val="left"/>
        <w:rPr/>
      </w:pPr>
      <w:r>
        <w:rPr/>
      </w:r>
    </w:p>
    <w:p>
      <w:pPr>
        <w:pStyle w:val="TextBody"/>
        <w:bidi w:val="0"/>
        <w:spacing w:before="0" w:after="160"/>
        <w:ind w:left="0" w:right="0" w:hanging="0"/>
        <w:jc w:val="both"/>
        <w:rPr>
          <w:rFonts w:ascii="Times New Roman;Times;serif" w:hAnsi="Times New Roman;Times;serif"/>
          <w:color w:val="000000"/>
          <w:sz w:val="20"/>
        </w:rPr>
      </w:pPr>
      <w:r>
        <w:rPr>
          <w:rFonts w:ascii="Times New Roman;Times;serif" w:hAnsi="Times New Roman;Times;serif"/>
          <w:color w:val="000000"/>
          <w:sz w:val="24"/>
        </w:rPr>
        <w:t>Date: December 26, 2024</w:t>
      </w:r>
      <w:r>
        <w:rPr>
          <w:rFonts w:ascii="Times New Roman;Times;serif" w:hAnsi="Times New Roman;Times;serif"/>
          <w:color w:val="000000"/>
          <w:sz w:val="20"/>
        </w:rPr>
        <w:t> </w:t>
      </w:r>
      <w:r>
        <w:rPr>
          <w:rFonts w:ascii="Times New Roman;Times;serif" w:hAnsi="Times New Roman;Times;serif"/>
          <w:color w:val="000000"/>
          <w:sz w:val="24"/>
          <w:u w:val="single"/>
        </w:rPr>
        <w:t>/s/ Thomas G. Roberts, Jr.</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center"/>
        <w:rPr>
          <w:rFonts w:ascii="Times New Roman;Times;serif" w:hAnsi="Times New Roman;Times;serif"/>
          <w:color w:val="000000"/>
          <w:sz w:val="24"/>
        </w:rPr>
      </w:pPr>
      <w:r>
        <w:rPr>
          <w:rFonts w:ascii="Times New Roman;Times;serif" w:hAnsi="Times New Roman;Times;serif"/>
          <w:color w:val="000000"/>
          <w:sz w:val="24"/>
        </w:rPr>
        <w:t>POWER OF ATTORNEY</w:t>
      </w:r>
    </w:p>
    <w:p>
      <w:pPr>
        <w:pStyle w:val="TextBody"/>
        <w:bidi w:val="0"/>
        <w:spacing w:before="0" w:after="160"/>
        <w:jc w:val="both"/>
        <w:rPr>
          <w:rFonts w:ascii="Times New Roman;Times;serif" w:hAnsi="Times New Roman;Times;serif"/>
          <w:color w:val="000000"/>
          <w:sz w:val="24"/>
        </w:rPr>
      </w:pPr>
      <w:r>
        <w:rPr>
          <w:rFonts w:ascii="Times New Roman;Times;serif" w:hAnsi="Times New Roman;Times;serif"/>
          <w:color w:val="000000"/>
          <w:sz w:val="24"/>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pStyle w:val="TextBody"/>
        <w:bidi w:val="0"/>
        <w:spacing w:before="0" w:after="160"/>
        <w:jc w:val="left"/>
        <w:rPr/>
      </w:pPr>
      <w:r>
        <w:rPr/>
      </w:r>
    </w:p>
    <w:p>
      <w:pPr>
        <w:pStyle w:val="TextBody"/>
        <w:bidi w:val="0"/>
        <w:spacing w:before="0" w:after="160"/>
        <w:ind w:left="0" w:right="0" w:hanging="0"/>
        <w:jc w:val="both"/>
        <w:rPr>
          <w:rFonts w:ascii="Times New Roman;Times;serif" w:hAnsi="Times New Roman;Times;serif"/>
          <w:color w:val="000000"/>
          <w:sz w:val="20"/>
        </w:rPr>
      </w:pPr>
      <w:r>
        <w:rPr>
          <w:rFonts w:ascii="Times New Roman;Times;serif" w:hAnsi="Times New Roman;Times;serif"/>
          <w:color w:val="000000"/>
          <w:sz w:val="24"/>
        </w:rPr>
        <w:t>Date: December 26, 2024</w:t>
      </w:r>
      <w:r>
        <w:rPr>
          <w:rFonts w:ascii="Times New Roman;Times;serif" w:hAnsi="Times New Roman;Times;serif"/>
          <w:color w:val="000000"/>
          <w:sz w:val="20"/>
        </w:rPr>
        <w:t> </w:t>
      </w:r>
      <w:r>
        <w:rPr>
          <w:rFonts w:ascii="Times New Roman;Times;serif" w:hAnsi="Times New Roman;Times;serif"/>
          <w:color w:val="000000"/>
          <w:sz w:val="24"/>
          <w:u w:val="single"/>
        </w:rPr>
        <w:t>/s/ Edric C. Saito</w:t>
      </w:r>
    </w:p>
    <w:p>
      <w:pPr>
        <w:pStyle w:val="TextBody"/>
        <w:bidi w:val="0"/>
        <w:spacing w:before="0" w:after="160"/>
        <w:jc w:val="left"/>
        <w:rPr/>
      </w:pPr>
      <w:r>
        <w:rPr/>
      </w:r>
    </w:p>
    <w:p>
      <w:pPr>
        <w:pStyle w:val="TextBody"/>
        <w:bidi w:val="0"/>
        <w:spacing w:before="0" w:after="160"/>
        <w:jc w:val="center"/>
        <w:rPr>
          <w:rFonts w:ascii="Times New Roman;Times;serif" w:hAnsi="Times New Roman;Times;serif"/>
          <w:color w:val="000000"/>
          <w:sz w:val="24"/>
        </w:rPr>
      </w:pPr>
      <w:r>
        <w:rPr>
          <w:rFonts w:ascii="Times New Roman;Times;serif" w:hAnsi="Times New Roman;Times;serif"/>
          <w:color w:val="000000"/>
          <w:sz w:val="24"/>
        </w:rPr>
        <w:t>POWER OF ATTORNEY</w:t>
      </w:r>
    </w:p>
    <w:p>
      <w:pPr>
        <w:pStyle w:val="TextBody"/>
        <w:bidi w:val="0"/>
        <w:spacing w:before="0" w:after="160"/>
        <w:jc w:val="both"/>
        <w:rPr>
          <w:rFonts w:ascii="Times New Roman;Times;serif" w:hAnsi="Times New Roman;Times;serif"/>
          <w:color w:val="000000"/>
          <w:sz w:val="24"/>
        </w:rPr>
      </w:pPr>
      <w:r>
        <w:rPr>
          <w:rFonts w:ascii="Times New Roman;Times;serif" w:hAnsi="Times New Roman;Times;serif"/>
          <w:color w:val="000000"/>
          <w:sz w:val="24"/>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pStyle w:val="TextBody"/>
        <w:bidi w:val="0"/>
        <w:spacing w:before="0" w:after="160"/>
        <w:jc w:val="left"/>
        <w:rPr/>
      </w:pPr>
      <w:r>
        <w:rPr/>
      </w:r>
    </w:p>
    <w:p>
      <w:pPr>
        <w:pStyle w:val="TextBody"/>
        <w:bidi w:val="0"/>
        <w:spacing w:before="0" w:after="160"/>
        <w:ind w:left="0" w:right="0" w:hanging="0"/>
        <w:jc w:val="both"/>
        <w:rPr>
          <w:rFonts w:ascii="Times New Roman;Times;serif" w:hAnsi="Times New Roman;Times;serif"/>
          <w:color w:val="000000"/>
          <w:sz w:val="20"/>
        </w:rPr>
      </w:pPr>
      <w:r>
        <w:rPr>
          <w:rFonts w:ascii="Times New Roman;Times;serif" w:hAnsi="Times New Roman;Times;serif"/>
          <w:color w:val="000000"/>
          <w:sz w:val="24"/>
        </w:rPr>
        <w:t>Date: December 26, 2024</w:t>
      </w:r>
      <w:r>
        <w:rPr>
          <w:rFonts w:ascii="Times New Roman;Times;serif" w:hAnsi="Times New Roman;Times;serif"/>
          <w:color w:val="000000"/>
          <w:sz w:val="20"/>
        </w:rPr>
        <w:t> </w:t>
      </w:r>
      <w:r>
        <w:rPr>
          <w:rFonts w:ascii="Times New Roman;Times;serif" w:hAnsi="Times New Roman;Times;serif"/>
          <w:color w:val="000000"/>
          <w:sz w:val="24"/>
          <w:u w:val="single"/>
        </w:rPr>
        <w:t>/s/ William Seybold</w:t>
      </w:r>
    </w:p>
    <w:p>
      <w:pPr>
        <w:pStyle w:val="TextBody"/>
        <w:bidi w:val="0"/>
        <w:spacing w:before="0" w:after="160"/>
        <w:jc w:val="left"/>
        <w:rPr/>
      </w:pPr>
      <w:r>
        <w:rPr/>
      </w:r>
    </w:p>
    <w:p>
      <w:pPr>
        <w:pStyle w:val="TextBody"/>
        <w:bidi w:val="0"/>
        <w:spacing w:before="0" w:after="160"/>
        <w:jc w:val="center"/>
        <w:rPr>
          <w:rFonts w:ascii="Times New Roman;Times;serif" w:hAnsi="Times New Roman;Times;serif"/>
          <w:color w:val="000000"/>
          <w:sz w:val="24"/>
        </w:rPr>
      </w:pPr>
      <w:r>
        <w:rPr>
          <w:rFonts w:ascii="Times New Roman;Times;serif" w:hAnsi="Times New Roman;Times;serif"/>
          <w:color w:val="000000"/>
          <w:sz w:val="24"/>
        </w:rPr>
        <w:t>POWER OF ATTORNEY</w:t>
      </w:r>
    </w:p>
    <w:p>
      <w:pPr>
        <w:pStyle w:val="TextBody"/>
        <w:bidi w:val="0"/>
        <w:spacing w:before="0" w:after="160"/>
        <w:jc w:val="both"/>
        <w:rPr>
          <w:rFonts w:ascii="Times New Roman;Times;serif" w:hAnsi="Times New Roman;Times;serif"/>
          <w:color w:val="000000"/>
          <w:sz w:val="24"/>
        </w:rPr>
      </w:pPr>
      <w:r>
        <w:rPr>
          <w:rFonts w:ascii="Times New Roman;Times;serif" w:hAnsi="Times New Roman;Times;serif"/>
          <w:color w:val="000000"/>
          <w:sz w:val="24"/>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pStyle w:val="TextBody"/>
        <w:bidi w:val="0"/>
        <w:spacing w:before="0" w:after="160"/>
        <w:jc w:val="left"/>
        <w:rPr/>
      </w:pPr>
      <w:r>
        <w:rPr/>
      </w:r>
    </w:p>
    <w:p>
      <w:pPr>
        <w:pStyle w:val="TextBody"/>
        <w:bidi w:val="0"/>
        <w:spacing w:before="0" w:after="160"/>
        <w:ind w:left="0" w:right="0" w:hanging="0"/>
        <w:jc w:val="both"/>
        <w:rPr>
          <w:rFonts w:ascii="Times New Roman;Times;serif" w:hAnsi="Times New Roman;Times;serif"/>
          <w:color w:val="000000"/>
          <w:sz w:val="20"/>
        </w:rPr>
      </w:pPr>
      <w:r>
        <w:rPr>
          <w:rFonts w:ascii="Times New Roman;Times;serif" w:hAnsi="Times New Roman;Times;serif"/>
          <w:color w:val="000000"/>
          <w:sz w:val="24"/>
        </w:rPr>
        <w:t>Date: December 26, 2024</w:t>
      </w:r>
      <w:r>
        <w:rPr>
          <w:rFonts w:ascii="Times New Roman;Times;serif" w:hAnsi="Times New Roman;Times;serif"/>
          <w:color w:val="000000"/>
          <w:sz w:val="20"/>
        </w:rPr>
        <w:t> </w:t>
      </w:r>
      <w:r>
        <w:rPr>
          <w:rFonts w:ascii="Times New Roman;Times;serif" w:hAnsi="Times New Roman;Times;serif"/>
          <w:color w:val="000000"/>
          <w:sz w:val="24"/>
          <w:u w:val="single"/>
        </w:rPr>
        <w:t>/s/ Daniel S. Short</w:t>
      </w:r>
    </w:p>
    <w:p>
      <w:pPr>
        <w:pStyle w:val="TextBody"/>
        <w:bidi w:val="0"/>
        <w:spacing w:before="0" w:after="160"/>
        <w:jc w:val="left"/>
        <w:rPr/>
      </w:pPr>
      <w:r>
        <w:rPr/>
      </w:r>
    </w:p>
    <w:p>
      <w:pPr>
        <w:pStyle w:val="TextBody"/>
        <w:bidi w:val="0"/>
        <w:spacing w:before="0" w:after="160"/>
        <w:jc w:val="center"/>
        <w:rPr>
          <w:rFonts w:ascii="Times New Roman;Times;serif" w:hAnsi="Times New Roman;Times;serif"/>
          <w:color w:val="000000"/>
          <w:sz w:val="24"/>
        </w:rPr>
      </w:pPr>
      <w:r>
        <w:rPr>
          <w:rFonts w:ascii="Times New Roman;Times;serif" w:hAnsi="Times New Roman;Times;serif"/>
          <w:color w:val="000000"/>
          <w:sz w:val="24"/>
        </w:rPr>
        <w:t>POWER OF ATTORNEY</w:t>
      </w:r>
    </w:p>
    <w:p>
      <w:pPr>
        <w:pStyle w:val="TextBody"/>
        <w:bidi w:val="0"/>
        <w:spacing w:before="0" w:after="160"/>
        <w:jc w:val="both"/>
        <w:rPr>
          <w:rFonts w:ascii="Times New Roman;Times;serif" w:hAnsi="Times New Roman;Times;serif"/>
          <w:color w:val="000000"/>
          <w:sz w:val="24"/>
        </w:rPr>
      </w:pPr>
      <w:r>
        <w:rPr>
          <w:rFonts w:ascii="Times New Roman;Times;serif" w:hAnsi="Times New Roman;Times;serif"/>
          <w:color w:val="000000"/>
          <w:sz w:val="24"/>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pStyle w:val="TextBody"/>
        <w:bidi w:val="0"/>
        <w:spacing w:before="0" w:after="160"/>
        <w:jc w:val="left"/>
        <w:rPr/>
      </w:pPr>
      <w:r>
        <w:rPr/>
      </w:r>
    </w:p>
    <w:p>
      <w:pPr>
        <w:pStyle w:val="TextBody"/>
        <w:bidi w:val="0"/>
        <w:spacing w:before="0" w:after="160"/>
        <w:ind w:left="0" w:right="0" w:hanging="0"/>
        <w:jc w:val="both"/>
        <w:rPr>
          <w:rFonts w:ascii="Times New Roman;Times;serif" w:hAnsi="Times New Roman;Times;serif"/>
          <w:color w:val="000000"/>
          <w:sz w:val="20"/>
        </w:rPr>
      </w:pPr>
      <w:r>
        <w:rPr>
          <w:rFonts w:ascii="Times New Roman;Times;serif" w:hAnsi="Times New Roman;Times;serif"/>
          <w:color w:val="000000"/>
          <w:sz w:val="24"/>
        </w:rPr>
        <w:t>Date: December 26, 2024</w:t>
      </w:r>
      <w:r>
        <w:rPr>
          <w:rFonts w:ascii="Times New Roman;Times;serif" w:hAnsi="Times New Roman;Times;serif"/>
          <w:color w:val="000000"/>
          <w:sz w:val="20"/>
        </w:rPr>
        <w:t> </w:t>
      </w:r>
      <w:r>
        <w:rPr>
          <w:rFonts w:ascii="Times New Roman;Times;serif" w:hAnsi="Times New Roman;Times;serif"/>
          <w:color w:val="000000"/>
          <w:sz w:val="24"/>
          <w:u w:val="single"/>
        </w:rPr>
        <w:t>/s/ Andrew J.M. Spokes</w:t>
      </w:r>
    </w:p>
    <w:p>
      <w:pPr>
        <w:pStyle w:val="TextBody"/>
        <w:bidi w:val="0"/>
        <w:spacing w:before="0" w:after="160"/>
        <w:jc w:val="left"/>
        <w:rPr/>
      </w:pPr>
      <w:r>
        <w:rPr/>
      </w:r>
    </w:p>
    <w:p>
      <w:pPr>
        <w:pStyle w:val="TextBody"/>
        <w:bidi w:val="0"/>
        <w:spacing w:before="0" w:after="160"/>
        <w:jc w:val="center"/>
        <w:rPr>
          <w:rFonts w:ascii="Times New Roman;Times;serif" w:hAnsi="Times New Roman;Times;serif"/>
          <w:color w:val="000000"/>
          <w:sz w:val="24"/>
        </w:rPr>
      </w:pPr>
      <w:r>
        <w:rPr>
          <w:rFonts w:ascii="Times New Roman;Times;serif" w:hAnsi="Times New Roman;Times;serif"/>
          <w:color w:val="000000"/>
          <w:sz w:val="24"/>
        </w:rPr>
        <w:t>POWER OF ATTORNEY</w:t>
      </w:r>
    </w:p>
    <w:p>
      <w:pPr>
        <w:pStyle w:val="TextBody"/>
        <w:bidi w:val="0"/>
        <w:spacing w:before="0" w:after="160"/>
        <w:jc w:val="both"/>
        <w:rPr>
          <w:rFonts w:ascii="Times New Roman;Times;serif" w:hAnsi="Times New Roman;Times;serif"/>
          <w:color w:val="000000"/>
          <w:sz w:val="24"/>
        </w:rPr>
      </w:pPr>
      <w:r>
        <w:rPr>
          <w:rFonts w:ascii="Times New Roman;Times;serif" w:hAnsi="Times New Roman;Times;serif"/>
          <w:color w:val="000000"/>
          <w:sz w:val="24"/>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pStyle w:val="TextBody"/>
        <w:bidi w:val="0"/>
        <w:spacing w:before="0" w:after="160"/>
        <w:jc w:val="left"/>
        <w:rPr/>
      </w:pPr>
      <w:r>
        <w:rPr/>
      </w:r>
    </w:p>
    <w:p>
      <w:pPr>
        <w:pStyle w:val="TextBody"/>
        <w:bidi w:val="0"/>
        <w:spacing w:before="0" w:after="160"/>
        <w:ind w:left="0" w:right="0" w:hanging="0"/>
        <w:jc w:val="both"/>
        <w:rPr>
          <w:rFonts w:ascii="Times New Roman;Times;serif" w:hAnsi="Times New Roman;Times;serif"/>
          <w:color w:val="000000"/>
          <w:sz w:val="20"/>
        </w:rPr>
      </w:pPr>
      <w:r>
        <w:rPr>
          <w:rFonts w:ascii="Times New Roman;Times;serif" w:hAnsi="Times New Roman;Times;serif"/>
          <w:color w:val="000000"/>
          <w:sz w:val="24"/>
        </w:rPr>
        <w:t>Date: December 26, 2024</w:t>
      </w:r>
      <w:r>
        <w:rPr>
          <w:rFonts w:ascii="Times New Roman;Times;serif" w:hAnsi="Times New Roman;Times;serif"/>
          <w:color w:val="000000"/>
          <w:sz w:val="20"/>
        </w:rPr>
        <w:t> </w:t>
      </w:r>
      <w:r>
        <w:rPr>
          <w:rFonts w:ascii="Times New Roman;Times;serif" w:hAnsi="Times New Roman;Times;serif"/>
          <w:color w:val="000000"/>
          <w:sz w:val="24"/>
          <w:u w:val="single"/>
        </w:rPr>
        <w:t>/s/ John R. Warren</w:t>
      </w:r>
    </w:p>
    <w:p>
      <w:pPr>
        <w:pStyle w:val="TextBody"/>
        <w:bidi w:val="0"/>
        <w:spacing w:before="0" w:after="160"/>
        <w:jc w:val="left"/>
        <w:rPr/>
      </w:pPr>
      <w:r>
        <w:rPr/>
      </w:r>
    </w:p>
    <w:p>
      <w:pPr>
        <w:pStyle w:val="TextBody"/>
        <w:bidi w:val="0"/>
        <w:spacing w:before="0" w:after="160"/>
        <w:jc w:val="center"/>
        <w:rPr>
          <w:rFonts w:ascii="Times New Roman;Times;serif" w:hAnsi="Times New Roman;Times;serif"/>
          <w:color w:val="000000"/>
          <w:sz w:val="24"/>
        </w:rPr>
      </w:pPr>
      <w:r>
        <w:rPr>
          <w:rFonts w:ascii="Times New Roman;Times;serif" w:hAnsi="Times New Roman;Times;serif"/>
          <w:color w:val="000000"/>
          <w:sz w:val="24"/>
        </w:rPr>
        <w:t>POWER OF ATTORNEY</w:t>
      </w:r>
    </w:p>
    <w:p>
      <w:pPr>
        <w:pStyle w:val="TextBody"/>
        <w:bidi w:val="0"/>
        <w:spacing w:before="0" w:after="160"/>
        <w:jc w:val="both"/>
        <w:rPr>
          <w:rFonts w:ascii="Times New Roman;Times;serif" w:hAnsi="Times New Roman;Times;serif"/>
          <w:color w:val="000000"/>
          <w:sz w:val="24"/>
        </w:rPr>
      </w:pPr>
      <w:r>
        <w:rPr>
          <w:rFonts w:ascii="Times New Roman;Times;serif" w:hAnsi="Times New Roman;Times;serif"/>
          <w:color w:val="000000"/>
          <w:sz w:val="24"/>
        </w:rPr>
        <w:t>The undersigned hereby appoints each of Hannah E. Dunn, Philip D. Dreyfuss, David T. Kim, Thomas G. Roberts, Jr., John R. Warren, and Mark C. Wehrly his or her true and lawful attorney-in-fact and agent to execute and file with the Securities and Exchange Commission any Form 3, Form 4 or Form 5, any amendments thereto or any related documentation (together the “Filing Documentation”) which may be required to be filed in his or her individual capacity as a result of the undersigned’s position as managing member of Farallon Capital Management, L.L.C. and/or Farallon Partners, L.L.C., and granting unto each said attorney-in-fact and agent full power and authority to do and perform each and every act and thing which he might or could do in person, hereby ratifying and confirming all that each said attorney-in-fact and agent may lawfully do or cause to be done by virtue hereof. The authority of each of Hannah E. Dunn, Philip D. Dreyfuss, David T. Kim, Thomas G. Roberts, Jr., John R. Warren, and Mark C. Wehrly under this Power of Attorney shall continue with respect to the undersigned until the undersigned is no longer required to file the Filing Documentation unless revoked earlier in writing. The undersigned hereby revokes any and all prior Powers of Attorney executed by the undersigned in his or her capacity as a managing member of Farallon Capital Management, L.L.C. and/or Farallon Partners, L.L.C. with respect to the execution and filing of Filing Documentation.</w:t>
      </w:r>
    </w:p>
    <w:p>
      <w:pPr>
        <w:pStyle w:val="TextBody"/>
        <w:bidi w:val="0"/>
        <w:spacing w:before="0" w:after="160"/>
        <w:jc w:val="left"/>
        <w:rPr/>
      </w:pPr>
      <w:r>
        <w:rPr/>
      </w:r>
    </w:p>
    <w:p>
      <w:pPr>
        <w:pStyle w:val="TextBody"/>
        <w:bidi w:val="0"/>
        <w:spacing w:before="0" w:after="160"/>
        <w:ind w:left="0" w:right="0" w:hanging="0"/>
        <w:jc w:val="both"/>
        <w:rPr>
          <w:rFonts w:ascii="Times New Roman;Times;serif" w:hAnsi="Times New Roman;Times;serif"/>
          <w:color w:val="000000"/>
          <w:sz w:val="20"/>
        </w:rPr>
      </w:pPr>
      <w:r>
        <w:rPr>
          <w:rFonts w:ascii="Times New Roman;Times;serif" w:hAnsi="Times New Roman;Times;serif"/>
          <w:color w:val="000000"/>
          <w:sz w:val="24"/>
        </w:rPr>
        <w:t>Date: December 26, 2024</w:t>
      </w:r>
      <w:r>
        <w:rPr>
          <w:rFonts w:ascii="Times New Roman;Times;serif" w:hAnsi="Times New Roman;Times;serif"/>
          <w:color w:val="000000"/>
          <w:sz w:val="20"/>
        </w:rPr>
        <w:t> </w:t>
      </w:r>
      <w:r>
        <w:rPr>
          <w:rFonts w:ascii="Times New Roman;Times;serif" w:hAnsi="Times New Roman;Times;serif"/>
          <w:color w:val="000000"/>
          <w:sz w:val="24"/>
          <w:u w:val="single"/>
        </w:rPr>
        <w:t>/s/ Mark C. Wehrly</w:t>
      </w:r>
    </w:p>
    <w:p>
      <w:pPr>
        <w:pStyle w:val="TextBody"/>
        <w:bidi w:val="0"/>
        <w:spacing w:before="0" w:after="16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75110" TargetMode="External"/><Relationship Id="rId3" Type="http://schemas.openxmlformats.org/officeDocument/2006/relationships/hyperlink" Target="http://www.sec.gov/cgi-bin/browse-edgar?action=getcompany&amp;CIK=000152103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1275110" TargetMode="External"/><Relationship Id="rId7" Type="http://schemas.openxmlformats.org/officeDocument/2006/relationships/hyperlink" Target="http://www.sec.gov/cgi-bin/browse-edgar?action=getcompany&amp;CIK=0001453042" TargetMode="External"/><Relationship Id="rId8" Type="http://schemas.openxmlformats.org/officeDocument/2006/relationships/hyperlink" Target="http://www.sec.gov/cgi-bin/browse-edgar?action=getcompany&amp;CIK=0001960819" TargetMode="External"/><Relationship Id="rId9" Type="http://schemas.openxmlformats.org/officeDocument/2006/relationships/hyperlink" Target="http://www.sec.gov/cgi-bin/browse-edgar?action=getcompany&amp;CIK=0001693980" TargetMode="External"/><Relationship Id="rId10" Type="http://schemas.openxmlformats.org/officeDocument/2006/relationships/hyperlink" Target="http://www.sec.gov/cgi-bin/browse-edgar?action=getcompany&amp;CIK=0001960871" TargetMode="External"/><Relationship Id="rId11" Type="http://schemas.openxmlformats.org/officeDocument/2006/relationships/hyperlink" Target="http://www.sec.gov/cgi-bin/browse-edgar?action=getcompany&amp;CIK=0001372968" TargetMode="External"/><Relationship Id="rId12" Type="http://schemas.openxmlformats.org/officeDocument/2006/relationships/hyperlink" Target="http://www.sec.gov/cgi-bin/browse-edgar?action=getcompany&amp;CIK=0001509711" TargetMode="External"/><Relationship Id="rId13" Type="http://schemas.openxmlformats.org/officeDocument/2006/relationships/hyperlink" Target="http://www.sec.gov/cgi-bin/browse-edgar?action=getcompany&amp;CIK=0001245635"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3266</Words>
  <Characters>16824</Characters>
  <CharactersWithSpaces>19900</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