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492125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219075</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247015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November 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234315</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LANTHEUS HOLDINGS,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227965</wp:posOffset>
            </wp:positionV>
            <wp:extent cx="1603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35-2318913</w:t>
      </w:r>
    </w:p>
    <w:p>
      <w:pPr>
        <w:spacing w:after="0" w:line="82" w:lineRule="exact"/>
        <w:rPr>
          <w:sz w:val="24"/>
          <w:szCs w:val="24"/>
          <w:color w:val="auto"/>
        </w:rPr>
      </w:pPr>
    </w:p>
    <w:p>
      <w:pPr>
        <w:sectPr>
          <w:pgSz w:w="11900" w:h="16838" w:orient="portrait"/>
          <w:cols w:equalWidth="0" w:num="3">
            <w:col w:w="4680" w:space="720"/>
            <w:col w:w="2980" w:space="720"/>
            <w:col w:w="2260"/>
          </w:cols>
          <w:pgMar w:left="240" w:top="909" w:right="299" w:bottom="1440" w:gutter="0" w:footer="0" w:header="0"/>
          <w:type w:val="continuous"/>
        </w:sectPr>
      </w:pPr>
    </w:p>
    <w:p>
      <w:pPr>
        <w:jc w:val="center"/>
        <w:ind w:right="72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260"/>
        <w:spacing w:after="0"/>
        <w:rPr>
          <w:sz w:val="20"/>
          <w:szCs w:val="20"/>
          <w:color w:val="auto"/>
        </w:rPr>
      </w:pPr>
      <w:r>
        <w:rPr>
          <w:rFonts w:ascii="Arial" w:cs="Arial" w:eastAsia="Arial" w:hAnsi="Arial"/>
          <w:sz w:val="13"/>
          <w:szCs w:val="13"/>
          <w:b w:val="1"/>
          <w:bCs w:val="1"/>
          <w:color w:val="auto"/>
        </w:rPr>
        <w:t>Identification No.)</w:t>
      </w:r>
    </w:p>
    <w:p>
      <w:pPr>
        <w:spacing w:after="0" w:line="190" w:lineRule="exact"/>
        <w:rPr>
          <w:sz w:val="24"/>
          <w:szCs w:val="24"/>
          <w:color w:val="auto"/>
        </w:rPr>
      </w:pPr>
    </w:p>
    <w:p>
      <w:pPr>
        <w:sectPr>
          <w:pgSz w:w="11900" w:h="16838" w:orient="portrait"/>
          <w:cols w:equalWidth="0" w:num="3">
            <w:col w:w="4640" w:space="720"/>
            <w:col w:w="2900" w:space="720"/>
            <w:col w:w="2380"/>
          </w:cols>
          <w:pgMar w:left="240" w:top="909" w:right="299" w:bottom="1440" w:gutter="0" w:footer="0" w:header="0"/>
          <w:type w:val="continuous"/>
        </w:sectPr>
      </w:pPr>
    </w:p>
    <w:p>
      <w:pPr>
        <w:ind w:left="1600"/>
        <w:spacing w:after="0"/>
        <w:rPr>
          <w:sz w:val="20"/>
          <w:szCs w:val="20"/>
          <w:color w:val="auto"/>
        </w:rPr>
      </w:pPr>
      <w:r>
        <w:rPr>
          <w:rFonts w:ascii="Arial" w:cs="Arial" w:eastAsia="Arial" w:hAnsi="Arial"/>
          <w:sz w:val="16"/>
          <w:szCs w:val="16"/>
          <w:b w:val="1"/>
          <w:bCs w:val="1"/>
          <w:color w:val="auto"/>
        </w:rPr>
        <w:t>331 Treble Cove Road, North Billerica,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01862</w:t>
      </w:r>
    </w:p>
    <w:p>
      <w:pPr>
        <w:spacing w:after="0" w:line="93" w:lineRule="exact"/>
        <w:rPr>
          <w:sz w:val="24"/>
          <w:szCs w:val="24"/>
          <w:color w:val="auto"/>
        </w:rPr>
      </w:pPr>
    </w:p>
    <w:p>
      <w:pPr>
        <w:sectPr>
          <w:pgSz w:w="11900" w:h="16838" w:orient="portrait"/>
          <w:cols w:equalWidth="0" w:num="2">
            <w:col w:w="7520" w:space="720"/>
            <w:col w:w="3120"/>
          </w:cols>
          <w:pgMar w:left="240" w:top="909" w:right="299" w:bottom="1440" w:gutter="0" w:footer="0" w:header="0"/>
          <w:type w:val="continuous"/>
        </w:sectPr>
      </w:pPr>
    </w:p>
    <w:p>
      <w:pPr>
        <w:ind w:left="20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400" w:space="720"/>
            <w:col w:w="3240"/>
          </w:cols>
          <w:pgMar w:left="240" w:top="909" w:right="299" w:bottom="1440" w:gutter="0" w:footer="0" w:header="0"/>
          <w:type w:val="continuous"/>
        </w:sectPr>
      </w:pPr>
    </w:p>
    <w:p>
      <w:pPr>
        <w:spacing w:after="0" w:line="11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(978) 671-8001</w:t>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5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246380</wp:posOffset>
            </wp:positionV>
            <wp:extent cx="1603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4"/>
          <w:szCs w:val="24"/>
          <w:color w:val="auto"/>
        </w:rPr>
      </w:pPr>
    </w:p>
    <w:p>
      <w:pPr>
        <w:ind w:left="460" w:hanging="43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3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3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3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ind w:left="69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wp:posOffset>
            </wp:positionH>
            <wp:positionV relativeFrom="paragraph">
              <wp:posOffset>167640</wp:posOffset>
            </wp:positionV>
            <wp:extent cx="7160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73660</wp:posOffset>
            </wp:positionV>
            <wp:extent cx="7160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On November 2, 2017, Lantheus Holdings, Inc. (the “Company”) announced via press release its financial results as of and for the three and nine months ended September 30, 2017. A copy of that press release is being furnished as Exhibit 99.1 and is hereby incorporated by reference.</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furnished pursuant to this Item 2.02,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p>
    <w:p>
      <w:pPr>
        <w:spacing w:after="0" w:line="28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8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rPr>
              <w:t>Exhibit No.</w:t>
            </w:r>
          </w:p>
        </w:tc>
        <w:tc>
          <w:tcPr>
            <w:tcW w:w="9240" w:type="dxa"/>
            <w:vAlign w:val="bottom"/>
            <w:gridSpan w:val="4"/>
          </w:tcPr>
          <w:p>
            <w:pPr>
              <w:ind w:left="4620"/>
              <w:spacing w:after="0"/>
              <w:rPr>
                <w:sz w:val="20"/>
                <w:szCs w:val="20"/>
                <w:color w:val="auto"/>
              </w:rPr>
            </w:pPr>
            <w:r>
              <w:rPr>
                <w:rFonts w:ascii="Arial" w:cs="Arial" w:eastAsia="Arial" w:hAnsi="Arial"/>
                <w:sz w:val="14"/>
                <w:szCs w:val="14"/>
                <w:color w:val="auto"/>
              </w:rPr>
              <w:t>Description</w:t>
            </w:r>
          </w:p>
        </w:tc>
      </w:tr>
      <w:tr>
        <w:trPr>
          <w:trHeight w:val="20"/>
        </w:trPr>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385"/>
        </w:trPr>
        <w:tc>
          <w:tcPr>
            <w:tcW w:w="860" w:type="dxa"/>
            <w:vAlign w:val="bottom"/>
            <w:gridSpan w:val="2"/>
          </w:tcPr>
          <w:p>
            <w:pPr>
              <w:jc w:val="right"/>
              <w:ind w:right="388"/>
              <w:spacing w:after="0"/>
              <w:rPr>
                <w:sz w:val="20"/>
                <w:szCs w:val="20"/>
                <w:color w:val="auto"/>
              </w:rPr>
            </w:pPr>
            <w:r>
              <w:rPr>
                <w:rFonts w:ascii="Arial" w:cs="Arial" w:eastAsia="Arial" w:hAnsi="Arial"/>
                <w:sz w:val="18"/>
                <w:szCs w:val="18"/>
                <w:color w:val="auto"/>
                <w:w w:val="90"/>
              </w:rPr>
              <w:t>99.1*</w:t>
            </w:r>
          </w:p>
        </w:tc>
        <w:tc>
          <w:tcPr>
            <w:tcW w:w="480" w:type="dxa"/>
            <w:vAlign w:val="bottom"/>
          </w:tcPr>
          <w:p>
            <w:pPr>
              <w:spacing w:after="0"/>
              <w:rPr>
                <w:sz w:val="24"/>
                <w:szCs w:val="24"/>
                <w:color w:val="auto"/>
              </w:rPr>
            </w:pPr>
          </w:p>
        </w:tc>
        <w:tc>
          <w:tcPr>
            <w:tcW w:w="924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Press release of Lantheus Holdings, Inc. dated November 2, 2017, entitled ''Lantheus Holdings, Inc. Reports 2017 Third Quarter</w:t>
              </w:r>
            </w:hyperlink>
          </w:p>
        </w:tc>
      </w:tr>
      <w:tr>
        <w:trPr>
          <w:trHeight w:val="196"/>
        </w:trPr>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4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5">
              <w:r>
                <w:rPr>
                  <w:rFonts w:ascii="Arial" w:cs="Arial" w:eastAsia="Arial" w:hAnsi="Arial"/>
                  <w:sz w:val="18"/>
                  <w:szCs w:val="18"/>
                  <w:color w:val="0000FF"/>
                  <w:w w:val="90"/>
                </w:rPr>
                <w:t>Financial Results; Exceeds Third Quarter and Raises Full-Year 2017 Guidance''</w:t>
              </w:r>
            </w:hyperlink>
          </w:p>
        </w:tc>
        <w:tc>
          <w:tcPr>
            <w:tcW w:w="3500" w:type="dxa"/>
            <w:vAlign w:val="bottom"/>
          </w:tcPr>
          <w:p>
            <w:pPr>
              <w:spacing w:after="0"/>
              <w:rPr>
                <w:sz w:val="17"/>
                <w:szCs w:val="17"/>
                <w:color w:val="auto"/>
              </w:rPr>
            </w:pPr>
          </w:p>
        </w:tc>
      </w:tr>
    </w:tbl>
    <w:p>
      <w:pPr>
        <w:spacing w:after="0" w:line="256" w:lineRule="exact"/>
        <w:rPr>
          <w:sz w:val="20"/>
          <w:szCs w:val="20"/>
          <w:color w:val="auto"/>
        </w:rPr>
      </w:pPr>
    </w:p>
    <w:p>
      <w:pPr>
        <w:jc w:val="both"/>
        <w:ind w:left="460" w:right="140" w:hanging="438"/>
        <w:spacing w:after="0" w:line="286" w:lineRule="auto"/>
        <w:tabs>
          <w:tab w:leader="none" w:pos="4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Exhibit 99.1 attached hereto is being furnished and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except as shall be expressly set forth by specific reference in such filing.</w:t>
      </w:r>
    </w:p>
    <w:p>
      <w:pPr>
        <w:sectPr>
          <w:pgSz w:w="11900" w:h="16838" w:orient="portrait"/>
          <w:cols w:equalWidth="0" w:num="1">
            <w:col w:w="11360"/>
          </w:cols>
          <w:pgMar w:left="240" w:top="364"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LANTHEUS HOLDINGS, INC.</w:t>
      </w:r>
    </w:p>
    <w:p>
      <w:pPr>
        <w:spacing w:after="0" w:line="333"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ind w:left="20"/>
              <w:spacing w:after="0"/>
              <w:rPr>
                <w:sz w:val="20"/>
                <w:szCs w:val="20"/>
                <w:color w:val="auto"/>
              </w:rPr>
            </w:pPr>
            <w:r>
              <w:rPr>
                <w:rFonts w:ascii="Arial" w:cs="Arial" w:eastAsia="Arial" w:hAnsi="Arial"/>
                <w:sz w:val="18"/>
                <w:szCs w:val="18"/>
                <w:color w:val="auto"/>
              </w:rPr>
              <w:t>/s/ Michael P. Duffy</w:t>
            </w:r>
          </w:p>
        </w:tc>
        <w:tc>
          <w:tcPr>
            <w:tcW w:w="0" w:type="dxa"/>
            <w:vAlign w:val="bottom"/>
          </w:tcPr>
          <w:p>
            <w:pPr>
              <w:spacing w:after="0"/>
              <w:rPr>
                <w:sz w:val="1"/>
                <w:szCs w:val="1"/>
                <w:color w:val="auto"/>
              </w:rPr>
            </w:pPr>
          </w:p>
        </w:tc>
      </w:tr>
      <w:tr>
        <w:trPr>
          <w:trHeight w:val="102"/>
        </w:trPr>
        <w:tc>
          <w:tcPr>
            <w:tcW w:w="7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Michael P. Duffy</w:t>
            </w:r>
          </w:p>
        </w:tc>
        <w:tc>
          <w:tcPr>
            <w:tcW w:w="0" w:type="dxa"/>
            <w:vAlign w:val="bottom"/>
          </w:tcPr>
          <w:p>
            <w:pPr>
              <w:spacing w:after="0"/>
              <w:rPr>
                <w:sz w:val="1"/>
                <w:szCs w:val="1"/>
                <w:color w:val="auto"/>
              </w:rPr>
            </w:pPr>
          </w:p>
        </w:tc>
      </w:tr>
      <w:tr>
        <w:trPr>
          <w:trHeight w:val="323"/>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
              <w:spacing w:after="0"/>
              <w:rPr>
                <w:sz w:val="20"/>
                <w:szCs w:val="20"/>
                <w:color w:val="auto"/>
              </w:rPr>
            </w:pPr>
            <w:r>
              <w:rPr>
                <w:rFonts w:ascii="Arial" w:cs="Arial" w:eastAsia="Arial" w:hAnsi="Arial"/>
                <w:sz w:val="18"/>
                <w:szCs w:val="18"/>
                <w:color w:val="auto"/>
              </w:rPr>
              <w:t>Senior Vice President, Strategy and Business</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Development, General Counsel and Secretary</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ectPr>
          <w:pgSz w:w="11900" w:h="16838" w:orient="portrait"/>
          <w:cols w:equalWidth="0" w:num="1">
            <w:col w:w="11420"/>
          </w:cols>
          <w:pgMar w:left="240" w:top="364" w:right="239" w:bottom="1440" w:gutter="0" w:footer="0" w:header="0"/>
        </w:sectPr>
      </w:pPr>
    </w:p>
    <w:bookmarkStart w:id="3" w:name="page4"/>
    <w:bookmarkEnd w:id="3"/>
    <w:tbl>
      <w:tblPr>
        <w:tblLayout w:type="fixed"/>
        <w:tblInd w:w="138"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40" w:type="dxa"/>
            <w:vAlign w:val="bottom"/>
            <w:gridSpan w:val="4"/>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675"/>
        </w:trPr>
        <w:tc>
          <w:tcPr>
            <w:tcW w:w="14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Exhibit No.</w:t>
            </w:r>
          </w:p>
        </w:tc>
        <w:tc>
          <w:tcPr>
            <w:tcW w:w="9240" w:type="dxa"/>
            <w:vAlign w:val="bottom"/>
            <w:gridSpan w:val="4"/>
          </w:tcPr>
          <w:p>
            <w:pPr>
              <w:ind w:left="4660"/>
              <w:spacing w:after="0"/>
              <w:rPr>
                <w:sz w:val="20"/>
                <w:szCs w:val="20"/>
                <w:color w:val="auto"/>
              </w:rPr>
            </w:pPr>
            <w:r>
              <w:rPr>
                <w:rFonts w:ascii="Arial" w:cs="Arial" w:eastAsia="Arial" w:hAnsi="Arial"/>
                <w:sz w:val="14"/>
                <w:szCs w:val="14"/>
                <w:color w:val="auto"/>
              </w:rPr>
              <w:t>Description</w:t>
            </w:r>
          </w:p>
        </w:tc>
      </w:tr>
      <w:tr>
        <w:trPr>
          <w:trHeight w:val="20"/>
        </w:trPr>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385"/>
        </w:trPr>
        <w:tc>
          <w:tcPr>
            <w:tcW w:w="800" w:type="dxa"/>
            <w:vAlign w:val="bottom"/>
            <w:gridSpan w:val="2"/>
          </w:tcPr>
          <w:p>
            <w:pPr>
              <w:jc w:val="right"/>
              <w:ind w:right="328"/>
              <w:spacing w:after="0"/>
              <w:rPr>
                <w:sz w:val="20"/>
                <w:szCs w:val="20"/>
                <w:color w:val="auto"/>
              </w:rPr>
            </w:pPr>
            <w:r>
              <w:rPr>
                <w:rFonts w:ascii="Arial" w:cs="Arial" w:eastAsia="Arial" w:hAnsi="Arial"/>
                <w:sz w:val="18"/>
                <w:szCs w:val="18"/>
                <w:color w:val="auto"/>
                <w:w w:val="90"/>
              </w:rPr>
              <w:t>99.1*</w:t>
            </w:r>
          </w:p>
        </w:tc>
        <w:tc>
          <w:tcPr>
            <w:tcW w:w="420" w:type="dxa"/>
            <w:vAlign w:val="bottom"/>
          </w:tcPr>
          <w:p>
            <w:pPr>
              <w:spacing w:after="0"/>
              <w:rPr>
                <w:sz w:val="24"/>
                <w:szCs w:val="24"/>
                <w:color w:val="auto"/>
              </w:rPr>
            </w:pPr>
          </w:p>
        </w:tc>
        <w:tc>
          <w:tcPr>
            <w:tcW w:w="924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Press release of Lantheus Holdings, Inc. dated November 2, 2017, entitled ''Lantheus Holdings, Inc. Reports 2017 Third Quarter</w:t>
              </w:r>
            </w:hyperlink>
          </w:p>
        </w:tc>
      </w:tr>
      <w:tr>
        <w:trPr>
          <w:trHeight w:val="196"/>
        </w:trPr>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74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5">
              <w:r>
                <w:rPr>
                  <w:rFonts w:ascii="Arial" w:cs="Arial" w:eastAsia="Arial" w:hAnsi="Arial"/>
                  <w:sz w:val="18"/>
                  <w:szCs w:val="18"/>
                  <w:color w:val="0000FF"/>
                  <w:w w:val="90"/>
                </w:rPr>
                <w:t>Financial Results; Exceeds Third Quarter and Raises Full-Year 2017 Guidance''</w:t>
              </w:r>
            </w:hyperlink>
          </w:p>
        </w:tc>
        <w:tc>
          <w:tcPr>
            <w:tcW w:w="3500" w:type="dxa"/>
            <w:vAlign w:val="bottom"/>
          </w:tcPr>
          <w:p>
            <w:pPr>
              <w:spacing w:after="0"/>
              <w:rPr>
                <w:sz w:val="17"/>
                <w:szCs w:val="17"/>
                <w:color w:val="auto"/>
              </w:rPr>
            </w:pPr>
          </w:p>
        </w:tc>
      </w:tr>
    </w:tbl>
    <w:p>
      <w:pPr>
        <w:spacing w:after="0" w:line="256" w:lineRule="exact"/>
        <w:rPr>
          <w:sz w:val="20"/>
          <w:szCs w:val="20"/>
          <w:color w:val="auto"/>
        </w:rPr>
      </w:pPr>
    </w:p>
    <w:p>
      <w:pPr>
        <w:jc w:val="both"/>
        <w:ind w:left="438" w:hanging="438"/>
        <w:spacing w:after="0" w:line="286" w:lineRule="auto"/>
        <w:tabs>
          <w:tab w:leader="none" w:pos="438"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Exhibit 99.1 attached hereto is being furnished and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except as shall be expressly set forth by specific reference in such filing.</w:t>
      </w:r>
    </w:p>
    <w:p>
      <w:pPr>
        <w:sectPr>
          <w:pgSz w:w="11900" w:h="16838" w:orient="portrait"/>
          <w:cols w:equalWidth="0" w:num="1">
            <w:col w:w="11198"/>
          </w:cols>
          <w:pgMar w:left="262" w:top="364" w:right="439" w:bottom="1440" w:gutter="0" w:footer="0" w:header="0"/>
        </w:sectPr>
      </w:pPr>
    </w:p>
    <w:bookmarkStart w:id="4" w:name="page5"/>
    <w:bookmarkEnd w:id="4"/>
    <w:p>
      <w:pPr>
        <w:ind w:left="7120"/>
        <w:spacing w:after="0"/>
        <w:rPr>
          <w:sz w:val="20"/>
          <w:szCs w:val="20"/>
          <w:color w:val="auto"/>
        </w:rPr>
      </w:pPr>
      <w:r>
        <w:rPr>
          <w:rFonts w:ascii="Arial" w:cs="Arial" w:eastAsia="Arial" w:hAnsi="Arial"/>
          <w:sz w:val="18"/>
          <w:szCs w:val="18"/>
          <w:color w:val="auto"/>
        </w:rPr>
        <w:t>331 Treble Cove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-121920</wp:posOffset>
            </wp:positionV>
            <wp:extent cx="1749425" cy="488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49425" cy="488950"/>
                    </a:xfrm>
                    <a:prstGeom prst="rect">
                      <a:avLst/>
                    </a:prstGeom>
                    <a:noFill/>
                  </pic:spPr>
                </pic:pic>
              </a:graphicData>
            </a:graphic>
          </wp:anchor>
        </w:drawing>
      </w:r>
    </w:p>
    <w:p>
      <w:pPr>
        <w:spacing w:after="0" w:line="3"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North Billerica, MA 01862</w:t>
      </w:r>
    </w:p>
    <w:p>
      <w:pPr>
        <w:spacing w:after="0" w:line="20" w:lineRule="exact"/>
        <w:rPr>
          <w:sz w:val="20"/>
          <w:szCs w:val="20"/>
          <w:color w:val="auto"/>
        </w:rPr>
      </w:pPr>
      <w:r>
        <w:rPr>
          <w:sz w:val="20"/>
          <w:szCs w:val="20"/>
          <w:color w:val="auto"/>
        </w:rPr>
        <w:br w:type="column"/>
      </w:r>
    </w:p>
    <w:p>
      <w:pPr>
        <w:ind w:right="280"/>
        <w:spacing w:after="0" w:line="342" w:lineRule="auto"/>
        <w:rPr>
          <w:sz w:val="20"/>
          <w:szCs w:val="20"/>
          <w:color w:val="auto"/>
        </w:rPr>
      </w:pPr>
      <w:r>
        <w:rPr>
          <w:rFonts w:ascii="Arial" w:cs="Arial" w:eastAsia="Arial" w:hAnsi="Arial"/>
          <w:sz w:val="16"/>
          <w:szCs w:val="16"/>
          <w:color w:val="auto"/>
        </w:rPr>
        <w:t>800.362.2668 www.lantheus.com</w:t>
      </w:r>
    </w:p>
    <w:p>
      <w:pPr>
        <w:spacing w:after="0" w:line="200" w:lineRule="exact"/>
        <w:rPr>
          <w:sz w:val="20"/>
          <w:szCs w:val="20"/>
          <w:color w:val="auto"/>
        </w:rPr>
      </w:pPr>
    </w:p>
    <w:p>
      <w:pPr>
        <w:sectPr>
          <w:pgSz w:w="11900" w:h="16838" w:orient="portrait"/>
          <w:cols w:equalWidth="0" w:num="2">
            <w:col w:w="9060" w:space="680"/>
            <w:col w:w="1660"/>
          </w:cols>
          <w:pgMar w:left="240" w:top="1179" w:right="259" w:bottom="1440" w:gutter="0" w:footer="0" w:header="0"/>
        </w:sect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Lantheus Holdings, Inc. Reports 2017 Third Quarter Financial Results; Exceeds Third Quarter and Raises Full-Year 2017 Guidance</w:t>
      </w:r>
    </w:p>
    <w:p>
      <w:pPr>
        <w:spacing w:after="0" w:line="299" w:lineRule="exact"/>
        <w:rPr>
          <w:sz w:val="20"/>
          <w:szCs w:val="20"/>
          <w:color w:val="auto"/>
        </w:rPr>
      </w:pPr>
    </w:p>
    <w:p>
      <w:pPr>
        <w:ind w:left="420" w:hanging="250"/>
        <w:spacing w:after="0"/>
        <w:tabs>
          <w:tab w:leader="none" w:pos="420" w:val="left"/>
        </w:tabs>
        <w:numPr>
          <w:ilvl w:val="0"/>
          <w:numId w:val="4"/>
        </w:numPr>
        <w:rPr>
          <w:rFonts w:ascii="Arial" w:cs="Arial" w:eastAsia="Arial" w:hAnsi="Arial"/>
          <w:sz w:val="19"/>
          <w:szCs w:val="19"/>
          <w:i w:val="1"/>
          <w:iCs w:val="1"/>
          <w:color w:val="auto"/>
        </w:rPr>
      </w:pPr>
      <w:r>
        <w:rPr>
          <w:rFonts w:ascii="Arial" w:cs="Arial" w:eastAsia="Arial" w:hAnsi="Arial"/>
          <w:sz w:val="19"/>
          <w:szCs w:val="19"/>
          <w:i w:val="1"/>
          <w:iCs w:val="1"/>
          <w:color w:val="auto"/>
        </w:rPr>
        <w:t>Posts Q3 revenue of $79.9 million, up 9.4% from prior year; net income of $8.5 million and Adjusted EBITDA of $22.6 million</w:t>
      </w:r>
    </w:p>
    <w:p>
      <w:pPr>
        <w:spacing w:after="0" w:line="227" w:lineRule="exact"/>
        <w:rPr>
          <w:rFonts w:ascii="Arial" w:cs="Arial" w:eastAsia="Arial" w:hAnsi="Arial"/>
          <w:sz w:val="19"/>
          <w:szCs w:val="19"/>
          <w:i w:val="1"/>
          <w:iCs w:val="1"/>
          <w:color w:val="auto"/>
        </w:rPr>
      </w:pPr>
    </w:p>
    <w:p>
      <w:pPr>
        <w:ind w:left="420" w:hanging="250"/>
        <w:spacing w:after="0"/>
        <w:tabs>
          <w:tab w:leader="none" w:pos="420" w:val="left"/>
        </w:tabs>
        <w:numPr>
          <w:ilvl w:val="0"/>
          <w:numId w:val="4"/>
        </w:numPr>
        <w:rPr>
          <w:rFonts w:ascii="Arial" w:cs="Arial" w:eastAsia="Arial" w:hAnsi="Arial"/>
          <w:sz w:val="20"/>
          <w:szCs w:val="20"/>
          <w:i w:val="1"/>
          <w:iCs w:val="1"/>
          <w:color w:val="auto"/>
        </w:rPr>
      </w:pPr>
      <w:r>
        <w:rPr>
          <w:rFonts w:ascii="Arial" w:cs="Arial" w:eastAsia="Arial" w:hAnsi="Arial"/>
          <w:sz w:val="20"/>
          <w:szCs w:val="20"/>
          <w:i w:val="1"/>
          <w:iCs w:val="1"/>
          <w:color w:val="auto"/>
        </w:rPr>
        <w:t>DEFINITY® worldwide revenues increase 15.7% over prior year period</w:t>
      </w:r>
    </w:p>
    <w:p>
      <w:pPr>
        <w:spacing w:after="0" w:line="160" w:lineRule="exact"/>
        <w:rPr>
          <w:sz w:val="20"/>
          <w:szCs w:val="20"/>
          <w:color w:val="auto"/>
        </w:rPr>
      </w:pPr>
    </w:p>
    <w:p>
      <w:pPr>
        <w:ind w:right="140"/>
        <w:spacing w:after="0" w:line="376" w:lineRule="auto"/>
        <w:rPr>
          <w:sz w:val="20"/>
          <w:szCs w:val="20"/>
          <w:color w:val="auto"/>
        </w:rPr>
      </w:pPr>
      <w:r>
        <w:rPr>
          <w:rFonts w:ascii="Arial" w:cs="Arial" w:eastAsia="Arial" w:hAnsi="Arial"/>
          <w:sz w:val="18"/>
          <w:szCs w:val="18"/>
          <w:b w:val="1"/>
          <w:bCs w:val="1"/>
          <w:color w:val="auto"/>
        </w:rPr>
        <w:t xml:space="preserve">NORTH BILLERICA, Mass., November 2, 2017 </w:t>
      </w:r>
      <w:r>
        <w:rPr>
          <w:rFonts w:ascii="Arial" w:cs="Arial" w:eastAsia="Arial" w:hAnsi="Arial"/>
          <w:sz w:val="18"/>
          <w:szCs w:val="18"/>
          <w:color w:val="auto"/>
        </w:rPr>
        <w:t>- Lantheus Holdings, Inc. (the “Company”) (NASDAQ: LNTH), parent company of Lantheus Medical</w:t>
      </w:r>
      <w:r>
        <w:rPr>
          <w:rFonts w:ascii="Arial" w:cs="Arial" w:eastAsia="Arial" w:hAnsi="Arial"/>
          <w:sz w:val="18"/>
          <w:szCs w:val="18"/>
          <w:b w:val="1"/>
          <w:bCs w:val="1"/>
          <w:color w:val="auto"/>
        </w:rPr>
        <w:t xml:space="preserve"> </w:t>
      </w:r>
      <w:r>
        <w:rPr>
          <w:rFonts w:ascii="Arial" w:cs="Arial" w:eastAsia="Arial" w:hAnsi="Arial"/>
          <w:sz w:val="18"/>
          <w:szCs w:val="18"/>
          <w:color w:val="auto"/>
        </w:rPr>
        <w:t>Imaging, Inc. (“LMI”), a global leader in the development, manufacture and commercialization of innovative diagnostic imaging agents and products, today reported financial results for its third quarter ended September 30, 2017.</w:t>
      </w:r>
    </w:p>
    <w:p>
      <w:pPr>
        <w:spacing w:after="0" w:line="71" w:lineRule="exact"/>
        <w:rPr>
          <w:sz w:val="20"/>
          <w:szCs w:val="20"/>
          <w:color w:val="auto"/>
        </w:rPr>
      </w:pPr>
    </w:p>
    <w:p>
      <w:pPr>
        <w:ind w:right="20"/>
        <w:spacing w:after="0" w:line="391" w:lineRule="auto"/>
        <w:rPr>
          <w:sz w:val="20"/>
          <w:szCs w:val="20"/>
          <w:color w:val="auto"/>
        </w:rPr>
      </w:pPr>
      <w:r>
        <w:rPr>
          <w:rFonts w:ascii="Arial" w:cs="Arial" w:eastAsia="Arial" w:hAnsi="Arial"/>
          <w:sz w:val="16"/>
          <w:szCs w:val="16"/>
          <w:color w:val="auto"/>
        </w:rPr>
        <w:t>The Company’s worldwide revenues for the third quarter of 2017 totaled $79.9 million. This represents an increase of 9.4% compared to $73.1 million for the prior year period, and exceeds third quarter guidance of $75 million to $78 million. Revenue results were driven by 15.7% growth in worldwide sales of DEFINITY</w:t>
      </w:r>
      <w:r>
        <w:rPr>
          <w:rFonts w:ascii="Arial" w:cs="Arial" w:eastAsia="Arial" w:hAnsi="Arial"/>
          <w:sz w:val="22"/>
          <w:szCs w:val="22"/>
          <w:color w:val="auto"/>
          <w:vertAlign w:val="superscript"/>
        </w:rPr>
        <w:t>®</w:t>
      </w:r>
      <w:r>
        <w:rPr>
          <w:rFonts w:ascii="Arial" w:cs="Arial" w:eastAsia="Arial" w:hAnsi="Arial"/>
          <w:sz w:val="16"/>
          <w:szCs w:val="16"/>
          <w:color w:val="auto"/>
        </w:rPr>
        <w:t>, 7.4% growth in worldwide sales of TechneLite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15.7% growth in worldwide sales of Xenon compared to the third quarter of 2016.</w:t>
      </w:r>
    </w:p>
    <w:p>
      <w:pPr>
        <w:spacing w:after="0" w:line="28" w:lineRule="exact"/>
        <w:rPr>
          <w:sz w:val="20"/>
          <w:szCs w:val="20"/>
          <w:color w:val="auto"/>
        </w:rPr>
      </w:pPr>
    </w:p>
    <w:p>
      <w:pPr>
        <w:ind w:right="120"/>
        <w:spacing w:after="0" w:line="369" w:lineRule="auto"/>
        <w:rPr>
          <w:sz w:val="20"/>
          <w:szCs w:val="20"/>
          <w:color w:val="auto"/>
        </w:rPr>
      </w:pPr>
      <w:r>
        <w:rPr>
          <w:rFonts w:ascii="Arial" w:cs="Arial" w:eastAsia="Arial" w:hAnsi="Arial"/>
          <w:sz w:val="18"/>
          <w:szCs w:val="18"/>
          <w:color w:val="auto"/>
        </w:rPr>
        <w:t>Net income for the third quarter of 2017 totaled $8.5 million, or $0.22 per diluted share, compared to $4.2 million, or $0.13 per diluted share, for the third quarter of 2016. The increase is primarily attributable to DEFINITY and Xenon revenue growth and lower interest expense related to the refinancing of debt in March 2017 and voluntary prepayments made during September and November 2016. This was partially offset by increased operating expenses for sales and marketing as well as costs related to strategic initiatives.</w:t>
      </w:r>
    </w:p>
    <w:p>
      <w:pPr>
        <w:spacing w:after="0" w:line="78" w:lineRule="exact"/>
        <w:rPr>
          <w:sz w:val="20"/>
          <w:szCs w:val="20"/>
          <w:color w:val="auto"/>
        </w:rPr>
      </w:pPr>
    </w:p>
    <w:p>
      <w:pPr>
        <w:spacing w:after="0" w:line="369" w:lineRule="auto"/>
        <w:rPr>
          <w:sz w:val="20"/>
          <w:szCs w:val="20"/>
          <w:color w:val="auto"/>
        </w:rPr>
      </w:pPr>
      <w:r>
        <w:rPr>
          <w:rFonts w:ascii="Arial" w:cs="Arial" w:eastAsia="Arial" w:hAnsi="Arial"/>
          <w:sz w:val="18"/>
          <w:szCs w:val="18"/>
          <w:color w:val="auto"/>
        </w:rPr>
        <w:t>The Company’s third quarter 2017 Adjusted EBITDA (as outlined in the GAAP to non-GAAP reconciliation provided below) was $22.6 million, or 28.3% of revenues. This compares to $18.7 million, or 25.6% of revenues, for the prior year period, and exceeded the previously provided third quarter guidance of $17 million to $19 million. Third quarter results were driven by DEFINITY and Xenon revenue growth, partially offset by sales and marketing expenses attributable to sales growth in DEFINITY as well as costs related to strategic initiatives.</w:t>
      </w:r>
    </w:p>
    <w:p>
      <w:pPr>
        <w:spacing w:after="0" w:line="78" w:lineRule="exact"/>
        <w:rPr>
          <w:sz w:val="20"/>
          <w:szCs w:val="20"/>
          <w:color w:val="auto"/>
        </w:rPr>
      </w:pPr>
    </w:p>
    <w:p>
      <w:pPr>
        <w:ind w:right="180"/>
        <w:spacing w:after="0" w:line="366" w:lineRule="auto"/>
        <w:rPr>
          <w:sz w:val="20"/>
          <w:szCs w:val="20"/>
          <w:color w:val="auto"/>
        </w:rPr>
      </w:pPr>
      <w:r>
        <w:rPr>
          <w:rFonts w:ascii="Arial" w:cs="Arial" w:eastAsia="Arial" w:hAnsi="Arial"/>
          <w:sz w:val="18"/>
          <w:szCs w:val="18"/>
          <w:color w:val="auto"/>
        </w:rPr>
        <w:t>“With revenue up $6.8 million and Adjusted EBITDA up $3.9 million year-over-year, we delivered solid results, again exceeding our quarterly guidance,” commented Mary Anne Heino, President and CEO. “Continued double-digit growth of our echocardiography imaging agent, DEFINITY, complemented by higher contracted volumes of TechneLite and Xenon, drove our results this quarter. As a result of our strong performance, we are raising our full-year guidance. Our priority for the final quarter of the year is to continue to build on our operational success while advancing strategic initiatives to drive long-term growth.”</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75" w:lineRule="exact"/>
        <w:rPr>
          <w:sz w:val="20"/>
          <w:szCs w:val="20"/>
          <w:color w:val="auto"/>
        </w:rPr>
      </w:pPr>
    </w:p>
    <w:p>
      <w:pPr>
        <w:ind w:right="80"/>
        <w:spacing w:after="0" w:line="369" w:lineRule="auto"/>
        <w:rPr>
          <w:sz w:val="20"/>
          <w:szCs w:val="20"/>
          <w:color w:val="auto"/>
        </w:rPr>
      </w:pPr>
      <w:r>
        <w:rPr>
          <w:rFonts w:ascii="Arial" w:cs="Arial" w:eastAsia="Arial" w:hAnsi="Arial"/>
          <w:sz w:val="18"/>
          <w:szCs w:val="18"/>
          <w:color w:val="auto"/>
        </w:rPr>
        <w:t>The Company has increased its full-year 2017 worldwide revenue guidance range to $323 million to $325 million from previous guidance of $318 million to $322 million. The Company has also increased its full-year 2017 guidance range for Adjusted EBITDA, as described in the GAAP to non-GAAP reconciliation provided later in this release, to $86 million to $88 million from previous guidance of $82 million to $85 million, a margin of 26.5% to 27.2% of worldwide revenues.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 of 13</w:t>
      </w:r>
    </w:p>
    <w:p>
      <w:pPr>
        <w:sectPr>
          <w:pgSz w:w="11900" w:h="16838" w:orient="portrait"/>
          <w:cols w:equalWidth="0" w:num="1">
            <w:col w:w="11400"/>
          </w:cols>
          <w:pgMar w:left="240" w:top="1179" w:right="259" w:bottom="1440" w:gutter="0" w:footer="0" w:header="0"/>
          <w:type w:val="continuous"/>
        </w:sectPr>
      </w:pPr>
    </w:p>
    <w:bookmarkStart w:id="5" w:name="page6"/>
    <w:bookmarkEnd w:id="5"/>
    <w:p>
      <w:pPr>
        <w:spacing w:after="0" w:line="387" w:lineRule="auto"/>
        <w:rPr>
          <w:sz w:val="20"/>
          <w:szCs w:val="20"/>
          <w:color w:val="auto"/>
        </w:rPr>
      </w:pPr>
      <w:r>
        <w:rPr>
          <w:rFonts w:ascii="Arial" w:cs="Arial" w:eastAsia="Arial" w:hAnsi="Arial"/>
          <w:sz w:val="18"/>
          <w:szCs w:val="18"/>
          <w:color w:val="auto"/>
        </w:rPr>
        <w:t>The full-year guidance for both revenue and Adjusted EBITDA excludes the impact of a $5.0 million up-front payment received in the second quarter of 2017 from GE Healthcare under the flurpiridaz F 18 collaboration and license agreement.</w:t>
      </w:r>
    </w:p>
    <w:p>
      <w:pPr>
        <w:spacing w:after="0" w:line="62" w:lineRule="exact"/>
        <w:rPr>
          <w:sz w:val="20"/>
          <w:szCs w:val="20"/>
          <w:color w:val="auto"/>
        </w:rPr>
      </w:pPr>
    </w:p>
    <w:p>
      <w:pPr>
        <w:ind w:right="100"/>
        <w:spacing w:after="0" w:line="435" w:lineRule="auto"/>
        <w:rPr>
          <w:sz w:val="20"/>
          <w:szCs w:val="20"/>
          <w:color w:val="auto"/>
        </w:rPr>
      </w:pPr>
      <w:r>
        <w:rPr>
          <w:rFonts w:ascii="Arial" w:cs="Arial" w:eastAsia="Arial" w:hAnsi="Arial"/>
          <w:sz w:val="16"/>
          <w:szCs w:val="16"/>
          <w:color w:val="auto"/>
        </w:rPr>
        <w:t>The Company’s guidance for worldwide revenues and Adjusted EBITDA are forward-looking statements. They are subject to various risks and uncertainties that could cause the Company’s actual results to differ materially from guidance. Forward-looking statements are not predictions of the Company’s actual performance. See the cautionary information about forward-looking statements in the “Safe-Harbor Statement” section of this press release.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Posting of Information</w:t>
      </w:r>
    </w:p>
    <w:p>
      <w:pPr>
        <w:spacing w:after="0" w:line="175" w:lineRule="exact"/>
        <w:rPr>
          <w:sz w:val="20"/>
          <w:szCs w:val="20"/>
          <w:color w:val="auto"/>
        </w:rPr>
      </w:pPr>
    </w:p>
    <w:p>
      <w:pPr>
        <w:ind w:right="260"/>
        <w:spacing w:after="0" w:line="387" w:lineRule="auto"/>
        <w:rPr>
          <w:sz w:val="20"/>
          <w:szCs w:val="20"/>
          <w:color w:val="auto"/>
        </w:rPr>
      </w:pPr>
      <w:r>
        <w:rPr>
          <w:rFonts w:ascii="Arial" w:cs="Arial" w:eastAsia="Arial" w:hAnsi="Arial"/>
          <w:sz w:val="18"/>
          <w:szCs w:val="18"/>
          <w:color w:val="auto"/>
        </w:rPr>
        <w:t>The Company routinely posts information that may be important to investors in the “Investors” section of its website at www.lantheus.com. The Company encourages investors and potential investors to consult its website regularly for important information about the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175" w:lineRule="exact"/>
        <w:rPr>
          <w:sz w:val="20"/>
          <w:szCs w:val="20"/>
          <w:color w:val="auto"/>
        </w:rPr>
      </w:pPr>
    </w:p>
    <w:p>
      <w:pPr>
        <w:jc w:val="both"/>
        <w:ind w:right="100"/>
        <w:spacing w:after="0" w:line="373" w:lineRule="auto"/>
        <w:rPr>
          <w:sz w:val="20"/>
          <w:szCs w:val="20"/>
          <w:color w:val="auto"/>
        </w:rPr>
      </w:pPr>
      <w:r>
        <w:rPr>
          <w:rFonts w:ascii="Arial" w:cs="Arial" w:eastAsia="Arial" w:hAnsi="Arial"/>
          <w:sz w:val="18"/>
          <w:szCs w:val="18"/>
          <w:color w:val="auto"/>
        </w:rPr>
        <w:t>As previously announced, the Company will host a conference call starting at 4:30 p.m. Eastern Time today. To access the live conference call via telephone, please dial 1-866-498-8390 (U.S. callers) or 1-678-509-7599 (international callers) and provide passcode 8783209. A live audio webcast of the call also will be available in the Investors section of the Company’s website at www.lantheus.com.</w:t>
      </w:r>
    </w:p>
    <w:p>
      <w:pPr>
        <w:spacing w:after="0" w:line="75" w:lineRule="exact"/>
        <w:rPr>
          <w:sz w:val="20"/>
          <w:szCs w:val="20"/>
          <w:color w:val="auto"/>
        </w:rPr>
      </w:pPr>
    </w:p>
    <w:p>
      <w:pPr>
        <w:jc w:val="both"/>
        <w:ind w:right="80"/>
        <w:spacing w:after="0" w:line="387" w:lineRule="auto"/>
        <w:rPr>
          <w:sz w:val="20"/>
          <w:szCs w:val="20"/>
          <w:color w:val="auto"/>
        </w:rPr>
      </w:pPr>
      <w:r>
        <w:rPr>
          <w:rFonts w:ascii="Arial" w:cs="Arial" w:eastAsia="Arial" w:hAnsi="Arial"/>
          <w:sz w:val="18"/>
          <w:szCs w:val="18"/>
          <w:color w:val="auto"/>
        </w:rPr>
        <w:t>A replay of the audio webcast will be available in the Investors section of our website at www.lantheus.com approximately two hours after completion of the call and will be archived for 30 days.</w:t>
      </w:r>
    </w:p>
    <w:p>
      <w:pPr>
        <w:spacing w:after="0" w:line="62" w:lineRule="exact"/>
        <w:rPr>
          <w:sz w:val="20"/>
          <w:szCs w:val="20"/>
          <w:color w:val="auto"/>
        </w:rPr>
      </w:pPr>
    </w:p>
    <w:p>
      <w:pPr>
        <w:spacing w:after="0" w:line="402" w:lineRule="auto"/>
        <w:rPr>
          <w:sz w:val="20"/>
          <w:szCs w:val="20"/>
          <w:color w:val="auto"/>
        </w:rPr>
      </w:pPr>
      <w:r>
        <w:rPr>
          <w:rFonts w:ascii="Arial" w:cs="Arial" w:eastAsia="Arial" w:hAnsi="Arial"/>
          <w:sz w:val="17"/>
          <w:szCs w:val="17"/>
          <w:color w:val="auto"/>
        </w:rPr>
        <w:t>The conference call will include a discussion of non-GAAP financial measures. Reference is made to the most directly comparable GAAP financial measures, the reconciliation of the differences between the two financial measures, and the other information included in this press release, our Form 8-K filed with the SEC today, or otherwise available in the Investor Relations section of our website located at www.lantheus.com.</w:t>
      </w:r>
    </w:p>
    <w:p>
      <w:pPr>
        <w:spacing w:after="0" w:line="58" w:lineRule="exact"/>
        <w:rPr>
          <w:sz w:val="20"/>
          <w:szCs w:val="20"/>
          <w:color w:val="auto"/>
        </w:rPr>
      </w:pPr>
    </w:p>
    <w:p>
      <w:pPr>
        <w:ind w:right="160"/>
        <w:spacing w:after="0" w:line="387" w:lineRule="auto"/>
        <w:rPr>
          <w:sz w:val="20"/>
          <w:szCs w:val="20"/>
          <w:color w:val="auto"/>
        </w:rPr>
      </w:pPr>
      <w:r>
        <w:rPr>
          <w:rFonts w:ascii="Arial" w:cs="Arial" w:eastAsia="Arial" w:hAnsi="Arial"/>
          <w:sz w:val="18"/>
          <w:szCs w:val="18"/>
          <w:color w:val="auto"/>
        </w:rPr>
        <w:t>The conference call may include forward-looking statements. See the cautionary information about forward-looking statements in the safe-harbor section of this press release.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Lantheus Holdings, Inc. and Lantheus Medical Imaging, Inc.</w:t>
      </w:r>
    </w:p>
    <w:p>
      <w:pPr>
        <w:spacing w:after="0" w:line="175" w:lineRule="exact"/>
        <w:rPr>
          <w:sz w:val="20"/>
          <w:szCs w:val="20"/>
          <w:color w:val="auto"/>
        </w:rPr>
      </w:pPr>
    </w:p>
    <w:p>
      <w:pPr>
        <w:ind w:right="320"/>
        <w:spacing w:after="0" w:line="339" w:lineRule="auto"/>
        <w:rPr>
          <w:sz w:val="20"/>
          <w:szCs w:val="20"/>
          <w:color w:val="auto"/>
        </w:rPr>
      </w:pPr>
      <w:r>
        <w:rPr>
          <w:rFonts w:ascii="Arial" w:cs="Arial" w:eastAsia="Arial" w:hAnsi="Arial"/>
          <w:sz w:val="18"/>
          <w:szCs w:val="18"/>
          <w:color w:val="auto"/>
        </w:rPr>
        <w:t>Lantheus Holdings, Inc. is the parent company of LMI, a global leader in the development, manufacture and commercialization of innovative diagnostic imaging agents and products. LMI provides a broad portfolio of products, including the echocardiography contrast agent DEFINITY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Vial for (Perflutren Lipid Microsphere) Injectable Suspension; TechneLite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(Technetium Tc99m Generator), a technetium-based generator that provides the essential medical isotope used in nuclear medicine procedures; and Xenon (Xenon Xe 133 Gas), an inhaled radiopharmaceutical imaging agent used to evaluate pulmonary function and for imaging the lungs. The Company is headquartered in North Billerica, Massachusetts with offices in Puerto Rico and Canada. For more information, visit www.lantheus.com.</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13</w:t>
      </w:r>
    </w:p>
    <w:p>
      <w:pPr>
        <w:sectPr>
          <w:pgSz w:w="11900" w:h="16838" w:orient="portrait"/>
          <w:cols w:equalWidth="0" w:num="1">
            <w:col w:w="11400"/>
          </w:cols>
          <w:pgMar w:left="240" w:top="53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spacing w:after="0" w:line="364" w:lineRule="auto"/>
        <w:rPr>
          <w:sz w:val="20"/>
          <w:szCs w:val="20"/>
          <w:color w:val="auto"/>
        </w:rPr>
      </w:pPr>
      <w:r>
        <w:rPr>
          <w:rFonts w:ascii="Arial" w:cs="Arial" w:eastAsia="Arial" w:hAnsi="Arial"/>
          <w:sz w:val="18"/>
          <w:szCs w:val="18"/>
          <w:color w:val="auto"/>
        </w:rPr>
        <w:t>The Company uses non-GAAP financial measures, such as revenues excluding the impact of foreign currency; adjusted operating income; adjusted net income; Adjusted EBITDA; adjusted net income per share - diluted; and free cash flow. The Company’s management believes that the presentation of these measures provides useful information to investors. These measures may assist investors in evaluating the Company’s operations, period over period. The measures may exclude such items which may be highly variable, difficult to predict and of a size that could have substantial impact on the Company’s reported results of operations for a period. Management uses these and other non-GAAP measures internally for evaluation of the performance of the business, including the allocation of resources and the evaluation of results relative to employee performance compensation targets. Investors should consider these non-GAAP measures only as a supplement to, not as a substitute for or as superior to, measures of financial performance prepared in accordance with GAAP.</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and Cautionary Statements</w:t>
      </w:r>
    </w:p>
    <w:p>
      <w:pPr>
        <w:spacing w:after="0" w:line="175" w:lineRule="exact"/>
        <w:rPr>
          <w:sz w:val="20"/>
          <w:szCs w:val="20"/>
          <w:color w:val="auto"/>
        </w:rPr>
      </w:pPr>
    </w:p>
    <w:p>
      <w:pPr>
        <w:ind w:right="120"/>
        <w:spacing w:after="0" w:line="410" w:lineRule="auto"/>
        <w:rPr>
          <w:sz w:val="20"/>
          <w:szCs w:val="20"/>
          <w:color w:val="auto"/>
        </w:rPr>
      </w:pPr>
      <w:r>
        <w:rPr>
          <w:rFonts w:ascii="Arial" w:cs="Arial" w:eastAsia="Arial" w:hAnsi="Arial"/>
          <w:sz w:val="16"/>
          <w:szCs w:val="16"/>
          <w:i w:val="1"/>
          <w:iCs w:val="1"/>
          <w:color w:val="auto"/>
        </w:rPr>
        <w:t>This press release contains “forward-looking statements” as defined under U.S. federal securities laws, including statements about our 2017 outlook. Forward-looking statements may be identified by their use of terms such as anticipate, believe, confident, could, estimate, expect, intend, may, plan, predict, project, target, will and other similar terms. Such forward-looking statements are subject to risks and uncertainties that could cause actual results to materially differ from those described in the forward- looking statements. Readers are cautioned not to place undue reliance on the forward-looking statements contained herein, which speak only as of the date hereof. The Company undertakes no obligation to publicly update any forward-looking statement, whether as a result of new information, future developments or otherwise, except as may be required by law. Risks and uncertainties that could cause our actual results to materially differ from those described in the forward-looking statements are discussed in our filings with the Securities and Exchange Commission (including those described in the Risk Factors section in our Annual Reports on Form 10-K and our Quarterly Reports on Form 10-Q). This press release includes forward-looking non-GAAP guidance for 2017 Adjusted EBITDA. No reconciliation of this forward-looking non-GAAP guidance was included in this press release because, due to the high variability and difficulty in making accurate forecasts and projections of some of the excluded information, together with some of the excluded information not being ascertainable or accessible, the Company is unable to quantify certain amounts that would be required to be included in the most directly comparable GAAP financial measure without unreasonable efforts.</w:t>
      </w: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Tables Follow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 of 13</w:t>
      </w:r>
    </w:p>
    <w:p>
      <w:pPr>
        <w:sectPr>
          <w:pgSz w:w="11900" w:h="16838" w:orient="portrait"/>
          <w:cols w:equalWidth="0" w:num="1">
            <w:col w:w="11360"/>
          </w:cols>
          <w:pgMar w:left="240" w:top="688" w:right="299" w:bottom="1440" w:gutter="0" w:footer="0" w:header="0"/>
        </w:sectPr>
      </w:pPr>
    </w:p>
    <w:bookmarkStart w:id="7" w:name="page8"/>
    <w:bookmarkEnd w:id="7"/>
    <w:p>
      <w:pPr>
        <w:ind w:left="3860"/>
        <w:spacing w:after="0"/>
        <w:rPr>
          <w:sz w:val="20"/>
          <w:szCs w:val="20"/>
          <w:color w:val="auto"/>
        </w:rPr>
      </w:pPr>
      <w:r>
        <w:rPr>
          <w:rFonts w:ascii="Arial" w:cs="Arial" w:eastAsia="Arial" w:hAnsi="Arial"/>
          <w:sz w:val="18"/>
          <w:szCs w:val="18"/>
          <w:b w:val="1"/>
          <w:bCs w:val="1"/>
          <w:color w:val="auto"/>
        </w:rPr>
        <w:t>Lantheus Holdings, Inc.</w:t>
      </w:r>
    </w:p>
    <w:p>
      <w:pPr>
        <w:spacing w:after="0" w:line="11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(in thousands, except per share data – unaudited)</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79,941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250,137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227,503</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41,414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39,382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125,901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124,370</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38,527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124,236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103,133</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10,075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27,856</w:t>
            </w:r>
          </w:p>
        </w:tc>
        <w:tc>
          <w:tcPr>
            <w:tcW w:w="0" w:type="dxa"/>
            <w:vAlign w:val="bottom"/>
          </w:tcPr>
          <w:p>
            <w:pPr>
              <w:spacing w:after="0"/>
              <w:rPr>
                <w:sz w:val="1"/>
                <w:szCs w:val="1"/>
                <w:color w:val="auto"/>
              </w:rPr>
            </w:pP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12,076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10,091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35,549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28,842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14,149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8,493</w:t>
            </w:r>
          </w:p>
        </w:tc>
        <w:tc>
          <w:tcPr>
            <w:tcW w:w="0" w:type="dxa"/>
            <w:vAlign w:val="bottom"/>
          </w:tcPr>
          <w:p>
            <w:pPr>
              <w:spacing w:after="0"/>
              <w:rPr>
                <w:sz w:val="1"/>
                <w:szCs w:val="1"/>
                <w:color w:val="auto"/>
              </w:rPr>
            </w:pPr>
          </w:p>
        </w:tc>
      </w:tr>
      <w:tr>
        <w:trPr>
          <w:trHeight w:val="237"/>
        </w:trPr>
        <w:tc>
          <w:tcPr>
            <w:tcW w:w="422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25,705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21,646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81,590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65,191</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Gain on sales of assets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0" w:type="dxa"/>
            <w:vAlign w:val="bottom"/>
          </w:tcPr>
          <w:p>
            <w:pPr>
              <w:spacing w:after="0"/>
              <w:rPr>
                <w:sz w:val="1"/>
                <w:szCs w:val="1"/>
                <w:color w:val="auto"/>
              </w:rPr>
            </w:pPr>
          </w:p>
        </w:tc>
      </w:tr>
      <w:tr>
        <w:trPr>
          <w:trHeight w:val="237"/>
        </w:trPr>
        <w:tc>
          <w:tcPr>
            <w:tcW w:w="4220" w:type="dxa"/>
            <w:vAlign w:val="bottom"/>
          </w:tcPr>
          <w:p>
            <w:pPr>
              <w:ind w:left="48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12,822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12,595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42,646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44,447</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20,799</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Debt retirement costs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22,550</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8,526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26,259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21,893</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common share outstanding: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2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67"/>
        </w:trPr>
        <w:tc>
          <w:tcPr>
            <w:tcW w:w="42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2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common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37,393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31,221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37,174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30,658</w:t>
            </w:r>
          </w:p>
        </w:tc>
        <w:tc>
          <w:tcPr>
            <w:tcW w:w="0" w:type="dxa"/>
            <w:vAlign w:val="bottom"/>
          </w:tcPr>
          <w:p>
            <w:pPr>
              <w:spacing w:after="0"/>
              <w:rPr>
                <w:sz w:val="1"/>
                <w:szCs w:val="1"/>
                <w:color w:val="auto"/>
              </w:rPr>
            </w:pPr>
          </w:p>
        </w:tc>
      </w:tr>
      <w:tr>
        <w:trPr>
          <w:trHeight w:val="67"/>
        </w:trPr>
        <w:tc>
          <w:tcPr>
            <w:tcW w:w="42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2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31,049</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4 of 13</w:t>
      </w:r>
    </w:p>
    <w:p>
      <w:pPr>
        <w:sectPr>
          <w:pgSz w:w="11900" w:h="16838" w:orient="portrait"/>
          <w:cols w:equalWidth="0" w:num="1">
            <w:col w:w="9560"/>
          </w:cols>
          <w:pgMar w:left="1180" w:top="418" w:right="1159" w:bottom="1440" w:gutter="0" w:footer="0" w:header="0"/>
        </w:sectPr>
      </w:pPr>
    </w:p>
    <w:bookmarkStart w:id="8" w:name="page9"/>
    <w:bookmarkEnd w:id="8"/>
    <w:p>
      <w:pPr>
        <w:ind w:left="3820"/>
        <w:spacing w:after="0"/>
        <w:rPr>
          <w:sz w:val="20"/>
          <w:szCs w:val="20"/>
          <w:color w:val="auto"/>
        </w:rPr>
      </w:pPr>
      <w:r>
        <w:rPr>
          <w:rFonts w:ascii="Arial" w:cs="Arial" w:eastAsia="Arial" w:hAnsi="Arial"/>
          <w:sz w:val="18"/>
          <w:szCs w:val="18"/>
          <w:b w:val="1"/>
          <w:bCs w:val="1"/>
          <w:color w:val="auto"/>
        </w:rPr>
        <w:t>Lantheus Holdings,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Segment Revenues Analysis</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 unaudited)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Nine Months Ended</w:t>
            </w:r>
          </w:p>
        </w:tc>
        <w:tc>
          <w:tcPr>
            <w:tcW w:w="122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tcBorders>
              <w:bottom w:val="single" w:sz="8" w:color="auto"/>
            </w:tcBorders>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21"/>
                <w:szCs w:val="21"/>
                <w:color w:val="auto"/>
              </w:rPr>
            </w:pPr>
          </w:p>
        </w:tc>
        <w:tc>
          <w:tcPr>
            <w:tcW w:w="860" w:type="dxa"/>
            <w:vAlign w:val="bottom"/>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1220" w:type="dxa"/>
            <w:vAlign w:val="bottom"/>
          </w:tcPr>
          <w:p>
            <w:pPr>
              <w:jc w:val="right"/>
              <w:ind w:right="191"/>
              <w:spacing w:after="0"/>
              <w:rPr>
                <w:sz w:val="20"/>
                <w:szCs w:val="20"/>
                <w:color w:val="auto"/>
              </w:rPr>
            </w:pPr>
            <w:r>
              <w:rPr>
                <w:rFonts w:ascii="Arial" w:cs="Arial" w:eastAsia="Arial" w:hAnsi="Arial"/>
                <w:sz w:val="14"/>
                <w:szCs w:val="14"/>
                <w:b w:val="1"/>
                <w:bCs w:val="1"/>
                <w:color w:val="auto"/>
              </w:rPr>
              <w:t>% Change</w:t>
            </w: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United States</w:t>
            </w: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2000" w:type="dxa"/>
            <w:vAlign w:val="bottom"/>
            <w:gridSpan w:val="3"/>
          </w:tcPr>
          <w:p>
            <w:pPr>
              <w:ind w:left="240"/>
              <w:spacing w:after="0"/>
              <w:rPr>
                <w:sz w:val="20"/>
                <w:szCs w:val="20"/>
                <w:color w:val="auto"/>
              </w:rPr>
            </w:pPr>
            <w:r>
              <w:rPr>
                <w:rFonts w:ascii="Arial" w:cs="Arial" w:eastAsia="Arial" w:hAnsi="Arial"/>
                <w:sz w:val="18"/>
                <w:szCs w:val="18"/>
                <w:color w:val="auto"/>
              </w:rPr>
              <w:t>DEFINITY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36,901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32,007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15.3 %</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113,035</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95,497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18.4 %</w:t>
            </w: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TechneLite</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64,282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43"/>
        </w:trPr>
        <w:tc>
          <w:tcPr>
            <w:tcW w:w="20" w:type="dxa"/>
            <w:vAlign w:val="bottom"/>
          </w:tcPr>
          <w:p>
            <w:pPr>
              <w:spacing w:after="0"/>
              <w:rPr>
                <w:sz w:val="21"/>
                <w:szCs w:val="21"/>
                <w:color w:val="auto"/>
              </w:rPr>
            </w:pPr>
          </w:p>
        </w:tc>
        <w:tc>
          <w:tcPr>
            <w:tcW w:w="2000" w:type="dxa"/>
            <w:vAlign w:val="bottom"/>
            <w:gridSpan w:val="3"/>
          </w:tcPr>
          <w:p>
            <w:pPr>
              <w:ind w:left="240"/>
              <w:spacing w:after="0"/>
              <w:rPr>
                <w:sz w:val="20"/>
                <w:szCs w:val="20"/>
                <w:color w:val="auto"/>
              </w:rPr>
            </w:pPr>
            <w:r>
              <w:rPr>
                <w:rFonts w:ascii="Arial" w:cs="Arial" w:eastAsia="Arial" w:hAnsi="Arial"/>
                <w:sz w:val="18"/>
                <w:szCs w:val="18"/>
                <w:color w:val="auto"/>
              </w:rPr>
              <w:t>Xenon</w:t>
            </w:r>
          </w:p>
        </w:tc>
        <w:tc>
          <w:tcPr>
            <w:tcW w:w="3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7,726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6,675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23,709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21,620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9.7 %</w:t>
            </w: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11,288</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13.5 %</w:t>
            </w:r>
          </w:p>
        </w:tc>
      </w:tr>
      <w:tr>
        <w:trPr>
          <w:trHeight w:val="237"/>
        </w:trPr>
        <w:tc>
          <w:tcPr>
            <w:tcW w:w="2020" w:type="dxa"/>
            <w:vAlign w:val="bottom"/>
            <w:gridSpan w:val="4"/>
          </w:tcPr>
          <w:p>
            <w:pPr>
              <w:ind w:left="20"/>
              <w:spacing w:after="0"/>
              <w:rPr>
                <w:sz w:val="20"/>
                <w:szCs w:val="20"/>
                <w:color w:val="auto"/>
              </w:rPr>
            </w:pPr>
            <w:r>
              <w:rPr>
                <w:rFonts w:ascii="Arial" w:cs="Arial" w:eastAsia="Arial" w:hAnsi="Arial"/>
                <w:sz w:val="18"/>
                <w:szCs w:val="18"/>
                <w:color w:val="auto"/>
              </w:rPr>
              <w:t>Total United States</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69,579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62,621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11.1 %</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218,706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192,687</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13.5 %</w:t>
            </w:r>
          </w:p>
        </w:tc>
      </w:tr>
      <w:tr>
        <w:trPr>
          <w:trHeight w:val="27"/>
        </w:trPr>
        <w:tc>
          <w:tcPr>
            <w:tcW w:w="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20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International</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2000" w:type="dxa"/>
            <w:vAlign w:val="bottom"/>
            <w:gridSpan w:val="3"/>
          </w:tcPr>
          <w:p>
            <w:pPr>
              <w:ind w:left="240"/>
              <w:spacing w:after="0"/>
              <w:rPr>
                <w:sz w:val="20"/>
                <w:szCs w:val="20"/>
                <w:color w:val="auto"/>
              </w:rPr>
            </w:pPr>
            <w:r>
              <w:rPr>
                <w:rFonts w:ascii="Arial" w:cs="Arial" w:eastAsia="Arial" w:hAnsi="Arial"/>
                <w:sz w:val="18"/>
                <w:szCs w:val="18"/>
                <w:color w:val="auto"/>
              </w:rPr>
              <w:t>DEFINITY</w:t>
            </w:r>
          </w:p>
        </w:tc>
        <w:tc>
          <w:tcPr>
            <w:tcW w:w="3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38.7 %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26.6 %</w:t>
            </w: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TechneLite</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10,339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43"/>
        </w:trPr>
        <w:tc>
          <w:tcPr>
            <w:tcW w:w="20" w:type="dxa"/>
            <w:vAlign w:val="bottom"/>
          </w:tcPr>
          <w:p>
            <w:pPr>
              <w:spacing w:after="0"/>
              <w:rPr>
                <w:sz w:val="21"/>
                <w:szCs w:val="21"/>
                <w:color w:val="auto"/>
              </w:rPr>
            </w:pPr>
          </w:p>
        </w:tc>
        <w:tc>
          <w:tcPr>
            <w:tcW w:w="2000" w:type="dxa"/>
            <w:vAlign w:val="bottom"/>
            <w:gridSpan w:val="3"/>
          </w:tcPr>
          <w:p>
            <w:pPr>
              <w:ind w:left="240"/>
              <w:spacing w:after="0"/>
              <w:rPr>
                <w:sz w:val="20"/>
                <w:szCs w:val="20"/>
                <w:color w:val="auto"/>
              </w:rPr>
            </w:pPr>
            <w:r>
              <w:rPr>
                <w:rFonts w:ascii="Arial" w:cs="Arial" w:eastAsia="Arial" w:hAnsi="Arial"/>
                <w:sz w:val="18"/>
                <w:szCs w:val="18"/>
                <w:color w:val="auto"/>
              </w:rPr>
              <w:t>Xenon</w:t>
            </w:r>
          </w:p>
        </w:tc>
        <w:tc>
          <w:tcPr>
            <w:tcW w:w="3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22,470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37"/>
        </w:trPr>
        <w:tc>
          <w:tcPr>
            <w:tcW w:w="2020" w:type="dxa"/>
            <w:vAlign w:val="bottom"/>
            <w:gridSpan w:val="4"/>
          </w:tcPr>
          <w:p>
            <w:pPr>
              <w:ind w:left="20"/>
              <w:spacing w:after="0"/>
              <w:rPr>
                <w:sz w:val="20"/>
                <w:szCs w:val="20"/>
                <w:color w:val="auto"/>
              </w:rPr>
            </w:pPr>
            <w:r>
              <w:rPr>
                <w:rFonts w:ascii="Arial" w:cs="Arial" w:eastAsia="Arial" w:hAnsi="Arial"/>
                <w:sz w:val="18"/>
                <w:szCs w:val="18"/>
                <w:color w:val="auto"/>
              </w:rPr>
              <w:t>Total International</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10,362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10,442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31,431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34,816</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2"/>
              </w:rPr>
              <w:t>Worldwide</w:t>
            </w:r>
          </w:p>
        </w:tc>
        <w:tc>
          <w:tcPr>
            <w:tcW w:w="114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000" w:type="dxa"/>
            <w:vAlign w:val="bottom"/>
            <w:gridSpan w:val="3"/>
          </w:tcPr>
          <w:p>
            <w:pPr>
              <w:ind w:left="240"/>
              <w:spacing w:after="0"/>
              <w:rPr>
                <w:sz w:val="20"/>
                <w:szCs w:val="20"/>
                <w:color w:val="auto"/>
              </w:rPr>
            </w:pPr>
            <w:r>
              <w:rPr>
                <w:rFonts w:ascii="Arial" w:cs="Arial" w:eastAsia="Arial" w:hAnsi="Arial"/>
                <w:sz w:val="18"/>
                <w:szCs w:val="18"/>
                <w:color w:val="auto"/>
              </w:rPr>
              <w:t>DEFINITY</w:t>
            </w:r>
          </w:p>
        </w:tc>
        <w:tc>
          <w:tcPr>
            <w:tcW w:w="3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37,729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32,604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115,569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97,499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18.5 %</w:t>
            </w: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TechneLite</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74,621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43"/>
        </w:trPr>
        <w:tc>
          <w:tcPr>
            <w:tcW w:w="20" w:type="dxa"/>
            <w:vAlign w:val="bottom"/>
          </w:tcPr>
          <w:p>
            <w:pPr>
              <w:spacing w:after="0"/>
              <w:rPr>
                <w:sz w:val="21"/>
                <w:szCs w:val="21"/>
                <w:color w:val="auto"/>
              </w:rPr>
            </w:pPr>
          </w:p>
        </w:tc>
        <w:tc>
          <w:tcPr>
            <w:tcW w:w="2000" w:type="dxa"/>
            <w:vAlign w:val="bottom"/>
            <w:gridSpan w:val="3"/>
          </w:tcPr>
          <w:p>
            <w:pPr>
              <w:ind w:left="240"/>
              <w:spacing w:after="0"/>
              <w:rPr>
                <w:sz w:val="20"/>
                <w:szCs w:val="20"/>
                <w:color w:val="auto"/>
              </w:rPr>
            </w:pPr>
            <w:r>
              <w:rPr>
                <w:rFonts w:ascii="Arial" w:cs="Arial" w:eastAsia="Arial" w:hAnsi="Arial"/>
                <w:sz w:val="18"/>
                <w:szCs w:val="18"/>
                <w:color w:val="auto"/>
              </w:rPr>
              <w:t>Xenon</w:t>
            </w:r>
          </w:p>
        </w:tc>
        <w:tc>
          <w:tcPr>
            <w:tcW w:w="3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7,726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6,677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23,713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21,625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9.7 %</w:t>
            </w: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33,758</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57"/>
        </w:trPr>
        <w:tc>
          <w:tcPr>
            <w:tcW w:w="2020" w:type="dxa"/>
            <w:vAlign w:val="bottom"/>
            <w:gridSpan w:val="4"/>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79,941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73,063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9.4 %</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250,137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227,503</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9.9 %</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5 of 13</w:t>
      </w:r>
    </w:p>
    <w:p>
      <w:pPr>
        <w:sectPr>
          <w:pgSz w:w="11900" w:h="16838" w:orient="portrait"/>
          <w:cols w:equalWidth="0" w:num="1">
            <w:col w:w="9480"/>
          </w:cols>
          <w:pgMar w:left="1220" w:top="418" w:right="119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Lantheus Holdings,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Supplemental Revenue Information</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September 30, 2017</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4"/>
              </w:rPr>
              <w:t>Quarter to Date Sales Growth/(Decline)</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Domestic</w:t>
            </w:r>
          </w:p>
        </w:tc>
        <w:tc>
          <w:tcPr>
            <w:tcW w:w="13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Int’l</w:t>
            </w: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Int’l As</w:t>
            </w:r>
          </w:p>
        </w:tc>
        <w:tc>
          <w:tcPr>
            <w:tcW w:w="13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Total</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Total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As</w:t>
            </w: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Constant</w:t>
            </w:r>
          </w:p>
        </w:tc>
        <w:tc>
          <w:tcPr>
            <w:tcW w:w="1320" w:type="dxa"/>
            <w:vAlign w:val="bottom"/>
            <w:gridSpan w:val="2"/>
            <w:vMerge w:val="continue"/>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Constant</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Reported</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Currency</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Reported</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Currency</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Reported</w:t>
            </w: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3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Products</w:t>
            </w: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240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DEFINITY</w:t>
            </w:r>
          </w:p>
        </w:tc>
        <w:tc>
          <w:tcPr>
            <w:tcW w:w="1200" w:type="dxa"/>
            <w:vAlign w:val="bottom"/>
          </w:tcPr>
          <w:p>
            <w:pPr>
              <w:jc w:val="right"/>
              <w:spacing w:after="0"/>
              <w:rPr>
                <w:sz w:val="20"/>
                <w:szCs w:val="20"/>
                <w:color w:val="auto"/>
              </w:rPr>
            </w:pPr>
            <w:r>
              <w:rPr>
                <w:rFonts w:ascii="Arial" w:cs="Arial" w:eastAsia="Arial" w:hAnsi="Arial"/>
                <w:sz w:val="18"/>
                <w:szCs w:val="18"/>
                <w:color w:val="auto"/>
              </w:rPr>
              <w:t>15.3 %</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34.3 %</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38.7 %</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15.6 %</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TechneLite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Xenon</w:t>
            </w:r>
          </w:p>
        </w:tc>
        <w:tc>
          <w:tcPr>
            <w:tcW w:w="1200" w:type="dxa"/>
            <w:vAlign w:val="bottom"/>
          </w:tcPr>
          <w:p>
            <w:pPr>
              <w:jc w:val="right"/>
              <w:spacing w:after="0"/>
              <w:rPr>
                <w:sz w:val="20"/>
                <w:szCs w:val="20"/>
                <w:color w:val="auto"/>
              </w:rPr>
            </w:pPr>
            <w:r>
              <w:rPr>
                <w:rFonts w:ascii="Arial" w:cs="Arial" w:eastAsia="Arial" w:hAnsi="Arial"/>
                <w:sz w:val="18"/>
                <w:szCs w:val="18"/>
                <w:color w:val="auto"/>
              </w:rPr>
              <w:t>15.7 %</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15.7 %</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11.1 %</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9.3 %</w:t>
            </w: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September 30, 2017</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3"/>
              </w:rPr>
              <w:t>Year to Date Sales Growth/(Decline)</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1"/>
              </w:rPr>
              <w:t>Domestic</w:t>
            </w:r>
          </w:p>
        </w:tc>
        <w:tc>
          <w:tcPr>
            <w:tcW w:w="13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Int’l</w:t>
            </w: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Int’l As</w:t>
            </w:r>
          </w:p>
        </w:tc>
        <w:tc>
          <w:tcPr>
            <w:tcW w:w="132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5"/>
              </w:rPr>
              <w:t>Total</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Total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As</w:t>
            </w: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Constant</w:t>
            </w:r>
          </w:p>
        </w:tc>
        <w:tc>
          <w:tcPr>
            <w:tcW w:w="1320" w:type="dxa"/>
            <w:vAlign w:val="bottom"/>
            <w:gridSpan w:val="2"/>
            <w:vMerge w:val="continue"/>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Constant</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Reported</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Currency</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Reported</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Currency</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Reported</w:t>
            </w: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3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Products</w:t>
            </w: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240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DEFINITY</w:t>
            </w:r>
          </w:p>
        </w:tc>
        <w:tc>
          <w:tcPr>
            <w:tcW w:w="1200" w:type="dxa"/>
            <w:vAlign w:val="bottom"/>
          </w:tcPr>
          <w:p>
            <w:pPr>
              <w:jc w:val="right"/>
              <w:spacing w:after="0"/>
              <w:rPr>
                <w:sz w:val="20"/>
                <w:szCs w:val="20"/>
                <w:color w:val="auto"/>
              </w:rPr>
            </w:pPr>
            <w:r>
              <w:rPr>
                <w:rFonts w:ascii="Arial" w:cs="Arial" w:eastAsia="Arial" w:hAnsi="Arial"/>
                <w:sz w:val="18"/>
                <w:szCs w:val="18"/>
                <w:color w:val="auto"/>
              </w:rPr>
              <w:t>18.4 %</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25.5 %</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26.6 %</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18.5 %</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TechneLite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Xenon</w:t>
            </w:r>
          </w:p>
        </w:tc>
        <w:tc>
          <w:tcPr>
            <w:tcW w:w="1200" w:type="dxa"/>
            <w:vAlign w:val="bottom"/>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13.5 %</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9.9 %</w:t>
            </w: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6 of 13</w:t>
      </w:r>
    </w:p>
    <w:p>
      <w:pPr>
        <w:sectPr>
          <w:pgSz w:w="11900" w:h="16838" w:orient="portrait"/>
          <w:cols w:equalWidth="0" w:num="1">
            <w:col w:w="9560"/>
          </w:cols>
          <w:pgMar w:left="1180" w:top="580" w:right="1159" w:bottom="1440" w:gutter="0" w:footer="0" w:header="0"/>
        </w:sectPr>
      </w:pPr>
    </w:p>
    <w:bookmarkStart w:id="10" w:name="page11"/>
    <w:bookmarkEnd w:id="10"/>
    <w:p>
      <w:pPr>
        <w:ind w:left="4760"/>
        <w:spacing w:after="0"/>
        <w:rPr>
          <w:sz w:val="20"/>
          <w:szCs w:val="20"/>
          <w:color w:val="auto"/>
        </w:rPr>
      </w:pPr>
      <w:r>
        <w:rPr>
          <w:rFonts w:ascii="Arial" w:cs="Arial" w:eastAsia="Arial" w:hAnsi="Arial"/>
          <w:sz w:val="18"/>
          <w:szCs w:val="18"/>
          <w:b w:val="1"/>
          <w:bCs w:val="1"/>
          <w:color w:val="auto"/>
        </w:rPr>
        <w:t>Lantheus Holdings, Inc.</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Reconciliation of Revenues to Revenues Excluding the Impact of Foreign Currency</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 unaudited)</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60" w:type="dxa"/>
            <w:vAlign w:val="bottom"/>
            <w:gridSpan w:val="5"/>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840" w:type="dxa"/>
            <w:vAlign w:val="bottom"/>
            <w:gridSpan w:val="4"/>
          </w:tcPr>
          <w:p>
            <w:pPr>
              <w:jc w:val="right"/>
              <w:ind w:right="817"/>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57"/>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37"/>
              <w:spacing w:after="0"/>
              <w:rPr>
                <w:sz w:val="20"/>
                <w:szCs w:val="20"/>
                <w:color w:val="auto"/>
              </w:rPr>
            </w:pPr>
            <w:r>
              <w:rPr>
                <w:rFonts w:ascii="Arial" w:cs="Arial" w:eastAsia="Arial" w:hAnsi="Arial"/>
                <w:sz w:val="14"/>
                <w:szCs w:val="14"/>
                <w:b w:val="1"/>
                <w:bCs w:val="1"/>
                <w:color w:val="auto"/>
              </w:rPr>
              <w:t>September 30, 2017</w:t>
            </w:r>
          </w:p>
        </w:tc>
      </w:tr>
      <w:tr>
        <w:trPr>
          <w:trHeight w:val="152"/>
        </w:trPr>
        <w:tc>
          <w:tcPr>
            <w:tcW w:w="5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3"/>
                <w:szCs w:val="13"/>
                <w:color w:val="auto"/>
              </w:rPr>
            </w:pPr>
          </w:p>
        </w:tc>
        <w:tc>
          <w:tcPr>
            <w:tcW w:w="13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80" w:type="dxa"/>
            <w:vAlign w:val="bottom"/>
          </w:tcPr>
          <w:p>
            <w:pPr>
              <w:spacing w:after="0"/>
              <w:rPr>
                <w:sz w:val="13"/>
                <w:szCs w:val="13"/>
                <w:color w:val="auto"/>
              </w:rPr>
            </w:pPr>
          </w:p>
        </w:tc>
        <w:tc>
          <w:tcPr>
            <w:tcW w:w="1200" w:type="dxa"/>
            <w:vAlign w:val="bottom"/>
          </w:tcPr>
          <w:p>
            <w:pPr>
              <w:jc w:val="right"/>
              <w:ind w:right="497"/>
              <w:spacing w:after="0" w:line="153" w:lineRule="exact"/>
              <w:rPr>
                <w:sz w:val="20"/>
                <w:szCs w:val="20"/>
                <w:color w:val="auto"/>
              </w:rPr>
            </w:pPr>
            <w:r>
              <w:rPr>
                <w:rFonts w:ascii="Arial" w:cs="Arial" w:eastAsia="Arial" w:hAnsi="Arial"/>
                <w:sz w:val="14"/>
                <w:szCs w:val="14"/>
                <w:b w:val="1"/>
                <w:bCs w:val="1"/>
                <w:color w:val="auto"/>
              </w:rPr>
              <w:t>Total</w:t>
            </w:r>
          </w:p>
        </w:tc>
      </w:tr>
      <w:tr>
        <w:trPr>
          <w:trHeight w:val="192"/>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6"/>
                <w:szCs w:val="16"/>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Revenues</w:t>
            </w:r>
          </w:p>
        </w:tc>
        <w:tc>
          <w:tcPr>
            <w:tcW w:w="2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6"/>
                <w:szCs w:val="16"/>
                <w:color w:val="auto"/>
              </w:rPr>
            </w:pPr>
          </w:p>
        </w:tc>
        <w:tc>
          <w:tcPr>
            <w:tcW w:w="1200" w:type="dxa"/>
            <w:vAlign w:val="bottom"/>
          </w:tcPr>
          <w:p>
            <w:pPr>
              <w:jc w:val="right"/>
              <w:ind w:right="377"/>
              <w:spacing w:after="0"/>
              <w:rPr>
                <w:sz w:val="20"/>
                <w:szCs w:val="20"/>
                <w:color w:val="auto"/>
              </w:rPr>
            </w:pPr>
            <w:r>
              <w:rPr>
                <w:rFonts w:ascii="Arial" w:cs="Arial" w:eastAsia="Arial" w:hAnsi="Arial"/>
                <w:sz w:val="14"/>
                <w:szCs w:val="14"/>
                <w:b w:val="1"/>
                <w:bCs w:val="1"/>
                <w:color w:val="auto"/>
              </w:rPr>
              <w:t>Revenues</w:t>
            </w:r>
          </w:p>
        </w:tc>
      </w:tr>
      <w:tr>
        <w:trPr>
          <w:trHeight w:val="250"/>
        </w:trPr>
        <w:tc>
          <w:tcPr>
            <w:tcW w:w="512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top w:val="single" w:sz="8" w:color="auto"/>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BFE4FF"/>
            </w:tcBorders>
            <w:shd w:val="clear" w:color="auto" w:fill="BFE4FF"/>
          </w:tcPr>
          <w:p>
            <w:pPr>
              <w:jc w:val="right"/>
              <w:ind w:right="40"/>
              <w:spacing w:after="0"/>
              <w:rPr>
                <w:sz w:val="20"/>
                <w:szCs w:val="20"/>
                <w:color w:val="auto"/>
              </w:rPr>
            </w:pPr>
            <w:r>
              <w:rPr>
                <w:rFonts w:ascii="Arial" w:cs="Arial" w:eastAsia="Arial" w:hAnsi="Arial"/>
                <w:sz w:val="18"/>
                <w:szCs w:val="18"/>
                <w:color w:val="auto"/>
              </w:rPr>
              <w:t>10,362</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280" w:type="dxa"/>
            <w:vAlign w:val="bottom"/>
            <w:tcBorders>
              <w:top w:val="single" w:sz="8" w:color="auto"/>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BFE4FF"/>
            </w:tcBorders>
            <w:shd w:val="clear" w:color="auto" w:fill="BFE4FF"/>
          </w:tcPr>
          <w:p>
            <w:pPr>
              <w:jc w:val="right"/>
              <w:ind w:right="37"/>
              <w:spacing w:after="0"/>
              <w:rPr>
                <w:sz w:val="20"/>
                <w:szCs w:val="20"/>
                <w:color w:val="auto"/>
              </w:rPr>
            </w:pPr>
            <w:r>
              <w:rPr>
                <w:rFonts w:ascii="Arial" w:cs="Arial" w:eastAsia="Arial" w:hAnsi="Arial"/>
                <w:sz w:val="18"/>
                <w:szCs w:val="18"/>
                <w:color w:val="auto"/>
              </w:rPr>
              <w:t>79,941</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220" w:type="dxa"/>
            <w:vAlign w:val="bottom"/>
            <w:tcBorders>
              <w:top w:val="single" w:sz="8" w:color="auto"/>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BFE4FF"/>
            </w:tcBorders>
            <w:shd w:val="clear" w:color="auto" w:fill="BFE4FF"/>
          </w:tcPr>
          <w:p>
            <w:pPr>
              <w:jc w:val="right"/>
              <w:ind w:right="40"/>
              <w:spacing w:after="0"/>
              <w:rPr>
                <w:sz w:val="20"/>
                <w:szCs w:val="20"/>
                <w:color w:val="auto"/>
              </w:rPr>
            </w:pPr>
            <w:r>
              <w:rPr>
                <w:rFonts w:ascii="Arial" w:cs="Arial" w:eastAsia="Arial" w:hAnsi="Arial"/>
                <w:sz w:val="18"/>
                <w:szCs w:val="18"/>
                <w:color w:val="auto"/>
              </w:rPr>
              <w:t>31,431</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280" w:type="dxa"/>
            <w:vAlign w:val="bottom"/>
            <w:tcBorders>
              <w:top w:val="single" w:sz="8" w:color="auto"/>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BFE4FF"/>
            </w:tcBorders>
            <w:shd w:val="clear" w:color="auto" w:fill="BFE4FF"/>
          </w:tcPr>
          <w:p>
            <w:pPr>
              <w:jc w:val="right"/>
              <w:ind w:right="37"/>
              <w:spacing w:after="0"/>
              <w:rPr>
                <w:sz w:val="20"/>
                <w:szCs w:val="20"/>
                <w:color w:val="auto"/>
              </w:rPr>
            </w:pPr>
            <w:r>
              <w:rPr>
                <w:rFonts w:ascii="Arial" w:cs="Arial" w:eastAsia="Arial" w:hAnsi="Arial"/>
                <w:sz w:val="18"/>
                <w:szCs w:val="18"/>
                <w:color w:val="auto"/>
              </w:rPr>
              <w:t>250,137</w:t>
            </w:r>
          </w:p>
        </w:tc>
      </w:tr>
      <w:tr>
        <w:trPr>
          <w:trHeight w:val="243"/>
        </w:trPr>
        <w:tc>
          <w:tcPr>
            <w:tcW w:w="5120" w:type="dxa"/>
            <w:vAlign w:val="bottom"/>
          </w:tcPr>
          <w:p>
            <w:pPr>
              <w:ind w:left="260"/>
              <w:spacing w:after="0"/>
              <w:rPr>
                <w:sz w:val="20"/>
                <w:szCs w:val="20"/>
                <w:color w:val="auto"/>
              </w:rPr>
            </w:pPr>
            <w:r>
              <w:rPr>
                <w:rFonts w:ascii="Arial" w:cs="Arial" w:eastAsia="Arial" w:hAnsi="Arial"/>
                <w:sz w:val="18"/>
                <w:szCs w:val="18"/>
                <w:color w:val="auto"/>
              </w:rPr>
              <w:t>Currency impact as compared to prior period</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512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Revenues, excluding the impact of foreign currency</w:t>
            </w:r>
          </w:p>
        </w:tc>
        <w:tc>
          <w:tcPr>
            <w:tcW w:w="22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BFE4FF"/>
          </w:tcPr>
          <w:p>
            <w:pPr>
              <w:jc w:val="right"/>
              <w:ind w:right="40"/>
              <w:spacing w:after="0"/>
              <w:rPr>
                <w:sz w:val="20"/>
                <w:szCs w:val="20"/>
                <w:color w:val="auto"/>
              </w:rPr>
            </w:pPr>
            <w:r>
              <w:rPr>
                <w:rFonts w:ascii="Arial" w:cs="Arial" w:eastAsia="Arial" w:hAnsi="Arial"/>
                <w:sz w:val="18"/>
                <w:szCs w:val="18"/>
                <w:color w:val="auto"/>
              </w:rPr>
              <w:t>10,266</w:t>
            </w:r>
          </w:p>
        </w:tc>
        <w:tc>
          <w:tcPr>
            <w:tcW w:w="10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auto"/>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BFE4FF"/>
          </w:tcPr>
          <w:p>
            <w:pPr>
              <w:jc w:val="right"/>
              <w:ind w:right="37"/>
              <w:spacing w:after="0"/>
              <w:rPr>
                <w:sz w:val="20"/>
                <w:szCs w:val="20"/>
                <w:color w:val="auto"/>
              </w:rPr>
            </w:pPr>
            <w:r>
              <w:rPr>
                <w:rFonts w:ascii="Arial" w:cs="Arial" w:eastAsia="Arial" w:hAnsi="Arial"/>
                <w:sz w:val="18"/>
                <w:szCs w:val="18"/>
                <w:color w:val="auto"/>
              </w:rPr>
              <w:t>79,845</w:t>
            </w:r>
          </w:p>
        </w:tc>
        <w:tc>
          <w:tcPr>
            <w:tcW w:w="100" w:type="dxa"/>
            <w:vAlign w:val="bottom"/>
            <w:tcBorders>
              <w:bottom w:val="single" w:sz="8" w:color="BFE4FF"/>
            </w:tcBorders>
            <w:shd w:val="clear" w:color="auto" w:fill="BFE4FF"/>
          </w:tcPr>
          <w:p>
            <w:pPr>
              <w:spacing w:after="0"/>
              <w:rPr>
                <w:sz w:val="22"/>
                <w:szCs w:val="22"/>
                <w:color w:val="auto"/>
              </w:rPr>
            </w:pPr>
          </w:p>
        </w:tc>
        <w:tc>
          <w:tcPr>
            <w:tcW w:w="22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BFE4FF"/>
          </w:tcPr>
          <w:p>
            <w:pPr>
              <w:jc w:val="right"/>
              <w:ind w:right="40"/>
              <w:spacing w:after="0"/>
              <w:rPr>
                <w:sz w:val="20"/>
                <w:szCs w:val="20"/>
                <w:color w:val="auto"/>
              </w:rPr>
            </w:pPr>
            <w:r>
              <w:rPr>
                <w:rFonts w:ascii="Arial" w:cs="Arial" w:eastAsia="Arial" w:hAnsi="Arial"/>
                <w:sz w:val="18"/>
                <w:szCs w:val="18"/>
                <w:color w:val="auto"/>
              </w:rPr>
              <w:t>31,358</w:t>
            </w:r>
          </w:p>
        </w:tc>
        <w:tc>
          <w:tcPr>
            <w:tcW w:w="10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auto"/>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BFE4FF"/>
          </w:tcPr>
          <w:p>
            <w:pPr>
              <w:jc w:val="right"/>
              <w:ind w:right="37"/>
              <w:spacing w:after="0"/>
              <w:rPr>
                <w:sz w:val="20"/>
                <w:szCs w:val="20"/>
                <w:color w:val="auto"/>
              </w:rPr>
            </w:pPr>
            <w:r>
              <w:rPr>
                <w:rFonts w:ascii="Arial" w:cs="Arial" w:eastAsia="Arial" w:hAnsi="Arial"/>
                <w:sz w:val="18"/>
                <w:szCs w:val="18"/>
                <w:color w:val="auto"/>
              </w:rPr>
              <w:t>250,064</w:t>
            </w: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7 of 13</w:t>
      </w:r>
    </w:p>
    <w:p>
      <w:pPr>
        <w:sectPr>
          <w:pgSz w:w="11900" w:h="16838" w:orient="portrait"/>
          <w:cols w:equalWidth="0" w:num="1">
            <w:col w:w="11360"/>
          </w:cols>
          <w:pgMar w:left="280" w:top="418" w:right="259" w:bottom="1440" w:gutter="0" w:footer="0" w:header="0"/>
        </w:sectPr>
      </w:pPr>
    </w:p>
    <w:bookmarkStart w:id="11" w:name="page12"/>
    <w:bookmarkEnd w:id="11"/>
    <w:p>
      <w:pPr>
        <w:ind w:left="4380"/>
        <w:spacing w:after="0"/>
        <w:rPr>
          <w:sz w:val="20"/>
          <w:szCs w:val="20"/>
          <w:color w:val="auto"/>
        </w:rPr>
      </w:pPr>
      <w:r>
        <w:rPr>
          <w:rFonts w:ascii="Arial" w:cs="Arial" w:eastAsia="Arial" w:hAnsi="Arial"/>
          <w:sz w:val="18"/>
          <w:szCs w:val="18"/>
          <w:b w:val="1"/>
          <w:bCs w:val="1"/>
          <w:color w:val="auto"/>
        </w:rPr>
        <w:t>Lantheus Holdings, Inc.</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 unaudited)</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8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6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6"/>
        </w:trPr>
        <w:tc>
          <w:tcPr>
            <w:tcW w:w="49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12,822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12,595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42,646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44,447</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Reconciling items impacting operating income:</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Campus consolidation costs including 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5,779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260"/>
              <w:spacing w:after="0"/>
              <w:rPr>
                <w:sz w:val="20"/>
                <w:szCs w:val="20"/>
                <w:color w:val="auto"/>
              </w:rPr>
            </w:pPr>
            <w:r>
              <w:rPr>
                <w:rFonts w:ascii="Arial" w:cs="Arial" w:eastAsia="Arial" w:hAnsi="Arial"/>
                <w:sz w:val="18"/>
                <w:szCs w:val="18"/>
                <w:color w:val="auto"/>
              </w:rPr>
              <w:t>Offering and other costs</w:t>
            </w:r>
          </w:p>
        </w:tc>
        <w:tc>
          <w:tcPr>
            <w:tcW w:w="320" w:type="dxa"/>
            <w:vAlign w:val="bottom"/>
          </w:tcPr>
          <w:p>
            <w:pPr>
              <w:spacing w:after="0"/>
              <w:rPr>
                <w:sz w:val="21"/>
                <w:szCs w:val="21"/>
                <w:color w:val="auto"/>
              </w:rPr>
            </w:pPr>
          </w:p>
        </w:tc>
        <w:tc>
          <w:tcPr>
            <w:tcW w:w="1020" w:type="dxa"/>
            <w:vAlign w:val="bottom"/>
          </w:tcPr>
          <w:p>
            <w:pPr>
              <w:jc w:val="right"/>
              <w:ind w:right="95"/>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Non-recurring refinancing related fees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1,721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260"/>
              <w:spacing w:after="0"/>
              <w:rPr>
                <w:sz w:val="20"/>
                <w:szCs w:val="20"/>
                <w:color w:val="auto"/>
              </w:rPr>
            </w:pPr>
            <w:r>
              <w:rPr>
                <w:rFonts w:ascii="Arial" w:cs="Arial" w:eastAsia="Arial" w:hAnsi="Arial"/>
                <w:sz w:val="18"/>
                <w:szCs w:val="18"/>
                <w:color w:val="auto"/>
              </w:rPr>
              <w:t>Gain on sale of assets</w:t>
            </w:r>
          </w:p>
        </w:tc>
        <w:tc>
          <w:tcPr>
            <w:tcW w:w="32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(6,505)</w:t>
            </w:r>
          </w:p>
        </w:tc>
      </w:tr>
      <w:tr>
        <w:trPr>
          <w:trHeight w:val="27"/>
        </w:trPr>
        <w:tc>
          <w:tcPr>
            <w:tcW w:w="4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operating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13,692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12,035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50,748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37,942</w:t>
            </w:r>
          </w:p>
        </w:tc>
      </w:tr>
      <w:tr>
        <w:trPr>
          <w:trHeight w:val="20"/>
        </w:trPr>
        <w:tc>
          <w:tcPr>
            <w:tcW w:w="4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1"/>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Adjusted operating income, as a percentage of revenues</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0"/>
        </w:trPr>
        <w:tc>
          <w:tcPr>
            <w:tcW w:w="4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6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4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3"/>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8,526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4,220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26,259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21,893</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Reconciling items impacting operating expenses:</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Campus consolidation costs including 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5,779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tcPr>
          <w:p>
            <w:pPr>
              <w:ind w:left="260"/>
              <w:spacing w:after="0"/>
              <w:rPr>
                <w:sz w:val="20"/>
                <w:szCs w:val="20"/>
                <w:color w:val="auto"/>
              </w:rPr>
            </w:pPr>
            <w:r>
              <w:rPr>
                <w:rFonts w:ascii="Arial" w:cs="Arial" w:eastAsia="Arial" w:hAnsi="Arial"/>
                <w:sz w:val="18"/>
                <w:szCs w:val="18"/>
                <w:color w:val="auto"/>
              </w:rPr>
              <w:t>Offering and other costs</w:t>
            </w:r>
          </w:p>
        </w:tc>
        <w:tc>
          <w:tcPr>
            <w:tcW w:w="320" w:type="dxa"/>
            <w:vAlign w:val="bottom"/>
          </w:tcPr>
          <w:p>
            <w:pPr>
              <w:spacing w:after="0"/>
              <w:rPr>
                <w:sz w:val="21"/>
                <w:szCs w:val="21"/>
                <w:color w:val="auto"/>
              </w:rPr>
            </w:pP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Non-recurring refinancing related fees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1,721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tcPr>
          <w:p>
            <w:pPr>
              <w:ind w:left="260"/>
              <w:spacing w:after="0"/>
              <w:rPr>
                <w:sz w:val="20"/>
                <w:szCs w:val="20"/>
                <w:color w:val="auto"/>
              </w:rPr>
            </w:pPr>
            <w:r>
              <w:rPr>
                <w:rFonts w:ascii="Arial" w:cs="Arial" w:eastAsia="Arial" w:hAnsi="Arial"/>
                <w:sz w:val="18"/>
                <w:szCs w:val="18"/>
                <w:color w:val="auto"/>
              </w:rPr>
              <w:t>Gain on sale of assets</w:t>
            </w:r>
          </w:p>
        </w:tc>
        <w:tc>
          <w:tcPr>
            <w:tcW w:w="32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(6,505)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Reconciling items impacting non-operating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60"/>
              <w:spacing w:after="0"/>
              <w:rPr>
                <w:sz w:val="20"/>
                <w:szCs w:val="20"/>
                <w:color w:val="auto"/>
              </w:rPr>
            </w:pPr>
            <w:r>
              <w:rPr>
                <w:rFonts w:ascii="Arial" w:cs="Arial" w:eastAsia="Arial" w:hAnsi="Arial"/>
                <w:sz w:val="18"/>
                <w:szCs w:val="18"/>
                <w:color w:val="auto"/>
              </w:rPr>
              <w:t>Loss on debt extinguishment and retirement costs</w:t>
            </w:r>
          </w:p>
        </w:tc>
        <w:tc>
          <w:tcPr>
            <w:tcW w:w="32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2,161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9,396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5,075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36,522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16,803</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Adjusted net income, as a percentage of revenues</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8 of 13</w:t>
      </w:r>
    </w:p>
    <w:p>
      <w:pPr>
        <w:sectPr>
          <w:pgSz w:w="11900" w:h="16838" w:orient="portrait"/>
          <w:cols w:equalWidth="0" w:num="1">
            <w:col w:w="10600"/>
          </w:cols>
          <w:pgMar w:left="660" w:top="418" w:right="639" w:bottom="1440" w:gutter="0" w:footer="0" w:header="0"/>
        </w:sectPr>
      </w:pPr>
    </w:p>
    <w:bookmarkStart w:id="12" w:name="page13"/>
    <w:bookmarkEnd w:id="12"/>
    <w:p>
      <w:pPr>
        <w:ind w:left="4380"/>
        <w:spacing w:after="0"/>
        <w:rPr>
          <w:sz w:val="20"/>
          <w:szCs w:val="20"/>
          <w:color w:val="auto"/>
        </w:rPr>
      </w:pPr>
      <w:r>
        <w:rPr>
          <w:rFonts w:ascii="Arial" w:cs="Arial" w:eastAsia="Arial" w:hAnsi="Arial"/>
          <w:sz w:val="18"/>
          <w:szCs w:val="18"/>
          <w:b w:val="1"/>
          <w:bCs w:val="1"/>
          <w:color w:val="auto"/>
        </w:rPr>
        <w:t>Lantheus Holdings, Inc.</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per share data – unaudited)</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34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160"/>
              <w:spacing w:after="0"/>
              <w:rPr>
                <w:sz w:val="20"/>
                <w:szCs w:val="20"/>
                <w:color w:val="auto"/>
              </w:rPr>
            </w:pPr>
            <w:r>
              <w:rPr>
                <w:rFonts w:ascii="Arial" w:cs="Arial" w:eastAsia="Arial" w:hAnsi="Arial"/>
                <w:sz w:val="18"/>
                <w:szCs w:val="18"/>
                <w:i w:val="1"/>
                <w:iCs w:val="1"/>
                <w:color w:val="auto"/>
              </w:rPr>
              <w:t>Reconciling items impacting operating expenses:</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Campus consolidation costs including depreciation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tcPr>
          <w:p>
            <w:pPr>
              <w:ind w:left="380"/>
              <w:spacing w:after="0"/>
              <w:rPr>
                <w:sz w:val="20"/>
                <w:szCs w:val="20"/>
                <w:color w:val="auto"/>
              </w:rPr>
            </w:pPr>
            <w:r>
              <w:rPr>
                <w:rFonts w:ascii="Arial" w:cs="Arial" w:eastAsia="Arial" w:hAnsi="Arial"/>
                <w:sz w:val="18"/>
                <w:szCs w:val="18"/>
                <w:color w:val="auto"/>
              </w:rPr>
              <w:t>Offering and other costs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Non-recurring refinancing related fees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tcPr>
          <w:p>
            <w:pPr>
              <w:ind w:left="380"/>
              <w:spacing w:after="0"/>
              <w:rPr>
                <w:sz w:val="20"/>
                <w:szCs w:val="20"/>
                <w:color w:val="auto"/>
              </w:rPr>
            </w:pPr>
            <w:r>
              <w:rPr>
                <w:rFonts w:ascii="Arial" w:cs="Arial" w:eastAsia="Arial" w:hAnsi="Arial"/>
                <w:sz w:val="18"/>
                <w:szCs w:val="18"/>
                <w:color w:val="auto"/>
              </w:rPr>
              <w:t>Gain on sale of assets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i w:val="1"/>
                <w:iCs w:val="1"/>
                <w:color w:val="auto"/>
              </w:rPr>
              <w:t>Reconciling items impacting non-operating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380"/>
              <w:spacing w:after="0"/>
              <w:rPr>
                <w:sz w:val="20"/>
                <w:szCs w:val="20"/>
                <w:color w:val="auto"/>
              </w:rPr>
            </w:pPr>
            <w:r>
              <w:rPr>
                <w:rFonts w:ascii="Arial" w:cs="Arial" w:eastAsia="Arial" w:hAnsi="Arial"/>
                <w:sz w:val="18"/>
                <w:szCs w:val="18"/>
                <w:color w:val="auto"/>
              </w:rPr>
              <w:t>Loss on debt extinguishment and retirement costs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per share - 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0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39,121</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32,402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38,971</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31,049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9 of 13</w:t>
      </w:r>
    </w:p>
    <w:p>
      <w:pPr>
        <w:sectPr>
          <w:pgSz w:w="11900" w:h="16838" w:orient="portrait"/>
          <w:cols w:equalWidth="0" w:num="1">
            <w:col w:w="10600"/>
          </w:cols>
          <w:pgMar w:left="660" w:top="418" w:right="639" w:bottom="1440" w:gutter="0" w:footer="0" w:header="0"/>
        </w:sectPr>
      </w:pPr>
    </w:p>
    <w:bookmarkStart w:id="13" w:name="page14"/>
    <w:bookmarkEnd w:id="13"/>
    <w:p>
      <w:pPr>
        <w:ind w:left="4340"/>
        <w:spacing w:after="0"/>
        <w:rPr>
          <w:sz w:val="20"/>
          <w:szCs w:val="20"/>
          <w:color w:val="auto"/>
        </w:rPr>
      </w:pPr>
      <w:r>
        <w:rPr>
          <w:rFonts w:ascii="Arial" w:cs="Arial" w:eastAsia="Arial" w:hAnsi="Arial"/>
          <w:sz w:val="18"/>
          <w:szCs w:val="18"/>
          <w:b w:val="1"/>
          <w:bCs w:val="1"/>
          <w:color w:val="auto"/>
        </w:rPr>
        <w:t>Lantheus Holdings, Inc.</w:t>
      </w:r>
    </w:p>
    <w:p>
      <w:pPr>
        <w:spacing w:after="0" w:line="11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6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(in thousands – unaudited)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4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6"/>
        </w:trPr>
        <w:tc>
          <w:tcPr>
            <w:tcW w:w="49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8,526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4,220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26,259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21,893</w:t>
            </w: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4,437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6,786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14,134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20,782</w:t>
            </w:r>
          </w:p>
        </w:tc>
      </w:tr>
      <w:tr>
        <w:trPr>
          <w:trHeight w:val="27"/>
        </w:trPr>
        <w:tc>
          <w:tcPr>
            <w:tcW w:w="4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90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Provision for income taxes </w:t>
            </w:r>
            <w:r>
              <w:rPr>
                <w:rFonts w:ascii="Arial" w:cs="Arial" w:eastAsia="Arial" w:hAnsi="Arial"/>
                <w:sz w:val="25"/>
                <w:szCs w:val="25"/>
                <w:color w:val="auto"/>
                <w:vertAlign w:val="superscript"/>
              </w:rPr>
              <w:t>(a)</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25</w:t>
            </w: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10,066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6,386</w:t>
            </w:r>
          </w:p>
        </w:tc>
      </w:tr>
      <w:tr>
        <w:trPr>
          <w:trHeight w:val="27"/>
        </w:trPr>
        <w:tc>
          <w:tcPr>
            <w:tcW w:w="4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1,646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4,953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6,278</w:t>
            </w: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EBITDA</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16,983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15,070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56,058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55,364</w:t>
            </w:r>
          </w:p>
        </w:tc>
      </w:tr>
      <w:tr>
        <w:trPr>
          <w:trHeight w:val="27"/>
        </w:trPr>
        <w:tc>
          <w:tcPr>
            <w:tcW w:w="4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Stock and incentive plan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4,735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2,736</w:t>
            </w:r>
          </w:p>
        </w:tc>
      </w:tr>
      <w:tr>
        <w:trPr>
          <w:trHeight w:val="270"/>
        </w:trPr>
        <w:tc>
          <w:tcPr>
            <w:tcW w:w="490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Asset write-off </w:t>
            </w:r>
            <w:r>
              <w:rPr>
                <w:rFonts w:ascii="Arial" w:cs="Arial" w:eastAsia="Arial" w:hAnsi="Arial"/>
                <w:sz w:val="25"/>
                <w:szCs w:val="25"/>
                <w:color w:val="auto"/>
                <w:vertAlign w:val="superscript"/>
              </w:rPr>
              <w:t>(b)</w:t>
            </w:r>
          </w:p>
        </w:tc>
        <w:tc>
          <w:tcPr>
            <w:tcW w:w="320" w:type="dxa"/>
            <w:vAlign w:val="bottom"/>
          </w:tcPr>
          <w:p>
            <w:pPr>
              <w:spacing w:after="0"/>
              <w:rPr>
                <w:sz w:val="23"/>
                <w:szCs w:val="23"/>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2,184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1,088</w:t>
            </w:r>
          </w:p>
        </w:tc>
      </w:tr>
      <w:tr>
        <w:trPr>
          <w:trHeight w:val="270"/>
        </w:trPr>
        <w:tc>
          <w:tcPr>
            <w:tcW w:w="490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Severance and recruiting costs </w:t>
            </w:r>
            <w:r>
              <w:rPr>
                <w:rFonts w:ascii="Arial" w:cs="Arial" w:eastAsia="Arial" w:hAnsi="Arial"/>
                <w:sz w:val="25"/>
                <w:szCs w:val="25"/>
                <w:color w:val="auto"/>
                <w:vertAlign w:val="superscript"/>
              </w:rPr>
              <w:t>(c)</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1,033</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1,886</w:t>
            </w:r>
          </w:p>
        </w:tc>
      </w:tr>
      <w:tr>
        <w:trPr>
          <w:trHeight w:val="270"/>
        </w:trPr>
        <w:tc>
          <w:tcPr>
            <w:tcW w:w="4900" w:type="dxa"/>
            <w:vAlign w:val="bottom"/>
          </w:tcPr>
          <w:p>
            <w:pPr>
              <w:ind w:left="260"/>
              <w:spacing w:after="0" w:line="270" w:lineRule="exact"/>
              <w:rPr>
                <w:sz w:val="20"/>
                <w:szCs w:val="20"/>
                <w:color w:val="auto"/>
              </w:rPr>
            </w:pPr>
            <w:r>
              <w:rPr>
                <w:rFonts w:ascii="Arial" w:cs="Arial" w:eastAsia="Arial" w:hAnsi="Arial"/>
                <w:sz w:val="18"/>
                <w:szCs w:val="18"/>
                <w:color w:val="auto"/>
              </w:rPr>
              <w:t>Offering and other costs</w:t>
            </w:r>
            <w:r>
              <w:rPr>
                <w:rFonts w:ascii="Arial" w:cs="Arial" w:eastAsia="Arial" w:hAnsi="Arial"/>
                <w:sz w:val="25"/>
                <w:szCs w:val="25"/>
                <w:color w:val="auto"/>
                <w:vertAlign w:val="superscript"/>
              </w:rPr>
              <w:t>(d)</w:t>
            </w:r>
          </w:p>
        </w:tc>
        <w:tc>
          <w:tcPr>
            <w:tcW w:w="320" w:type="dxa"/>
            <w:vAlign w:val="bottom"/>
          </w:tcPr>
          <w:p>
            <w:pPr>
              <w:spacing w:after="0"/>
              <w:rPr>
                <w:sz w:val="23"/>
                <w:szCs w:val="23"/>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9</w:t>
            </w:r>
          </w:p>
        </w:tc>
      </w:tr>
      <w:tr>
        <w:trPr>
          <w:trHeight w:val="250"/>
        </w:trPr>
        <w:tc>
          <w:tcPr>
            <w:tcW w:w="4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Campus consolidation costs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Debt refinancing costs</w:t>
            </w:r>
          </w:p>
        </w:tc>
        <w:tc>
          <w:tcPr>
            <w:tcW w:w="32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1,721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7"/>
        </w:trPr>
        <w:tc>
          <w:tcPr>
            <w:tcW w:w="4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Extinguishment of debt and debt retirement costs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1,415</w:t>
            </w: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Gain on sales of assets</w:t>
            </w:r>
          </w:p>
        </w:tc>
        <w:tc>
          <w:tcPr>
            <w:tcW w:w="32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(6,505)</w:t>
            </w:r>
          </w:p>
        </w:tc>
      </w:tr>
      <w:tr>
        <w:trPr>
          <w:trHeight w:val="27"/>
        </w:trPr>
        <w:tc>
          <w:tcPr>
            <w:tcW w:w="4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90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New manufacturer costs </w:t>
            </w:r>
            <w:r>
              <w:rPr>
                <w:rFonts w:ascii="Arial" w:cs="Arial" w:eastAsia="Arial" w:hAnsi="Arial"/>
                <w:sz w:val="25"/>
                <w:szCs w:val="25"/>
                <w:color w:val="auto"/>
                <w:vertAlign w:val="superscript"/>
              </w:rPr>
              <w:t>(e)</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1,639</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3,616</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2,451</w:t>
            </w:r>
          </w:p>
        </w:tc>
      </w:tr>
      <w:tr>
        <w:trPr>
          <w:trHeight w:val="297"/>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22,613</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18,675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73,211</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58,444</w:t>
            </w:r>
          </w:p>
        </w:tc>
      </w:tr>
      <w:tr>
        <w:trPr>
          <w:trHeight w:val="251"/>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as a percentage of revenues</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0"/>
        </w:trPr>
        <w:tc>
          <w:tcPr>
            <w:tcW w:w="4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840" w:hanging="644"/>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provision for income taxes, less tax indemnification associated with BMS.</w:t>
      </w:r>
    </w:p>
    <w:p>
      <w:pPr>
        <w:spacing w:after="0" w:line="225" w:lineRule="exact"/>
        <w:rPr>
          <w:rFonts w:ascii="Arial" w:cs="Arial" w:eastAsia="Arial" w:hAnsi="Arial"/>
          <w:sz w:val="18"/>
          <w:szCs w:val="18"/>
          <w:color w:val="auto"/>
        </w:rPr>
      </w:pPr>
    </w:p>
    <w:p>
      <w:pPr>
        <w:ind w:left="840" w:hanging="644"/>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non-cash losses incurred associated with the write-down of inventory and write-off of long-lived assets.</w:t>
      </w:r>
    </w:p>
    <w:p>
      <w:pPr>
        <w:spacing w:after="0" w:line="225" w:lineRule="exact"/>
        <w:rPr>
          <w:rFonts w:ascii="Arial" w:cs="Arial" w:eastAsia="Arial" w:hAnsi="Arial"/>
          <w:sz w:val="18"/>
          <w:szCs w:val="18"/>
          <w:color w:val="auto"/>
        </w:rPr>
      </w:pPr>
    </w:p>
    <w:p>
      <w:pPr>
        <w:ind w:left="840" w:hanging="644"/>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amounts consist of severance and recruitment costs related to employees, executives and directors.</w:t>
      </w:r>
    </w:p>
    <w:p>
      <w:pPr>
        <w:spacing w:after="0" w:line="225" w:lineRule="exact"/>
        <w:rPr>
          <w:rFonts w:ascii="Arial" w:cs="Arial" w:eastAsia="Arial" w:hAnsi="Arial"/>
          <w:sz w:val="18"/>
          <w:szCs w:val="18"/>
          <w:color w:val="auto"/>
        </w:rPr>
      </w:pPr>
    </w:p>
    <w:p>
      <w:pPr>
        <w:ind w:left="840" w:right="140" w:hanging="644"/>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offering costs incurred on behalf of certain shareholders pursuant to a registration rights agreement and other non-recurring costs.</w:t>
      </w:r>
    </w:p>
    <w:p>
      <w:pPr>
        <w:spacing w:after="0" w:line="170" w:lineRule="exact"/>
        <w:rPr>
          <w:rFonts w:ascii="Arial" w:cs="Arial" w:eastAsia="Arial" w:hAnsi="Arial"/>
          <w:sz w:val="18"/>
          <w:szCs w:val="18"/>
          <w:color w:val="auto"/>
        </w:rPr>
      </w:pPr>
    </w:p>
    <w:p>
      <w:pPr>
        <w:ind w:left="840" w:hanging="644"/>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internal and external costs associated with establishing new manufacturing sources for our commercial and clinical candidate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Page 10 of 13</w:t>
      </w:r>
    </w:p>
    <w:p>
      <w:pPr>
        <w:sectPr>
          <w:pgSz w:w="11900" w:h="16838" w:orient="portrait"/>
          <w:cols w:equalWidth="0" w:num="1">
            <w:col w:w="10700"/>
          </w:cols>
          <w:pgMar w:left="700" w:top="418" w:right="499" w:bottom="1440" w:gutter="0" w:footer="0" w:header="0"/>
        </w:sectPr>
      </w:pPr>
    </w:p>
    <w:bookmarkStart w:id="14" w:name="page15"/>
    <w:bookmarkEnd w:id="14"/>
    <w:p>
      <w:pPr>
        <w:ind w:left="4460"/>
        <w:spacing w:after="0"/>
        <w:rPr>
          <w:sz w:val="20"/>
          <w:szCs w:val="20"/>
          <w:color w:val="auto"/>
        </w:rPr>
      </w:pPr>
      <w:r>
        <w:rPr>
          <w:rFonts w:ascii="Arial" w:cs="Arial" w:eastAsia="Arial" w:hAnsi="Arial"/>
          <w:sz w:val="18"/>
          <w:szCs w:val="18"/>
          <w:b w:val="1"/>
          <w:bCs w:val="1"/>
          <w:color w:val="auto"/>
        </w:rPr>
        <w:t>Lantheus Holdings, Inc.</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Reconciliation of Free Cash Flow</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 unaudited)</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560" w:type="dxa"/>
            <w:vAlign w:val="bottom"/>
            <w:gridSpan w:val="4"/>
          </w:tcPr>
          <w:p>
            <w:pPr>
              <w:jc w:val="right"/>
              <w:ind w:right="73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264"/>
        </w:trPr>
        <w:tc>
          <w:tcPr>
            <w:tcW w:w="48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15,600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41,691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36,861</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(3,288)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(11,589)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(4,976)</w:t>
            </w:r>
          </w:p>
        </w:tc>
      </w:tr>
      <w:tr>
        <w:trPr>
          <w:trHeight w:val="27"/>
        </w:trPr>
        <w:tc>
          <w:tcPr>
            <w:tcW w:w="4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4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Free cash flow</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12,312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12,858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30,102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31,885</w:t>
            </w:r>
          </w:p>
        </w:tc>
      </w:tr>
      <w:tr>
        <w:trPr>
          <w:trHeight w:val="20"/>
        </w:trPr>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11 of 13</w:t>
      </w:r>
    </w:p>
    <w:p>
      <w:pPr>
        <w:sectPr>
          <w:pgSz w:w="11900" w:h="16838" w:orient="portrait"/>
          <w:cols w:equalWidth="0" w:num="1">
            <w:col w:w="10760"/>
          </w:cols>
          <w:pgMar w:left="580" w:top="418" w:right="559" w:bottom="1440" w:gutter="0" w:footer="0" w:header="0"/>
        </w:sectPr>
      </w:pPr>
    </w:p>
    <w:bookmarkStart w:id="15" w:name="page16"/>
    <w:bookmarkEnd w:id="15"/>
    <w:p>
      <w:pPr>
        <w:ind w:left="3820"/>
        <w:spacing w:after="0"/>
        <w:rPr>
          <w:sz w:val="20"/>
          <w:szCs w:val="20"/>
          <w:color w:val="auto"/>
        </w:rPr>
      </w:pPr>
      <w:r>
        <w:rPr>
          <w:rFonts w:ascii="Arial" w:cs="Arial" w:eastAsia="Arial" w:hAnsi="Arial"/>
          <w:sz w:val="18"/>
          <w:szCs w:val="18"/>
          <w:b w:val="1"/>
          <w:bCs w:val="1"/>
          <w:color w:val="auto"/>
        </w:rPr>
        <w:t>Lantheus Holdings, Inc.</w:t>
      </w:r>
    </w:p>
    <w:p>
      <w:pPr>
        <w:spacing w:after="0" w:line="11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 unaudited)</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100" w:type="dxa"/>
            <w:vAlign w:val="bottom"/>
          </w:tcPr>
          <w:p>
            <w:pPr>
              <w:jc w:val="right"/>
              <w:ind w:right="132"/>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66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68,077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51,178</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41,713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36,818</w:t>
            </w: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17,640</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3,789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5,183</w:t>
            </w:r>
          </w:p>
        </w:tc>
      </w:tr>
      <w:tr>
        <w:trPr>
          <w:trHeight w:val="27"/>
        </w:trPr>
        <w:tc>
          <w:tcPr>
            <w:tcW w:w="6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136,611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110,819</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Property, plant &amp; equipment, net</w:t>
            </w:r>
          </w:p>
        </w:tc>
        <w:tc>
          <w:tcPr>
            <w:tcW w:w="2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94,516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94,187</w:t>
            </w: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15,118</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15,714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15,714</w:t>
            </w: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20,060</w:t>
            </w:r>
          </w:p>
        </w:tc>
      </w:tr>
      <w:tr>
        <w:trPr>
          <w:trHeight w:val="237"/>
        </w:trPr>
        <w:tc>
          <w:tcPr>
            <w:tcW w:w="666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281,021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255,898</w:t>
            </w:r>
          </w:p>
        </w:tc>
      </w:tr>
      <w:tr>
        <w:trPr>
          <w:trHeight w:val="67"/>
        </w:trPr>
        <w:tc>
          <w:tcPr>
            <w:tcW w:w="66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31"/>
        </w:trPr>
        <w:tc>
          <w:tcPr>
            <w:tcW w:w="66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Deficit</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Revolving line of credit</w:t>
            </w:r>
          </w:p>
        </w:tc>
        <w:tc>
          <w:tcPr>
            <w:tcW w:w="2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18,940</w:t>
            </w: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24,581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21,249</w:t>
            </w:r>
          </w:p>
        </w:tc>
      </w:tr>
      <w:tr>
        <w:trPr>
          <w:trHeight w:val="27"/>
        </w:trPr>
        <w:tc>
          <w:tcPr>
            <w:tcW w:w="6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43,839</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Asset retirement obligations</w:t>
            </w:r>
          </w:p>
        </w:tc>
        <w:tc>
          <w:tcPr>
            <w:tcW w:w="2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10,151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9,370</w:t>
            </w: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265,523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274,460</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37,176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34,745</w:t>
            </w:r>
          </w:p>
        </w:tc>
      </w:tr>
      <w:tr>
        <w:trPr>
          <w:trHeight w:val="27"/>
        </w:trPr>
        <w:tc>
          <w:tcPr>
            <w:tcW w:w="6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358,937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362,414</w:t>
            </w: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Stockholders’ deficit</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(77,916)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(106,516)</w:t>
            </w:r>
          </w:p>
        </w:tc>
      </w:tr>
      <w:tr>
        <w:trPr>
          <w:trHeight w:val="27"/>
        </w:trPr>
        <w:tc>
          <w:tcPr>
            <w:tcW w:w="6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and stockholders’ deficit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281,021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255,898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 of 13</w:t>
      </w:r>
    </w:p>
    <w:p>
      <w:pPr>
        <w:sectPr>
          <w:pgSz w:w="11900" w:h="16838" w:orient="portrait"/>
          <w:cols w:equalWidth="0" w:num="1">
            <w:col w:w="9460"/>
          </w:cols>
          <w:pgMar w:left="1220" w:top="418" w:right="1219" w:bottom="1440" w:gutter="0" w:footer="0" w:header="0"/>
        </w:sectPr>
      </w:pPr>
    </w:p>
    <w:bookmarkStart w:id="16" w:name="page17"/>
    <w:bookmarkEnd w:id="16"/>
    <w:p>
      <w:pPr>
        <w:ind w:left="55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Gary Santo</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Head of Capital Markets and Investor Relations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978-671-8960</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Meara Murphy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 and Corporate Communications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978-671-8508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3999"/>
        <w:spacing w:after="0"/>
        <w:rPr>
          <w:sz w:val="20"/>
          <w:szCs w:val="20"/>
          <w:color w:val="auto"/>
        </w:rPr>
      </w:pPr>
      <w:r>
        <w:rPr>
          <w:rFonts w:ascii="Arial" w:cs="Arial" w:eastAsia="Arial" w:hAnsi="Arial"/>
          <w:sz w:val="18"/>
          <w:szCs w:val="18"/>
          <w:color w:val="auto"/>
        </w:rPr>
        <w:t>Page 13 of 13</w:t>
      </w:r>
    </w:p>
    <w:sectPr>
      <w:pgSz w:w="11900" w:h="16838" w:orient="portrait"/>
      <w:cols w:equalWidth="0" w:num="1">
        <w:col w:w="10219"/>
      </w:cols>
      <w:pgMar w:left="240" w:top="5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2019-12-29T03:35:59Z</dcterms:created>
  <dcterms:modified xsi:type="dcterms:W3CDTF">2019-12-29T03:35:59Z</dcterms:modified>
</cp:coreProperties>
</file>