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0569ddefa14a.htm"/>
      <w:bookmarkStart w:id="1" w:name="ksd120569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Schedule 14A relates solely to preliminary communications made prior to furnishing security holders of Lantheus Holdings, Inc. (the “</w:t>
      </w:r>
      <w:r>
        <w:rPr>
          <w:rFonts w:ascii="Times New Roman" w:hAnsi="Times New Roman"/>
          <w:sz w:val="20"/>
          <w:u w:val="single"/>
        </w:rPr>
        <w:t>Company</w:t>
      </w:r>
      <w:r>
        <w:rPr>
          <w:rFonts w:ascii="Times New Roman" w:hAnsi="Times New Roman"/>
          <w:sz w:val="20"/>
        </w:rPr>
        <w:t>”) with a proxy statement related to a proposed transaction in which Coco Merger Sub Inc. (“</w:t>
      </w:r>
      <w:r>
        <w:rPr>
          <w:rFonts w:ascii="Times New Roman" w:hAnsi="Times New Roman"/>
          <w:sz w:val="20"/>
          <w:u w:val="single"/>
        </w:rPr>
        <w:t>Merger Sub</w:t>
      </w:r>
      <w:r>
        <w:rPr>
          <w:rFonts w:ascii="Times New Roman" w:hAnsi="Times New Roman"/>
          <w:sz w:val="20"/>
        </w:rPr>
        <w:t>”), a wholly owned subsidiary of Curium US Holdings LLC (“</w:t>
      </w:r>
      <w:r>
        <w:rPr>
          <w:rFonts w:ascii="Times New Roman" w:hAnsi="Times New Roman"/>
          <w:sz w:val="20"/>
          <w:u w:val="single"/>
        </w:rPr>
        <w:t>Parent</w:t>
      </w:r>
      <w:r>
        <w:rPr>
          <w:rFonts w:ascii="Times New Roman" w:hAnsi="Times New Roman"/>
          <w:sz w:val="20"/>
        </w:rPr>
        <w:t>”), will be merged with and into the Company, with the Company being the surviving corporation and continuing as a wholly owned subsidiary of Parent (the “</w:t>
      </w:r>
      <w:r>
        <w:rPr>
          <w:rFonts w:ascii="Times New Roman" w:hAnsi="Times New Roman"/>
          <w:sz w:val="20"/>
          <w:u w:val="single"/>
        </w:rPr>
        <w:t>Merger</w:t>
      </w:r>
      <w:r>
        <w:rPr>
          <w:rFonts w:ascii="Times New Roman" w:hAnsi="Times New Roman"/>
          <w:sz w:val="20"/>
        </w:rPr>
        <w:t>”), upon the terms and subject to the conditions set forth in the Agreement and Plan of Merger, dated August 3, 2026, among the Company, Parent, and Merger Sub (the “</w:t>
      </w:r>
      <w:r>
        <w:rPr>
          <w:rFonts w:ascii="Times New Roman" w:hAnsi="Times New Roman"/>
          <w:sz w:val="20"/>
          <w:u w:val="single"/>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Schedule 14A filing consists of the following documents relating to the Merger and the other transactions contemplated by the Merger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0"/>
        <w:gridCol w:w="121"/>
        <w:gridCol w:w="8884"/>
      </w:tblGrid>
      <w:tr>
        <w:trPr/>
        <w:tc>
          <w:tcPr>
            <w:tcW w:w="12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884" w:type="dxa"/>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0"/>
              <w:jc w:val="left"/>
              <w:rPr>
                <w:rFonts w:ascii="Times New Roman" w:hAnsi="Times New Roman"/>
                <w:sz w:val="20"/>
              </w:rPr>
            </w:pPr>
            <w:r>
              <w:rPr>
                <w:rFonts w:ascii="Times New Roman" w:hAnsi="Times New Roman"/>
                <w:sz w:val="20"/>
              </w:rPr>
              <w:t>Exhibit 99.1:</w:t>
            </w:r>
          </w:p>
        </w:tc>
        <w:tc>
          <w:tcPr>
            <w:tcW w:w="121"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hyperlink w:anchor="d120569dex991.htm">
              <w:r>
                <w:rPr>
                  <w:rStyle w:val="InternetLink"/>
                </w:rPr>
                <w:t xml:space="preserve">An email from the Company’s CEO provided to employees on August 3, 2026.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0"/>
              <w:jc w:val="left"/>
              <w:rPr>
                <w:rFonts w:ascii="Times New Roman" w:hAnsi="Times New Roman"/>
                <w:sz w:val="20"/>
              </w:rPr>
            </w:pPr>
            <w:r>
              <w:rPr>
                <w:rFonts w:ascii="Times New Roman" w:hAnsi="Times New Roman"/>
                <w:sz w:val="20"/>
              </w:rPr>
              <w:t>Exhibit 99.2:</w:t>
            </w:r>
          </w:p>
        </w:tc>
        <w:tc>
          <w:tcPr>
            <w:tcW w:w="121"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hyperlink w:anchor="d120569dex992.htm">
              <w:r>
                <w:rPr>
                  <w:rStyle w:val="InternetLink"/>
                </w:rPr>
                <w:t xml:space="preserve">Toolkit made available to certain employees in leadership positions on August 3, 2026.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0"/>
              <w:jc w:val="left"/>
              <w:rPr>
                <w:rFonts w:ascii="Times New Roman" w:hAnsi="Times New Roman"/>
                <w:sz w:val="20"/>
              </w:rPr>
            </w:pPr>
            <w:r>
              <w:rPr>
                <w:rFonts w:ascii="Times New Roman" w:hAnsi="Times New Roman"/>
                <w:sz w:val="20"/>
              </w:rPr>
              <w:t>Exhibit 99.3:</w:t>
            </w:r>
          </w:p>
        </w:tc>
        <w:tc>
          <w:tcPr>
            <w:tcW w:w="121"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hyperlink w:anchor="d120569dex993.htm">
              <w:r>
                <w:rPr>
                  <w:rStyle w:val="InternetLink"/>
                </w:rPr>
                <w:t xml:space="preserve">Company LinkedIn posts on August 3, 2026.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0"/>
              <w:jc w:val="left"/>
              <w:rPr>
                <w:rFonts w:ascii="Times New Roman" w:hAnsi="Times New Roman"/>
                <w:sz w:val="20"/>
              </w:rPr>
            </w:pPr>
            <w:r>
              <w:rPr>
                <w:rFonts w:ascii="Times New Roman" w:hAnsi="Times New Roman"/>
                <w:sz w:val="20"/>
              </w:rPr>
              <w:t>Exhibit 99.4:</w:t>
            </w:r>
          </w:p>
        </w:tc>
        <w:tc>
          <w:tcPr>
            <w:tcW w:w="121" w:type="dxa"/>
            <w:tcBorders/>
            <w:vAlign w:val="bottom"/>
          </w:tcPr>
          <w:p>
            <w:pPr>
              <w:pStyle w:val="TableContents"/>
              <w:bidi w:val="0"/>
              <w:spacing w:before="0" w:after="283"/>
              <w:jc w:val="left"/>
              <w:rPr/>
            </w:pPr>
            <w:r>
              <w:rPr/>
              <w:t>  </w:t>
            </w:r>
          </w:p>
        </w:tc>
        <w:tc>
          <w:tcPr>
            <w:tcW w:w="8884" w:type="dxa"/>
            <w:tcBorders/>
          </w:tcPr>
          <w:p>
            <w:pPr>
              <w:pStyle w:val="TableContents"/>
              <w:bidi w:val="0"/>
              <w:spacing w:before="0" w:after="283"/>
              <w:jc w:val="left"/>
              <w:rPr/>
            </w:pPr>
            <w:hyperlink w:anchor="d120569dex994.htm">
              <w:r>
                <w:rPr>
                  <w:rStyle w:val="InternetLink"/>
                </w:rPr>
                <w:t xml:space="preserve">Parent LinkedIn post on August 3, 2026. </w:t>
              </w:r>
            </w:hyperlink>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*  *  *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the Company by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0" w:after="0"/>
        <w:jc w:val="right"/>
        <w:rPr>
          <w:rFonts w:ascii="Times New Roman" w:hAnsi="Times New Roman"/>
          <w:b/>
          <w:sz w:val="20"/>
        </w:rPr>
      </w:pPr>
      <w:bookmarkStart w:id="2" w:name="d120569dex991.htm"/>
      <w:bookmarkStart w:id="3" w:name="ksd120569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All Employee Note </w:t>
      </w:r>
    </w:p>
    <w:p>
      <w:pPr>
        <w:pStyle w:val="TextBody"/>
        <w:bidi w:val="0"/>
        <w:spacing w:before="360" w:after="0"/>
        <w:jc w:val="left"/>
        <w:rPr>
          <w:rFonts w:ascii="Times New Roman" w:hAnsi="Times New Roman"/>
          <w:sz w:val="20"/>
        </w:rPr>
      </w:pPr>
      <w:r>
        <w:rPr>
          <w:rFonts w:ascii="Times New Roman" w:hAnsi="Times New Roman"/>
          <w:b/>
          <w:sz w:val="20"/>
        </w:rPr>
        <w:t>To</w:t>
      </w:r>
      <w:r>
        <w:rPr>
          <w:rFonts w:ascii="Times New Roman" w:hAnsi="Times New Roman"/>
          <w:sz w:val="20"/>
        </w:rPr>
        <w:t xml:space="preserve">: All Lantheus Employees </w:t>
      </w:r>
    </w:p>
    <w:p>
      <w:pPr>
        <w:pStyle w:val="TextBody"/>
        <w:bidi w:val="0"/>
        <w:spacing w:before="0" w:after="0"/>
        <w:jc w:val="left"/>
        <w:rPr>
          <w:rFonts w:ascii="Times New Roman" w:hAnsi="Times New Roman"/>
          <w:sz w:val="20"/>
        </w:rPr>
      </w:pPr>
      <w:r>
        <w:rPr>
          <w:rFonts w:ascii="Times New Roman" w:hAnsi="Times New Roman"/>
          <w:b/>
          <w:sz w:val="20"/>
        </w:rPr>
        <w:t>From</w:t>
      </w:r>
      <w:r>
        <w:rPr>
          <w:rFonts w:ascii="Times New Roman" w:hAnsi="Times New Roman"/>
          <w:sz w:val="20"/>
        </w:rPr>
        <w:t xml:space="preserve">: Mary Anne Heino </w:t>
      </w:r>
    </w:p>
    <w:p>
      <w:pPr>
        <w:pStyle w:val="TextBody"/>
        <w:bidi w:val="0"/>
        <w:spacing w:before="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August 3, 2026 </w:t>
      </w:r>
    </w:p>
    <w:p>
      <w:pPr>
        <w:pStyle w:val="TextBody"/>
        <w:bidi w:val="0"/>
        <w:spacing w:before="0" w:after="0"/>
        <w:jc w:val="left"/>
        <w:rPr>
          <w:rFonts w:ascii="Times New Roman" w:hAnsi="Times New Roman"/>
          <w:sz w:val="20"/>
        </w:rPr>
      </w:pPr>
      <w:r>
        <w:rPr>
          <w:rFonts w:ascii="Times New Roman" w:hAnsi="Times New Roman"/>
          <w:b/>
          <w:sz w:val="20"/>
        </w:rPr>
        <w:t>Subject</w:t>
      </w:r>
      <w:r>
        <w:rPr>
          <w:rFonts w:ascii="Times New Roman" w:hAnsi="Times New Roman"/>
          <w:sz w:val="20"/>
        </w:rPr>
        <w:t>: A Message from Mary Anne Heino</w:t>
      </w:r>
      <w:r>
        <w:rPr>
          <w:rFonts w:ascii="Times New Roman" w:hAnsi="Times New Roman"/>
          <w:b/>
          <w:sz w:val="20"/>
        </w:rPr>
        <w:t xml:space="preserve">: </w:t>
      </w:r>
      <w:r>
        <w:rPr>
          <w:rFonts w:ascii="Times New Roman" w:hAnsi="Times New Roman"/>
          <w:sz w:val="20"/>
        </w:rPr>
        <w:t xml:space="preserve">Lantheus Announces Definitive Agreement to be Acquired by Curium </w:t>
      </w:r>
    </w:p>
    <w:p>
      <w:pPr>
        <w:pStyle w:val="TextBody"/>
        <w:bidi w:val="0"/>
        <w:spacing w:before="240" w:after="0"/>
        <w:jc w:val="left"/>
        <w:rPr>
          <w:rFonts w:ascii="Times New Roman" w:hAnsi="Times New Roman"/>
          <w:sz w:val="20"/>
        </w:rPr>
      </w:pPr>
      <w:r>
        <w:rPr>
          <w:rFonts w:ascii="Times New Roman" w:hAnsi="Times New Roman"/>
          <w:sz w:val="20"/>
        </w:rPr>
        <w:t xml:space="preserve">Dear Lantheus Colleagues, </w:t>
      </w:r>
    </w:p>
    <w:p>
      <w:pPr>
        <w:pStyle w:val="TextBody"/>
        <w:bidi w:val="0"/>
        <w:spacing w:before="240" w:after="0"/>
        <w:jc w:val="left"/>
        <w:rPr>
          <w:rFonts w:ascii="Times New Roman" w:hAnsi="Times New Roman"/>
          <w:sz w:val="20"/>
        </w:rPr>
      </w:pPr>
      <w:r>
        <w:rPr>
          <w:rFonts w:ascii="Times New Roman" w:hAnsi="Times New Roman"/>
          <w:sz w:val="20"/>
        </w:rPr>
        <w:t xml:space="preserve">We’re pleased to share a major step forward; one made possible by the dedication and talent of all of you and the exceptional company we have built together. We just announced that Lantheus has signed a definitive agreement to be acquired by a wholly owned subsidiary of Curium, a leading global radiopharmaceutical company. You can read the press release we issued </w:t>
      </w:r>
      <w:r>
        <w:rPr>
          <w:rFonts w:ascii="Times New Roman" w:hAnsi="Times New Roman"/>
          <w:sz w:val="20"/>
          <w:u w:val="single"/>
        </w:rPr>
        <w:t>here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Curium has proven expertise in the development, manufacturing and supply of radiopharmaceuticals that improve the way cancer is diagnosed and treated. Curium is highly qualified to meet the significant supply and distribution of established products that underlie success in the radiopharmaceuticals market, with a global footprint extending to more than 70 countries, over 3,800 employees, and more than 80 manufacturing sites globally. </w:t>
      </w:r>
    </w:p>
    <w:p>
      <w:pPr>
        <w:pStyle w:val="TextBody"/>
        <w:bidi w:val="0"/>
        <w:spacing w:before="240" w:after="0"/>
        <w:jc w:val="left"/>
        <w:rPr>
          <w:rFonts w:ascii="Times New Roman" w:hAnsi="Times New Roman"/>
          <w:sz w:val="20"/>
        </w:rPr>
      </w:pPr>
      <w:r>
        <w:rPr>
          <w:rFonts w:ascii="Times New Roman" w:hAnsi="Times New Roman"/>
          <w:sz w:val="20"/>
        </w:rPr>
        <w:t xml:space="preserve">Curium’s acquisition of Lantheus is the ultimate validation of what we have built over seven decades of innovation in radiopharmaceuticals, consistently bringing to market products that improve patient lives worldwide. As Lantheus, we have secured more NDA approvals than any other radiopharmaceutical company, reached ~7 million patients in 2025 alone, and built a portfolio of category-defining products including DEFINITY, a 25-year leader in cardiac ultrasound enhancing agents, PYLARIFY, a leading product among PSMA PET imaging agents that have changed the standard of care in prostate cancer imaging, and Neuraceq, one of the fastest-growing beta-amyloid PET agents on the market. This remarkable success is the foundation we will build on together with Curium.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brings together two pioneers with complementary strengths and a shared passion for nuclear medicine. Together, Curium and Lantheus will span the full nuclear medicine value chain from isotope production and manufacturing to diagnostic imaging and targeted radionuclide therapy, delivering nuclear medicine solutions to patients and healthcare systems across more than 70 countries. </w:t>
      </w:r>
    </w:p>
    <w:p>
      <w:pPr>
        <w:pStyle w:val="TextBody"/>
        <w:bidi w:val="0"/>
        <w:spacing w:before="240" w:after="0"/>
        <w:jc w:val="left"/>
        <w:rPr>
          <w:rFonts w:ascii="Times New Roman" w:hAnsi="Times New Roman"/>
          <w:sz w:val="20"/>
        </w:rPr>
      </w:pPr>
      <w:r>
        <w:rPr>
          <w:rFonts w:ascii="Times New Roman" w:hAnsi="Times New Roman"/>
          <w:sz w:val="20"/>
        </w:rPr>
        <w:t xml:space="preserve">Our Board, with the assistance of its financial advisors, conducted a comprehensive evaluation of its strategic options, including outreach to multiple third parties and remaining as a standalone company. After concluding this robust process, the Board unanimously determined that this transaction is in the best interests of Lantheus and its shareholders as the value maximizing path relative to the other strategic options. </w:t>
      </w:r>
    </w:p>
    <w:p>
      <w:pPr>
        <w:pStyle w:val="TextBody"/>
        <w:bidi w:val="0"/>
        <w:spacing w:before="240" w:after="0"/>
        <w:jc w:val="left"/>
        <w:rPr>
          <w:rFonts w:ascii="Times New Roman" w:hAnsi="Times New Roman"/>
          <w:sz w:val="20"/>
        </w:rPr>
      </w:pPr>
      <w:r>
        <w:rPr>
          <w:rFonts w:ascii="Times New Roman" w:hAnsi="Times New Roman"/>
          <w:sz w:val="20"/>
        </w:rPr>
        <w:t xml:space="preserve">As we move forward with this transaction, we have made the decision to pause our CEO search process. This is the right moment to focus our energy on the combination and the significant opportunity it represents. However, we have not paused our efforts to deliver the results our shareholders and patients count on us for.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terms of what comes next, this announcement is just the first step of this transaction, which remains subject to satisfaction of customary closing conditions, including receipt of shareholder approval and required regulatory approvals. As Curium is a privately held company, it means that Lantheus will cease to be a publicly traded company following completion of the transaction. The transaction is currently expected to close in the first half of 2027. Until the transaction closes, Lantheus remains an independent company. Priorities and day-to-day responsibilities remain the same, and any ongoing initiatives continue on their current timelines. </w:t>
      </w:r>
    </w:p>
    <w:p>
      <w:pPr>
        <w:pStyle w:val="TextBody"/>
        <w:bidi w:val="0"/>
        <w:spacing w:before="240" w:after="0"/>
        <w:jc w:val="left"/>
        <w:rPr>
          <w:rFonts w:ascii="Times New Roman" w:hAnsi="Times New Roman"/>
          <w:sz w:val="20"/>
        </w:rPr>
      </w:pPr>
      <w:r>
        <w:rPr>
          <w:rFonts w:ascii="Times New Roman" w:hAnsi="Times New Roman"/>
          <w:sz w:val="20"/>
        </w:rPr>
        <w:t xml:space="preserve">Please also note that, due to the pending transaction, Lantheus will not be hosting a conference call in connection with our second quarter 2026 financial results, which we expect to report on August 6, 2026, and will be suspending our previously issued FY 2026 guidance. </w:t>
      </w:r>
    </w:p>
    <w:p>
      <w:pPr>
        <w:pStyle w:val="TextBody"/>
        <w:bidi w:val="0"/>
        <w:spacing w:before="240" w:after="0"/>
        <w:jc w:val="left"/>
        <w:rPr>
          <w:rFonts w:ascii="Times New Roman" w:hAnsi="Times New Roman"/>
          <w:sz w:val="20"/>
        </w:rPr>
      </w:pPr>
      <w:r>
        <w:rPr>
          <w:rFonts w:ascii="Times New Roman" w:hAnsi="Times New Roman"/>
          <w:sz w:val="20"/>
        </w:rPr>
        <w:t xml:space="preserve">We recognize you have questions and will be hosting a </w:t>
      </w:r>
      <w:r>
        <w:rPr>
          <w:rFonts w:ascii="Times New Roman" w:hAnsi="Times New Roman"/>
          <w:b/>
          <w:sz w:val="20"/>
        </w:rPr>
        <w:t>Town Hall today at 10:00 AM ET</w:t>
      </w:r>
      <w:r>
        <w:rPr>
          <w:rFonts w:ascii="Times New Roman" w:hAnsi="Times New Roman"/>
          <w:sz w:val="20"/>
        </w:rPr>
        <w:t xml:space="preserve"> to discuss this transaction and what’s ahead. As always, if you receive any inquiries from the media or financial community, please direct them to Melissa Downs or Mark Kinarney,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news like this can affect people in different ways. If you need support during this time, please visit our Wellness Benefit offerings here. You can also reach out to your HRBP or contact Human.Resources@lantheus.com for additional support. </w:t>
      </w:r>
    </w:p>
    <w:p>
      <w:pPr>
        <w:pStyle w:val="TextBody"/>
        <w:bidi w:val="0"/>
        <w:spacing w:before="240" w:after="0"/>
        <w:jc w:val="left"/>
        <w:rPr>
          <w:rFonts w:ascii="Times New Roman" w:hAnsi="Times New Roman"/>
          <w:sz w:val="20"/>
        </w:rPr>
      </w:pPr>
      <w:r>
        <w:rPr>
          <w:rFonts w:ascii="Times New Roman" w:hAnsi="Times New Roman"/>
          <w:sz w:val="20"/>
        </w:rPr>
        <w:t xml:space="preserve">Thank you for the work that brought Lantheus to this point and your continued dedication to our purpose to Find, Fight and Follow disease to deliver better patient outcomes. </w:t>
      </w:r>
    </w:p>
    <w:p>
      <w:pPr>
        <w:pStyle w:val="TextBody"/>
        <w:bidi w:val="0"/>
        <w:spacing w:before="240" w:after="0"/>
        <w:jc w:val="left"/>
        <w:rPr>
          <w:rFonts w:ascii="Times New Roman" w:hAnsi="Times New Roman"/>
          <w:sz w:val="20"/>
        </w:rPr>
      </w:pPr>
      <w:r>
        <w:rPr>
          <w:rFonts w:ascii="Times New Roman" w:hAnsi="Times New Roman"/>
          <w:sz w:val="20"/>
        </w:rPr>
        <w:t xml:space="preserve">Warm Regards, </w:t>
      </w:r>
    </w:p>
    <w:p>
      <w:pPr>
        <w:pStyle w:val="TextBody"/>
        <w:bidi w:val="0"/>
        <w:spacing w:before="0" w:after="0"/>
        <w:jc w:val="left"/>
        <w:rPr>
          <w:rFonts w:ascii="Times New Roman" w:hAnsi="Times New Roman"/>
          <w:sz w:val="20"/>
        </w:rPr>
      </w:pPr>
      <w:r>
        <w:rPr>
          <w:rFonts w:ascii="Times New Roman" w:hAnsi="Times New Roman"/>
          <w:sz w:val="20"/>
        </w:rPr>
        <w:t xml:space="preserve">Mary Anne Heino </w:t>
      </w:r>
    </w:p>
    <w:p>
      <w:pPr>
        <w:pStyle w:val="TextBody"/>
        <w:bidi w:val="0"/>
        <w:spacing w:before="0" w:after="0"/>
        <w:jc w:val="left"/>
        <w:rPr>
          <w:rFonts w:ascii="Times New Roman" w:hAnsi="Times New Roman"/>
          <w:sz w:val="20"/>
        </w:rPr>
      </w:pPr>
      <w:r>
        <w:rPr>
          <w:rFonts w:ascii="Times New Roman" w:hAnsi="Times New Roman"/>
          <w:sz w:val="20"/>
        </w:rPr>
        <w:t xml:space="preserve">CEO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Lantheus Holdings, Inc. (the “Company”) by Curium US Holdings LLC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4" w:name="d120569dex992.htm"/>
      <w:bookmarkStart w:id="5" w:name="ksd120569dex992"/>
      <w:bookmarkEnd w:id="4"/>
      <w:bookmarkEnd w:id="5"/>
      <w:r>
        <w:rPr>
          <w:rFonts w:ascii="Times New Roman" w:hAnsi="Times New Roman"/>
          <w:b/>
          <w:sz w:val="20"/>
        </w:rPr>
        <w:t xml:space="preserve">Exhibit 99.2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Leader Toolkit + Email Cover Note </w:t>
      </w:r>
    </w:p>
    <w:p>
      <w:pPr>
        <w:pStyle w:val="TextBody"/>
        <w:bidi w:val="0"/>
        <w:spacing w:before="0" w:after="0"/>
        <w:jc w:val="left"/>
        <w:rPr/>
      </w:pPr>
      <w:r>
        <w:rPr/>
        <w:t> </w:t>
      </w:r>
    </w:p>
    <w:p>
      <w:pPr>
        <w:pStyle w:val="TextBody"/>
        <w:bidi w:val="0"/>
        <w:spacing w:before="0" w:after="0"/>
        <w:jc w:val="left"/>
        <w:rPr/>
      </w:pPr>
      <w:r>
        <w:rPr/>
        <w:drawing>
          <wp:inline distT="0" distB="0" distL="0" distR="0">
            <wp:extent cx="168592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381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 August 3, 2026 </w:t>
      </w:r>
    </w:p>
    <w:p>
      <w:pPr>
        <w:pStyle w:val="TextBody"/>
        <w:bidi w:val="0"/>
        <w:spacing w:before="0" w:after="0"/>
        <w:jc w:val="left"/>
        <w:rPr>
          <w:rFonts w:ascii="Times New Roman" w:hAnsi="Times New Roman"/>
          <w:sz w:val="20"/>
        </w:rPr>
      </w:pPr>
      <w:r>
        <w:rPr>
          <w:rFonts w:ascii="Times New Roman" w:hAnsi="Times New Roman"/>
          <w:sz w:val="20"/>
        </w:rPr>
        <w:t xml:space="preserve">RE: Leader Toolkit for Lantheus’ Acquisition by Curium </w:t>
      </w:r>
    </w:p>
    <w:p>
      <w:pPr>
        <w:pStyle w:val="TextBody"/>
        <w:bidi w:val="0"/>
        <w:spacing w:before="240" w:after="0"/>
        <w:jc w:val="left"/>
        <w:rPr>
          <w:rFonts w:ascii="Times New Roman" w:hAnsi="Times New Roman"/>
          <w:sz w:val="20"/>
        </w:rPr>
      </w:pPr>
      <w:r>
        <w:rPr>
          <w:rFonts w:ascii="Times New Roman" w:hAnsi="Times New Roman"/>
          <w:sz w:val="20"/>
        </w:rPr>
        <w:t xml:space="preserve">Leaders, </w:t>
      </w:r>
    </w:p>
    <w:p>
      <w:pPr>
        <w:pStyle w:val="TextBody"/>
        <w:bidi w:val="0"/>
        <w:spacing w:before="240" w:after="0"/>
        <w:jc w:val="left"/>
        <w:rPr>
          <w:rFonts w:ascii="Times New Roman" w:hAnsi="Times New Roman"/>
          <w:sz w:val="20"/>
        </w:rPr>
      </w:pPr>
      <w:r>
        <w:rPr>
          <w:rFonts w:ascii="Times New Roman" w:hAnsi="Times New Roman"/>
          <w:sz w:val="20"/>
        </w:rPr>
        <w:t xml:space="preserve">Today marks a defining moment for Lantheus and the ultimate validation of what we have built over seven decades of innovation in radiopharmaceuticals. We announced that Lantheus has entered into a definitive agreement to be acquired by a wholly owned subsidiary of Curium, a leader in radiopharmaceuticals with deep nuclear medicine expertise.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brings together two pioneers with complementary strengths and a shared passion for nuclear medicine. Together, Curium and Lantheus are positioned to create a radiopharmaceutical company spanning the full nuclear medicine value chain: from isotope production and manufacturing to diagnostic imaging and targeted radionuclide therapy, delivering nuclear medicine solutions to patients and healthcare systems across more than 70 countries. </w:t>
      </w:r>
    </w:p>
    <w:p>
      <w:pPr>
        <w:pStyle w:val="TextBody"/>
        <w:bidi w:val="0"/>
        <w:spacing w:before="360" w:after="0"/>
        <w:jc w:val="left"/>
        <w:rPr>
          <w:rFonts w:ascii="Times New Roman" w:hAnsi="Times New Roman"/>
          <w:b/>
          <w:sz w:val="20"/>
        </w:rPr>
      </w:pPr>
      <w:r>
        <w:rPr>
          <w:rFonts w:ascii="Times New Roman" w:hAnsi="Times New Roman"/>
          <w:b/>
          <w:sz w:val="20"/>
        </w:rPr>
        <w:t xml:space="preserve">Timing &amp; Approvals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is currently expected to close in the first half of 2027, subject to receipt of Lantheus shareholder approval, required regulatory approvals and satisfaction of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Until closing, Lantheus will continue to operate as an independent company. Customers, partners, and patients should expect no disruption to supply, service, or execution during this period. </w:t>
      </w:r>
    </w:p>
    <w:p>
      <w:pPr>
        <w:pStyle w:val="TextBody"/>
        <w:bidi w:val="0"/>
        <w:spacing w:before="360" w:after="0"/>
        <w:jc w:val="left"/>
        <w:rPr>
          <w:rFonts w:ascii="Times New Roman" w:hAnsi="Times New Roman"/>
          <w:b/>
          <w:sz w:val="20"/>
        </w:rPr>
      </w:pPr>
      <w:r>
        <w:rPr>
          <w:rFonts w:ascii="Times New Roman" w:hAnsi="Times New Roman"/>
          <w:b/>
          <w:sz w:val="20"/>
        </w:rPr>
        <w:t xml:space="preserve">About Curium </w:t>
      </w:r>
    </w:p>
    <w:p>
      <w:pPr>
        <w:pStyle w:val="TextBody"/>
        <w:bidi w:val="0"/>
        <w:spacing w:before="120" w:after="0"/>
        <w:jc w:val="left"/>
        <w:rPr>
          <w:rFonts w:ascii="Times New Roman" w:hAnsi="Times New Roman"/>
          <w:sz w:val="20"/>
        </w:rPr>
      </w:pPr>
      <w:r>
        <w:rPr>
          <w:rFonts w:ascii="Times New Roman" w:hAnsi="Times New Roman"/>
          <w:sz w:val="20"/>
        </w:rPr>
        <w:t xml:space="preserve">With global headquarters in Boston, Curium is a private company with a strong global presence that delivers products to patients in more than 70 countries and has demonstrated the ability to expand access to nuclear medicine globally. Curium has proven expertise in the development, manufacturing and supply of radiopharmaceuticals that transform the way cancer is diagnosed and treated. </w:t>
      </w:r>
    </w:p>
    <w:p>
      <w:pPr>
        <w:pStyle w:val="TextBody"/>
        <w:bidi w:val="0"/>
        <w:spacing w:before="360" w:after="0"/>
        <w:jc w:val="left"/>
        <w:rPr>
          <w:rFonts w:ascii="Times New Roman" w:hAnsi="Times New Roman"/>
          <w:b/>
          <w:sz w:val="20"/>
        </w:rPr>
      </w:pPr>
      <w:r>
        <w:rPr>
          <w:rFonts w:ascii="Times New Roman" w:hAnsi="Times New Roman"/>
          <w:b/>
          <w:sz w:val="20"/>
        </w:rPr>
        <w:t xml:space="preserve">What It Means for our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Lantheus’ team will benefit from the combined company’s scale across the full radiopharmaceutical value chain — research, manufacturing, clinical development, commercial, and distribution — creating opportunities and the kind of organizational depth that a standalone company could not offer on the same timeline.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closing, Lantheus continues to operate as an independent company. Every employee’s role, reporting relationships, and day-to-day responsibilities remain unchanged.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All ongoing initiatives continue on their current timelines in the ordinary course of business.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It Means for our Customers, Partners, and Patients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Curium’s manufacturing capabilities and global infrastructure, combined with Lantheus’ commercial leadership, PMF network and pipeline, create a company better positioned to reach more patients and drive growth long into the future.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Together, the combined company will operate across the full radiopharmaceutical value chain, with one of the broadest radiopharmaceutical portfolios in oncology, neurology, and cardiology, and the manufacturing capabilities to support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partners, and patients should expect no disruption to supply, service, or strategic execution during this period.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It Means for Investors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will be a cash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definitive agreement, Curium will acquire all of the outstanding shares of Lantheus for $102.50 per share in cash at closing, plus non-transferable Contingent Value Rights (CVRs) providing for up to $12.00 per share in potential additional cash payments, subject to achievement of specified commercial milestones for Lantheus products through 2030.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consideration provides for near-term certain value to Lantheus shareholders at closing and the CVR structure provides meaningful potential additional upside participation in the commercial performance of Lantheus’ main product lines.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Employee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encourage all employees to attend the Town Hall at 10:00 AM ET to hear directly from Mary Anne.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sharing brief talking points for external-facing employees to reference if asked about the transaction by a customer, HCP, or member of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additional questions, please direct those to HR (human.resources@lantheus.com) or Corporate Communications (corpcomm@lantheus.com).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91440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 cy="3905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Mary Anne Heino </w:t>
      </w:r>
    </w:p>
    <w:p>
      <w:pPr>
        <w:pStyle w:val="TextBody"/>
        <w:bidi w:val="0"/>
        <w:spacing w:before="0" w:after="0"/>
        <w:jc w:val="left"/>
        <w:rPr>
          <w:rFonts w:ascii="Times New Roman" w:hAnsi="Times New Roman"/>
          <w:sz w:val="20"/>
        </w:rPr>
      </w:pPr>
      <w:r>
        <w:rPr>
          <w:rFonts w:ascii="Times New Roman" w:hAnsi="Times New Roman"/>
          <w:sz w:val="20"/>
        </w:rPr>
        <w:t xml:space="preserve">CEO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Leader Toolkit </w:t>
      </w:r>
    </w:p>
    <w:p>
      <w:pPr>
        <w:pStyle w:val="TextBody"/>
        <w:bidi w:val="0"/>
        <w:spacing w:before="120" w:after="0"/>
        <w:jc w:val="left"/>
        <w:rPr>
          <w:rFonts w:ascii="Times New Roman" w:hAnsi="Times New Roman"/>
          <w:sz w:val="20"/>
        </w:rPr>
      </w:pPr>
      <w:r>
        <w:rPr>
          <w:rFonts w:ascii="Times New Roman" w:hAnsi="Times New Roman"/>
          <w:sz w:val="20"/>
        </w:rPr>
        <w:t xml:space="preserve">Attached you will find a toolkit that includes talking points for use with your teams, field-facing external talking points, and an FAQ document to help guide your conversations. </w:t>
      </w:r>
    </w:p>
    <w:p>
      <w:pPr>
        <w:pStyle w:val="TextBody"/>
        <w:bidi w:val="0"/>
        <w:spacing w:before="240" w:after="0"/>
        <w:jc w:val="left"/>
        <w:rPr>
          <w:rFonts w:ascii="Times New Roman" w:hAnsi="Times New Roman"/>
          <w:sz w:val="20"/>
        </w:rPr>
      </w:pPr>
      <w:r>
        <w:rPr>
          <w:rFonts w:ascii="Times New Roman" w:hAnsi="Times New Roman"/>
          <w:sz w:val="20"/>
        </w:rPr>
        <w:t xml:space="preserve">And while you may or may not be directly involved in acquisition-related activities, please remember that each of us has a role in continuing to serve our customers with excellence. </w:t>
      </w:r>
    </w:p>
    <w:p>
      <w:pPr>
        <w:pStyle w:val="TextBody"/>
        <w:bidi w:val="0"/>
        <w:spacing w:before="360" w:after="0"/>
        <w:jc w:val="left"/>
        <w:rPr>
          <w:rFonts w:ascii="Times New Roman" w:hAnsi="Times New Roman"/>
          <w:i/>
          <w:sz w:val="20"/>
        </w:rPr>
      </w:pPr>
      <w:r>
        <w:rPr>
          <w:rFonts w:ascii="Times New Roman" w:hAnsi="Times New Roman"/>
          <w:i/>
          <w:sz w:val="20"/>
        </w:rPr>
        <w:t xml:space="preserve">NOTE: These toolkit materials have been approved by legal counsel and will be filed with the U.S. Securities and Exchange Commission. Therefore, it is important that you do not add to or alter these written materials or any other written communications you may receive in the future regarding this merger announcement. Distributing new or altered written materials could trigger additional legal filing requirements.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Leader Talking Points to Use with Employees</w:t>
      </w:r>
    </w:p>
    <w:p>
      <w:pPr>
        <w:pStyle w:val="TextBody"/>
        <w:bidi w:val="0"/>
        <w:spacing w:before="120" w:after="0"/>
        <w:jc w:val="left"/>
        <w:rPr>
          <w:rFonts w:ascii="Times New Roman" w:hAnsi="Times New Roman"/>
          <w:i/>
          <w:sz w:val="20"/>
        </w:rPr>
      </w:pPr>
      <w:r>
        <w:rPr>
          <w:rFonts w:ascii="Times New Roman" w:hAnsi="Times New Roman"/>
          <w:i/>
          <w:sz w:val="20"/>
        </w:rPr>
        <w:t>The following talking points are intended for senior leaders to reference in team conversations following the formal announcement of the transaction.</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announced that Lantheus has signed a definitive agreement to be acquired by a wholly owned subsidiary of Curium, a leading global radiopharmaceutical company with proven expertise in the development, manufacturing and supply of radiopharmaceuticals that transform the way cancer is diagnosed and treated.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brings together Lantheus’ complementary radiodiagnostics business with Curium’s complementary global theranostics portfolio and global manufacturing platform — creating a combined company with the infrastructure and capabilities to serve patients in more than 70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Curium brings capabilities that complement our own strengths and a shared passion for nuclear medicine, in fact they are our commercial partner for PYLCLARI and Neuraceq in Europe.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is the ultimate validation of what Lantheus has built over seven decades of innovation in radiopharmaceuticals. Our products, pipeline, capabilities and commitment to patients helped position Lantheus as a highly valued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with the assistance of its financial advisors, conducted a comprehensive evaluation of its strategic options, including outreach to multiple third parties and remaining as a standalone company. After concluding this robust process, the Board unanimously determined that this transaction is in the best interests of Lantheus and its shareholders as the value maximizing path relative to the other strategic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is the announcement, not the close. The deal is still subject to Lantheus shareholder approval, required regulatory approvals and other customary closing conditions. We currently expect to close in the first half of 2027.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2026 Corporate Goals remain the same, and we will continue executing against our existing priorities and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note that, due to the pending transaction, we will not be hosting a conference call in connection with our second quarter 2026 financial results, which we expect to announce prior to market open on August 6, 2026, and we are suspending our previously issued FY 2026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role, your team, your priorities — are all the same. Our focus remains on executing our plans and serving patients, customers and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Together, we expect to have greater global reach, complementary capabilities, and enhanced resources to support the development and delivery of innovative radiopharmaceuticals — spanning the full nuclear medicine value chain, from isotope production and manufacturing to diagnostic imaging and targeted radionuclide therapy — for patients worldwide.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also creates opportunities to contribute within a larger global organization with expanding capabilities, a broader portfolio, and more ways to grow.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currently expect to close in the first half of 2027. Until then, it’s important that we stay focused on our work and the commitment we make to patients every day.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If your team has further questions: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Encourage them to attend the Town Hall at 10:00 AM ET — Mary Anne will speak directly to the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FAQ document will be distributed to help address common questions from your teams. If a question falls outside what is covered there, it is perfectly fine to say you don’t have the answer — please direct those employees to their HR Business Partner or Corporate Communications so we can ensure they get the information they need.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media inquiries: direct to Melissa Downs. For investor inquiries: direct to Mark Kinarney.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External/Field/Customer-Facing Employee Talking Points (Reactive Only) </w:t>
      </w:r>
    </w:p>
    <w:p>
      <w:pPr>
        <w:pStyle w:val="TextBody"/>
        <w:bidi w:val="0"/>
        <w:spacing w:before="120" w:after="0"/>
        <w:jc w:val="left"/>
        <w:rPr>
          <w:rFonts w:ascii="Times New Roman" w:hAnsi="Times New Roman"/>
          <w:i/>
          <w:sz w:val="20"/>
        </w:rPr>
      </w:pPr>
      <w:r>
        <w:rPr>
          <w:rFonts w:ascii="Times New Roman" w:hAnsi="Times New Roman"/>
          <w:i/>
          <w:sz w:val="20"/>
        </w:rPr>
        <w:t xml:space="preserve">If asked about the transaction by a customer, HCP, or member of the public while out in the field, please keep your response brief and return to the primary focus of your discussion: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recently announced an agreement to be acquired by a wholly owned subsidiary of Curium, a leading global radiopharmaceutical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brings together two pioneers with complementary strengths and a shared passion for nuclear medicine. Together, Curium and Lantheus have the potential to create a radiopharmaceutical company spanning the full nuclear medicine value chain from isotope production and manufacturing to diagnostic imaging and targeted radionuclide therapy, delivering nuclear medicine solutions to serve patients and healthcare systems across more than 70 countries.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 transaction closes, Lantheus continues to operate as an independent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partners, and patients should expect no disruption to supply, service or strategic execution during this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transaction is still pending, I can’t share specifics beyond our announcement.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Public FAQ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Why is Curium the right partner for Lantheus?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Curium is the right partner because it combines strategic fit, industry expertise, and global reach. As a leading global radiopharmaceutical company, Curium brings proven expertise in the development, manufacturing and supply of radiopharmaceuticals, a global footprint extending to more than 70 countries, over 3,800 employees, and more than 80 manufacturing sites globally.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Lantheus’ radiodiagnostics business and robust commercial infrastructure and Curium’s global theranostics portfolio and global manufacturing platform are highly complementary — together spanning the full nuclear medicine value chain: from isotope production and manufacturing to diagnostic imaging and targeted radionuclide therapy, delivering nuclear medicine solutions to patients and healthcare systems.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After concluding this robust process, the Board unanimously determined that this transaction is in the best interests of Lantheus and its shareholders as the value maximizing path relative to the other strategic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What does this mean for Lantheus’ pipeline? Will PYLARIFY TruVu still launch as planned?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ongoing initiatives, including PYLARIFY TruVu launch planning, are expected to continue on their current timelines.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closing, Lantheus continues to operate as an independent company and remains committed to its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partners, and patients should expect no disruption to supply, service, or strategic execution during this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What does this mean for patients who depend on Lantheus’ products like PYLARIFY, DEFINITY, and Neuraceq? Will supply of our commercial products be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should expect no disruption to supply, service, or strategic execution during this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closing, Lantheus continues to operate as an independent company and remains committed to its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Together, Curium and Lantheus have the potential to broaden and accelerate patient access to life-changing diagnostics and therapeutics — from SPECT and PET diagnostics to targeted radioligand therapy — serving oncology, neurology and cardiology patients across more than 70 countries.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is the transaction expected to close?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currently expected to close in the first half of 2027, subject to Lantheus shareholder approval, required regulatory approvals, and other customary closing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What does this announcement mean for my job? What about my team/direct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early in this process. Until closing, Lantheus continues to operate as an independent company. You should continue to focus on your current priorities. Your role, team members’ roles and day-to-day responsibilities remain the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committed to keeping you informed as we move through this process. In the meantime, it is business as usual.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role is impacted after closing, you would be eligible for severance under the company policy or as required by local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What should employees expect between now and closing? Will there be any immediate changes or is it business as usual?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closing, Lantheus continues to operate as an independent company, and we remain committed to our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partners, and patients should expect no disruption to supply, service, or strategic execution during this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teams continue pursuing opportunities with new customers and prospects during this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Until the transaction closes, Lantheus continues to operate as an independent company, and we remain committed to our priorities. Teams should continue pursuing new customer opportunities and prospects as they normally would.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we be reaching out to Curium now and connecting with our counterparts?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Until the transaction closes, Lantheus and Curium continue to operate as separate, independent companies. Employees should not initiate new outreach or contact with Curium counterparts at this stage.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 existing working relationship with a Curium colleague that predates this announcement and involves active, ongoing business activity, those interactions may continue in normal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questions about whether a particular interaction is appropriate should be directed to your manager or the Legal team before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there be an integration process? How will decisions be made on overlapping roles?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we close, Lantheus and Curium will continue to operate as separate, independent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would expect there will be an integration process after the transaction closes. We understand these questions are important, and we are committed to keeping employees informed as we move through the process and sharing more information when we are 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there be changes to management / leadership?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Close, Mary Anne will continue to lead the organization.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What happens to my 2026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transaction has not closed by December 1, 2026, the 2026 annual corporate bonus performance achievement will be determined by the Lantheus Talent and Compensation Committee of the Board of Directors. Actual 2026 corporate bonus payments will be made as in normal course of business (i.e. March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What happens to my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signing, there are no changes to your outstanding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Units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close, unvested RSUs in effect at time of signing will fully accelerate and shareholders will receive $102.50 per RSU in cash and one CVR per RSU with the potential to receive up to an additional $12.00. Please refer to the section on CVRs in the merger for more information on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Options: Upon close, unvested stock options in effect at time of signing will become immediately vested, as well as treatment of outstanding stock options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1"/>
        <w:gridCol w:w="8271"/>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price of the stock option is less than $102.50, you will receive a cash payment equal to the difference between $102.50 and the exercise price, multiplied by the number of stock options; and 1 CVR for each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2"/>
        <w:gridCol w:w="8269"/>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price of the stock option is equal to or greater than $102.50 but less than $114.50, you will receive 1 CVR for each option. See the CVR section for the amount of cash that could be received if specified milestones are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price of the stock option is equal to or greater than $114.50, the stock option will be cancelled with no further consideration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Restricted Stock Units (“PSUs”): Upon close, outstanding PSUs in effect at time of signing will be assumed by the buyer under the same terms and conditions, except for the removal of any performance-based vesting requirements,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awards will be converted into cash equal to the number of shares that would be issued for the outstanding PSUs determined by the actual level of performance achieved as of the last full trading day prior to the closing date, multiplied by $102.50; plus 1 CVR for each share of the PSU received based on the actual level of performance achieved as of the last full trading day prior to the closing date. As a reminder, PSUs can be paid out at a range from 0% - 200% based on performance of Lantheus stock compared to the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converted awards shall continue to vest under the same time-based vesting schedule for each underlying PSU and will become payable at time of vest, subject to continued employment through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Who should I speak to if I have additional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should speak with your manager, HR Business Partner, or ET member. You can also submit your questions to Human.Resources@lantheus.com.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Lantheus Holdings, Inc. (the “Company”) by Curium US Holdings LLC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6" w:name="d120569dex993.htm"/>
      <w:bookmarkStart w:id="7" w:name="ksd120569dex993"/>
      <w:bookmarkEnd w:id="6"/>
      <w:bookmarkEnd w:id="7"/>
      <w:r>
        <w:rPr>
          <w:rFonts w:ascii="Times New Roman" w:hAnsi="Times New Roman"/>
          <w:b/>
          <w:sz w:val="20"/>
        </w:rPr>
        <w:t xml:space="preserve">Exhibit 99.3 </w:t>
      </w:r>
      <w:r>
        <w:br w:type="page"/>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3067050" cy="5495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67050" cy="54959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306705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67050" cy="78581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3257550" cy="8515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57550" cy="85153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3028950" cy="5915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028950" cy="59150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Lantheus Holdings, Inc. (the “Company”) by Curium US Holdings LLC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0" w:after="0"/>
        <w:jc w:val="right"/>
        <w:rPr>
          <w:rFonts w:ascii="Times New Roman" w:hAnsi="Times New Roman"/>
          <w:b/>
          <w:sz w:val="20"/>
        </w:rPr>
      </w:pPr>
      <w:bookmarkStart w:id="8" w:name="d120569dex994.htm"/>
      <w:bookmarkStart w:id="9" w:name="ksd120569dex994"/>
      <w:bookmarkEnd w:id="8"/>
      <w:bookmarkEnd w:id="9"/>
      <w:r>
        <w:rPr>
          <w:rFonts w:ascii="Times New Roman" w:hAnsi="Times New Roman"/>
          <w:b/>
          <w:sz w:val="20"/>
        </w:rPr>
        <w:t xml:space="preserve">Exhibit 99.4 </w:t>
      </w:r>
      <w:r>
        <w:br w:type="page"/>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43525" cy="6410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343525" cy="64103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Lantheus Holdings, Inc. (the “Company”) by Curium US Holdings LLC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12471</Words>
  <Characters>71766</Characters>
  <CharactersWithSpaces>84419</CharactersWithSpaces>
  <Paragraphs>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