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121920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30,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LANTHEUS HOLDINGS,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001-36569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35-2318913</w:t>
      </w:r>
    </w:p>
    <w:p>
      <w:pPr>
        <w:spacing w:after="0" w:line="24" w:lineRule="exact"/>
        <w:rPr>
          <w:sz w:val="24"/>
          <w:szCs w:val="24"/>
          <w:color w:val="auto"/>
        </w:rPr>
      </w:pPr>
    </w:p>
    <w:p>
      <w:pPr>
        <w:sectPr>
          <w:pgSz w:w="11900" w:h="16838" w:orient="portrait"/>
          <w:cols w:equalWidth="0" w:num="3">
            <w:col w:w="4504" w:space="720"/>
            <w:col w:w="2880" w:space="720"/>
            <w:col w:w="2200"/>
          </w:cols>
          <w:pgMar w:left="436" w:top="443"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20" w:lineRule="exact"/>
        <w:rPr>
          <w:sz w:val="24"/>
          <w:szCs w:val="24"/>
          <w:color w:val="auto"/>
        </w:rPr>
      </w:pPr>
    </w:p>
    <w:p>
      <w:pPr>
        <w:sectPr>
          <w:pgSz w:w="11900" w:h="16838" w:orient="portrait"/>
          <w:cols w:equalWidth="0" w:num="3">
            <w:col w:w="4484" w:space="720"/>
            <w:col w:w="2760" w:space="720"/>
            <w:col w:w="2340"/>
          </w:cols>
          <w:pgMar w:left="436" w:top="443" w:right="439" w:bottom="1440" w:gutter="0" w:footer="0" w:header="0"/>
          <w:type w:val="continuous"/>
        </w:sect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201 Burlington Road, South Building</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Bedford, Massachusetts 01730</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20"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(978) 671-8001</w:t>
      </w:r>
    </w:p>
    <w:p>
      <w:pPr>
        <w:spacing w:after="0" w:line="169"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p>
      <w:pPr>
        <w:spacing w:after="0" w:line="39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1"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LNTH</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880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9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3.03</w:t>
      </w:r>
      <w:r>
        <w:rPr>
          <w:sz w:val="20"/>
          <w:szCs w:val="20"/>
          <w:color w:val="auto"/>
        </w:rPr>
        <w:tab/>
      </w:r>
      <w:r>
        <w:rPr>
          <w:rFonts w:ascii="Times New Roman" w:cs="Times New Roman" w:eastAsia="Times New Roman" w:hAnsi="Times New Roman"/>
          <w:sz w:val="18"/>
          <w:szCs w:val="18"/>
          <w:b w:val="1"/>
          <w:bCs w:val="1"/>
          <w:color w:val="auto"/>
        </w:rPr>
        <w:t>Material Modifications to Rights of Security Holders.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information set forth in Item 5.03 of this Current Report on Form 8-K is incorporated herein by reference.</w:t>
      </w:r>
    </w:p>
    <w:p>
      <w:pPr>
        <w:sectPr>
          <w:pgSz w:w="11900" w:h="16838" w:orient="portrait"/>
          <w:cols w:equalWidth="0" w:num="1">
            <w:col w:w="11020"/>
          </w:cols>
          <w:pgMar w:left="440" w:top="293" w:right="439" w:bottom="1440" w:gutter="0" w:footer="0" w:header="0"/>
        </w:sect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ind w:right="102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51" w:lineRule="exact"/>
        <w:rPr>
          <w:sz w:val="20"/>
          <w:szCs w:val="20"/>
          <w:color w:val="auto"/>
        </w:rPr>
      </w:pPr>
    </w:p>
    <w:p>
      <w:pPr>
        <w:sectPr>
          <w:pgSz w:w="11900" w:h="16838" w:orient="portrait"/>
          <w:cols w:equalWidth="0" w:num="2">
            <w:col w:w="700" w:space="500"/>
            <w:col w:w="9820"/>
          </w:cols>
          <w:pgMar w:left="440" w:top="293" w:right="439" w:bottom="1440" w:gutter="0" w:footer="0" w:header="0"/>
          <w:type w:val="continuous"/>
        </w:sect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disclosed under Item 5.07, on April 30, 2026, the shareholders of Lantheus Holdings,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approved the Company’s Amended and Restated 2026 Equity Incentive Plan (the “</w:t>
      </w:r>
      <w:r>
        <w:rPr>
          <w:rFonts w:ascii="Times New Roman" w:cs="Times New Roman" w:eastAsia="Times New Roman" w:hAnsi="Times New Roman"/>
          <w:sz w:val="18"/>
          <w:szCs w:val="18"/>
          <w:u w:val="single" w:color="auto"/>
          <w:color w:val="auto"/>
        </w:rPr>
        <w:t>A&amp;R 2026 Equity Incentive Plan</w:t>
      </w:r>
      <w:r>
        <w:rPr>
          <w:rFonts w:ascii="Times New Roman" w:cs="Times New Roman" w:eastAsia="Times New Roman" w:hAnsi="Times New Roman"/>
          <w:sz w:val="18"/>
          <w:szCs w:val="18"/>
          <w:color w:val="auto"/>
        </w:rPr>
        <w:t>”) which amended and restated the Company’s 2015 Equity Incentive Plan to (i) increase the number of shares of common stock reserved for issuance thereunder by 2,000,000 shares, (ii) effect the name change of the A&amp;R 2026 Equity Incentive Plan, (iii) change the provision regarding non-employee director compensation limits from a number of shares of common stock not to exceed 500,000 shares to total compensation of (a) no more than $1,250,000 in combined cash and equity awards during such director’s year of appointment and (b) no more than $750,000 in combined cash and equity awards in any other year of service, and (iv) remove and revise certain provisions that were otherwise required for awards to qualify as performance-based compensation under Section 162(m) of the Internal Revenue Code of 1986, as amended, prior to the repeal of the applicable limitations thereunder. A copy of the A&amp;R 2026 Equity Incentive Plan is filed herewith as Exhibit 10.1 to this Current Report on Form 8-K and is incorporated herein by reference.</w:t>
      </w:r>
    </w:p>
    <w:p>
      <w:pPr>
        <w:spacing w:after="0" w:line="333"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8"/>
          <w:szCs w:val="18"/>
          <w:b w:val="1"/>
          <w:bCs w:val="1"/>
          <w:color w:val="auto"/>
        </w:rPr>
        <w:t>Amendments to Articles of Incorporation or Bylaws; Change in Fiscal Year.</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On April 30, 2026, the Company filed a Certificate of Amendment (the “</w:t>
      </w:r>
      <w:r>
        <w:rPr>
          <w:rFonts w:ascii="Times New Roman" w:cs="Times New Roman" w:eastAsia="Times New Roman" w:hAnsi="Times New Roman"/>
          <w:sz w:val="18"/>
          <w:szCs w:val="18"/>
          <w:u w:val="single" w:color="auto"/>
          <w:color w:val="auto"/>
        </w:rPr>
        <w:t>Certificate of Amendment</w:t>
      </w:r>
      <w:r>
        <w:rPr>
          <w:rFonts w:ascii="Times New Roman" w:cs="Times New Roman" w:eastAsia="Times New Roman" w:hAnsi="Times New Roman"/>
          <w:sz w:val="18"/>
          <w:szCs w:val="18"/>
          <w:color w:val="auto"/>
        </w:rPr>
        <w:t>”) to its Amended and Restated Certificate of Incorporation with the Secretary of State of the State of Delaware effecting an amendment to declassify the Company’s Board of Directors over a three-year period. As required by Delaware law, the Certificate of Amendment also reflects that, once the Company’s board of directors is declassified, shareholders may remove directors with or without cause. The Certificate of Amendment was approved by the Company’s shareholders at the Annual Meeting (as defined below).</w:t>
      </w:r>
    </w:p>
    <w:p>
      <w:pPr>
        <w:spacing w:after="0" w:line="18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This description of the Certificate of Amendment is qualified in its entirety by reference to the text of the Certificate of Amendment, which is attached hereto as Exhibit 3.1 and incorporated herein by reference.</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Annual Meeting of Shareholders (the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of the Company was held on April 30, 2026. Set forth below is a brief description of each matter submitted to a vote of the Company’s shareholders at the Annual Meeting and the final voting results for each matter. A more complete description of each matter is set forth in the Company’s definitive proxy statement for the Annual Meeting, which was filed with the Securities and Exchange Commission on March 20, 2026.</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Proposal 1 – Election of Directors</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Each of the following nominees for Class II director was elected by the Company’s shareholders to serve a three-year term expiring at the 2029 Annual Meeting of Shareholders based on the following vote: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8"/>
              </w:rPr>
              <w:t>Nominee</w:t>
            </w:r>
          </w:p>
        </w:tc>
        <w:tc>
          <w:tcPr>
            <w:tcW w:w="572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3"/>
        </w:trPr>
        <w:tc>
          <w:tcPr>
            <w:tcW w:w="62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Minnie Baylor-Henry</w:t>
            </w:r>
          </w:p>
        </w:tc>
        <w:tc>
          <w:tcPr>
            <w:tcW w:w="86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55,652,541</w:t>
            </w:r>
          </w:p>
        </w:tc>
        <w:tc>
          <w:tcPr>
            <w:tcW w:w="3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8"/>
              </w:rPr>
              <w:t>364,914.72</w:t>
            </w:r>
          </w:p>
        </w:tc>
        <w:tc>
          <w:tcPr>
            <w:tcW w:w="3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40,512.73</w:t>
            </w:r>
          </w:p>
        </w:tc>
        <w:tc>
          <w:tcPr>
            <w:tcW w:w="2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4,348,782</w:t>
            </w:r>
          </w:p>
        </w:tc>
      </w:tr>
      <w:tr>
        <w:trPr>
          <w:trHeight w:val="216"/>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Heinz Mäusli</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55,641,028</w:t>
            </w:r>
          </w:p>
        </w:tc>
        <w:tc>
          <w:tcPr>
            <w:tcW w:w="3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370,740.72</w:t>
            </w:r>
          </w:p>
        </w:tc>
        <w:tc>
          <w:tcPr>
            <w:tcW w:w="320" w:type="dxa"/>
            <w:vAlign w:val="bottom"/>
          </w:tcPr>
          <w:p>
            <w:pPr>
              <w:spacing w:after="0"/>
              <w:rPr>
                <w:sz w:val="18"/>
                <w:szCs w:val="18"/>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46,199.73</w:t>
            </w:r>
          </w:p>
        </w:tc>
        <w:tc>
          <w:tcPr>
            <w:tcW w:w="2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4,348,782</w:t>
            </w:r>
          </w:p>
        </w:tc>
      </w:tr>
      <w:tr>
        <w:trPr>
          <w:trHeight w:val="21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Julie McHugh</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54,136,150</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1,876,383.72</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45,434.73</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4,348,782</w:t>
            </w:r>
          </w:p>
        </w:tc>
      </w:tr>
      <w:tr>
        <w:trPr>
          <w:trHeight w:val="234"/>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Phuong Khanh (P.K.) Morrow</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55,815,438</w:t>
            </w:r>
          </w:p>
        </w:tc>
        <w:tc>
          <w:tcPr>
            <w:tcW w:w="3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215,057.72</w:t>
            </w:r>
          </w:p>
        </w:tc>
        <w:tc>
          <w:tcPr>
            <w:tcW w:w="320" w:type="dxa"/>
            <w:vAlign w:val="bottom"/>
          </w:tcPr>
          <w:p>
            <w:pPr>
              <w:spacing w:after="0"/>
              <w:rPr>
                <w:sz w:val="20"/>
                <w:szCs w:val="20"/>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27,472.73</w:t>
            </w:r>
          </w:p>
        </w:tc>
        <w:tc>
          <w:tcPr>
            <w:tcW w:w="2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4,348,782</w:t>
            </w:r>
          </w:p>
        </w:tc>
      </w:tr>
    </w:tbl>
    <w:p>
      <w:pPr>
        <w:sectPr>
          <w:pgSz w:w="11900" w:h="16838" w:orient="portrait"/>
          <w:cols w:equalWidth="0" w:num="1">
            <w:col w:w="11020"/>
          </w:cols>
          <w:pgMar w:left="440" w:top="293" w:right="4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Proposal 2 – Approval, on an advisory basis, of the compensation paid to the Company’s named executive officers</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approval, on an advisory basis, of the compensation paid to the Company’s named executive officers was approved by the Company’s shareholders based on the following vote:</w:t>
      </w:r>
    </w:p>
    <w:p>
      <w:pPr>
        <w:spacing w:after="0" w:line="182" w:lineRule="exact"/>
        <w:rPr>
          <w:sz w:val="20"/>
          <w:szCs w:val="20"/>
          <w:color w:val="auto"/>
        </w:rPr>
      </w:pPr>
    </w:p>
    <w:tbl>
      <w:tblPr>
        <w:tblLayout w:type="fixed"/>
        <w:tblInd w:w="440" w:type="dxa"/>
        <w:tblCellMar>
          <w:top w:w="0" w:type="dxa"/>
          <w:left w:w="0" w:type="dxa"/>
          <w:bottom w:w="0" w:type="dxa"/>
          <w:right w:w="0" w:type="dxa"/>
        </w:tblCellMar>
      </w:tblPr>
      <w:tr>
        <w:trPr>
          <w:trHeight w:val="187"/>
        </w:trPr>
        <w:tc>
          <w:tcPr>
            <w:tcW w:w="25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25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2620" w:type="dxa"/>
            <w:vAlign w:val="bottom"/>
            <w:gridSpan w:val="2"/>
          </w:tcPr>
          <w:p>
            <w:pPr>
              <w:ind w:left="900"/>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9"/>
        </w:trPr>
        <w:tc>
          <w:tcPr>
            <w:tcW w:w="2440" w:type="dxa"/>
            <w:vAlign w:val="bottom"/>
            <w:tcBorders>
              <w:top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54,068,553</w:t>
            </w:r>
          </w:p>
        </w:tc>
        <w:tc>
          <w:tcPr>
            <w:tcW w:w="12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1,936,861.72</w:t>
            </w:r>
          </w:p>
        </w:tc>
        <w:tc>
          <w:tcPr>
            <w:tcW w:w="100" w:type="dxa"/>
            <w:vAlign w:val="bottom"/>
            <w:tcBorders>
              <w:top w:val="single" w:sz="8" w:color="CCEEFF"/>
            </w:tcBorders>
            <w:shd w:val="clear" w:color="auto" w:fill="CCEEFF"/>
          </w:tcPr>
          <w:p>
            <w:pPr>
              <w:spacing w:after="0"/>
              <w:rPr>
                <w:sz w:val="18"/>
                <w:szCs w:val="18"/>
                <w:color w:val="auto"/>
              </w:rPr>
            </w:pPr>
          </w:p>
        </w:tc>
        <w:tc>
          <w:tcPr>
            <w:tcW w:w="252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52,553.73</w:t>
            </w:r>
          </w:p>
        </w:tc>
        <w:tc>
          <w:tcPr>
            <w:tcW w:w="10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4,348,782</w:t>
            </w:r>
          </w:p>
        </w:tc>
      </w:tr>
    </w:tbl>
    <w:p>
      <w:pPr>
        <w:spacing w:after="0" w:line="302"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Proposal 3 – Approval, on an advisory basis, of the frequency of holding an advisory vote on the compensation paid to the Company’s named executive officers</w:t>
      </w:r>
    </w:p>
    <w:p>
      <w:pPr>
        <w:spacing w:after="0" w:line="5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approval, on an advisory basis, of the frequency of future “say on pay” votes was approved by the Company’s shareholders based on the following vote: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One Year</w:t>
            </w:r>
          </w:p>
        </w:tc>
        <w:tc>
          <w:tcPr>
            <w:tcW w:w="23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Two Years</w:t>
            </w:r>
          </w:p>
        </w:tc>
        <w:tc>
          <w:tcPr>
            <w:tcW w:w="2200" w:type="dxa"/>
            <w:vAlign w:val="bottom"/>
            <w:gridSpan w:val="2"/>
          </w:tcPr>
          <w:p>
            <w:pPr>
              <w:ind w:left="660"/>
              <w:spacing w:after="0"/>
              <w:rPr>
                <w:sz w:val="20"/>
                <w:szCs w:val="20"/>
                <w:color w:val="auto"/>
              </w:rPr>
            </w:pPr>
            <w:r>
              <w:rPr>
                <w:rFonts w:ascii="Times New Roman" w:cs="Times New Roman" w:eastAsia="Times New Roman" w:hAnsi="Times New Roman"/>
                <w:sz w:val="14"/>
                <w:szCs w:val="14"/>
                <w:b w:val="1"/>
                <w:bCs w:val="1"/>
                <w:color w:val="auto"/>
              </w:rPr>
              <w:t>Three Years</w:t>
            </w:r>
          </w:p>
        </w:tc>
        <w:tc>
          <w:tcPr>
            <w:tcW w:w="2300" w:type="dxa"/>
            <w:vAlign w:val="bottom"/>
            <w:gridSpan w:val="2"/>
          </w:tcPr>
          <w:p>
            <w:pPr>
              <w:ind w:left="720"/>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9"/>
        </w:trPr>
        <w:tc>
          <w:tcPr>
            <w:tcW w:w="1960" w:type="dxa"/>
            <w:vAlign w:val="bottom"/>
            <w:tcBorders>
              <w:top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8"/>
                <w:szCs w:val="18"/>
                <w:color w:val="auto"/>
              </w:rPr>
              <w:t>54,764,000.73</w:t>
            </w:r>
          </w:p>
        </w:tc>
        <w:tc>
          <w:tcPr>
            <w:tcW w:w="12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13,872</w:t>
            </w:r>
          </w:p>
        </w:tc>
        <w:tc>
          <w:tcPr>
            <w:tcW w:w="14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1,236,685</w:t>
            </w:r>
          </w:p>
        </w:tc>
        <w:tc>
          <w:tcPr>
            <w:tcW w:w="12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43,410.73</w:t>
            </w:r>
          </w:p>
        </w:tc>
        <w:tc>
          <w:tcPr>
            <w:tcW w:w="10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4,348,782</w:t>
            </w:r>
          </w:p>
        </w:tc>
      </w:tr>
    </w:tbl>
    <w:p>
      <w:pPr>
        <w:spacing w:after="0" w:line="19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As a result of the foregoing vote, the Board of Directors of the Company has determined that the Company will conduct an advisory stockholder vote on the Company’s named executive officer compensation every year.</w:t>
      </w:r>
    </w:p>
    <w:p>
      <w:pPr>
        <w:spacing w:after="0" w:line="266"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Proposal 4 – Approval of an amendment to the Company’s Amended and Restated Certificate of Incorporation to declassify its Board of Directors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amendment to the Company’s Amended and Restated Certificate of Incorporation to declassify its Board of Directors was approved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shareholders based on the following vote:</w:t>
      </w:r>
    </w:p>
    <w:p>
      <w:pPr>
        <w:spacing w:after="0" w:line="227" w:lineRule="exact"/>
        <w:rPr>
          <w:sz w:val="20"/>
          <w:szCs w:val="20"/>
          <w:color w:val="auto"/>
        </w:rPr>
      </w:pPr>
    </w:p>
    <w:tbl>
      <w:tblPr>
        <w:tblLayout w:type="fixed"/>
        <w:tblInd w:w="440" w:type="dxa"/>
        <w:tblCellMar>
          <w:top w:w="0" w:type="dxa"/>
          <w:left w:w="0" w:type="dxa"/>
          <w:bottom w:w="0" w:type="dxa"/>
          <w:right w:w="0" w:type="dxa"/>
        </w:tblCellMar>
      </w:tblPr>
      <w:tr>
        <w:trPr>
          <w:trHeight w:val="187"/>
        </w:trPr>
        <w:tc>
          <w:tcPr>
            <w:tcW w:w="25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25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2620" w:type="dxa"/>
            <w:vAlign w:val="bottom"/>
            <w:gridSpan w:val="2"/>
          </w:tcPr>
          <w:p>
            <w:pPr>
              <w:ind w:left="900"/>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10"/>
        </w:trPr>
        <w:tc>
          <w:tcPr>
            <w:tcW w:w="2440" w:type="dxa"/>
            <w:vAlign w:val="bottom"/>
            <w:tcBorders>
              <w:top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55,995,083.73</w:t>
            </w:r>
          </w:p>
        </w:tc>
        <w:tc>
          <w:tcPr>
            <w:tcW w:w="12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rPr>
              <w:t>28,070</w:t>
            </w:r>
          </w:p>
        </w:tc>
        <w:tc>
          <w:tcPr>
            <w:tcW w:w="100" w:type="dxa"/>
            <w:vAlign w:val="bottom"/>
            <w:tcBorders>
              <w:top w:val="single" w:sz="8" w:color="CCEEFF"/>
            </w:tcBorders>
            <w:shd w:val="clear" w:color="auto" w:fill="CCEEFF"/>
          </w:tcPr>
          <w:p>
            <w:pPr>
              <w:spacing w:after="0"/>
              <w:rPr>
                <w:sz w:val="18"/>
                <w:szCs w:val="18"/>
                <w:color w:val="auto"/>
              </w:rPr>
            </w:pPr>
          </w:p>
        </w:tc>
        <w:tc>
          <w:tcPr>
            <w:tcW w:w="252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34,814.73</w:t>
            </w:r>
          </w:p>
        </w:tc>
        <w:tc>
          <w:tcPr>
            <w:tcW w:w="10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4,348,782</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Proposal 5 – Approval of the A&amp;R 2026 Equity Incentive Plan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A&amp;R 2026 Equity Incentive Plan was approved by the Company’s shareholders based on the following vote:</w:t>
      </w:r>
    </w:p>
    <w:p>
      <w:pPr>
        <w:spacing w:after="0" w:line="246" w:lineRule="exact"/>
        <w:rPr>
          <w:sz w:val="20"/>
          <w:szCs w:val="20"/>
          <w:color w:val="auto"/>
        </w:rPr>
      </w:pPr>
    </w:p>
    <w:tbl>
      <w:tblPr>
        <w:tblLayout w:type="fixed"/>
        <w:tblInd w:w="440" w:type="dxa"/>
        <w:tblCellMar>
          <w:top w:w="0" w:type="dxa"/>
          <w:left w:w="0" w:type="dxa"/>
          <w:bottom w:w="0" w:type="dxa"/>
          <w:right w:w="0" w:type="dxa"/>
        </w:tblCellMar>
      </w:tblPr>
      <w:tr>
        <w:trPr>
          <w:trHeight w:val="187"/>
        </w:trPr>
        <w:tc>
          <w:tcPr>
            <w:tcW w:w="25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25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2620" w:type="dxa"/>
            <w:vAlign w:val="bottom"/>
            <w:gridSpan w:val="2"/>
          </w:tcPr>
          <w:p>
            <w:pPr>
              <w:ind w:left="900"/>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10"/>
        </w:trPr>
        <w:tc>
          <w:tcPr>
            <w:tcW w:w="2440" w:type="dxa"/>
            <w:vAlign w:val="bottom"/>
            <w:tcBorders>
              <w:top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54,021,539</w:t>
            </w:r>
          </w:p>
        </w:tc>
        <w:tc>
          <w:tcPr>
            <w:tcW w:w="12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1,973,725.72</w:t>
            </w:r>
          </w:p>
        </w:tc>
        <w:tc>
          <w:tcPr>
            <w:tcW w:w="100" w:type="dxa"/>
            <w:vAlign w:val="bottom"/>
            <w:tcBorders>
              <w:top w:val="single" w:sz="8" w:color="CCEEFF"/>
            </w:tcBorders>
            <w:shd w:val="clear" w:color="auto" w:fill="CCEEFF"/>
          </w:tcPr>
          <w:p>
            <w:pPr>
              <w:spacing w:after="0"/>
              <w:rPr>
                <w:sz w:val="18"/>
                <w:szCs w:val="18"/>
                <w:color w:val="auto"/>
              </w:rPr>
            </w:pPr>
          </w:p>
        </w:tc>
        <w:tc>
          <w:tcPr>
            <w:tcW w:w="252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62,703.73</w:t>
            </w:r>
          </w:p>
        </w:tc>
        <w:tc>
          <w:tcPr>
            <w:tcW w:w="10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4,348,782</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Proposal 6 – Ratification of Appointment of Deloitte &amp; Touche LLP</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appointment of Deloitte &amp; Touche LLP as the Company’s independent registered public accounting firm for the fiscal year ending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 was ratified by the Company’s shareholders based on the following vote:</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9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2520" w:type="dxa"/>
            <w:vAlign w:val="bottom"/>
            <w:gridSpan w:val="2"/>
          </w:tcPr>
          <w:p>
            <w:pPr>
              <w:ind w:left="78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2620" w:type="dxa"/>
            <w:vAlign w:val="bottom"/>
            <w:gridSpan w:val="3"/>
          </w:tcPr>
          <w:p>
            <w:pPr>
              <w:ind w:left="900"/>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24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00" w:type="dxa"/>
            <w:vAlign w:val="bottom"/>
            <w:tcBorders>
              <w:right w:val="single" w:sz="8" w:color="CCEEFF"/>
            </w:tcBorders>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60,157,609</w:t>
            </w:r>
          </w:p>
        </w:tc>
        <w:tc>
          <w:tcPr>
            <w:tcW w:w="12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221,161.72</w:t>
            </w:r>
          </w:p>
        </w:tc>
        <w:tc>
          <w:tcPr>
            <w:tcW w:w="100" w:type="dxa"/>
            <w:vAlign w:val="bottom"/>
            <w:tcBorders>
              <w:top w:val="single" w:sz="8" w:color="CCEEFF"/>
            </w:tcBorders>
            <w:shd w:val="clear" w:color="auto" w:fill="CCEEFF"/>
          </w:tcPr>
          <w:p>
            <w:pPr>
              <w:spacing w:after="0"/>
              <w:rPr>
                <w:sz w:val="18"/>
                <w:szCs w:val="18"/>
                <w:color w:val="auto"/>
              </w:rPr>
            </w:pPr>
          </w:p>
        </w:tc>
        <w:tc>
          <w:tcPr>
            <w:tcW w:w="2520" w:type="dxa"/>
            <w:vAlign w:val="bottom"/>
            <w:tcBorders>
              <w:top w:val="single" w:sz="8" w:color="auto"/>
            </w:tcBorders>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27,979.73</w:t>
            </w:r>
          </w:p>
        </w:tc>
        <w:tc>
          <w:tcPr>
            <w:tcW w:w="10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gridSpan w:val="2"/>
            <w:shd w:val="clear" w:color="auto" w:fill="CCEEFF"/>
          </w:tcPr>
          <w:p>
            <w:pPr>
              <w:jc w:val="right"/>
              <w:ind w:right="1160"/>
              <w:spacing w:after="0"/>
              <w:rPr>
                <w:sz w:val="20"/>
                <w:szCs w:val="20"/>
                <w:color w:val="auto"/>
              </w:rPr>
            </w:pPr>
            <w:r>
              <w:rPr>
                <w:rFonts w:ascii="Times New Roman" w:cs="Times New Roman" w:eastAsia="Times New Roman" w:hAnsi="Times New Roman"/>
                <w:sz w:val="18"/>
                <w:szCs w:val="18"/>
                <w:color w:val="auto"/>
              </w:rPr>
              <w:t>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81"/>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448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9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gridSpan w:val="4"/>
          </w:tcPr>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960" w:type="dxa"/>
            <w:vAlign w:val="bottom"/>
            <w:gridSpan w:val="2"/>
            <w:vMerge w:val="continue"/>
          </w:tcPr>
          <w:p>
            <w:pPr>
              <w:spacing w:after="0"/>
              <w:rPr>
                <w:sz w:val="15"/>
                <w:szCs w:val="15"/>
                <w:color w:val="auto"/>
              </w:rPr>
            </w:pPr>
          </w:p>
        </w:tc>
        <w:tc>
          <w:tcPr>
            <w:tcW w:w="2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  3.1</w:t>
            </w:r>
          </w:p>
        </w:tc>
        <w:tc>
          <w:tcPr>
            <w:tcW w:w="540" w:type="dxa"/>
            <w:vAlign w:val="bottom"/>
          </w:tcPr>
          <w:p>
            <w:pPr>
              <w:spacing w:after="0"/>
              <w:rPr>
                <w:sz w:val="23"/>
                <w:szCs w:val="23"/>
                <w:color w:val="auto"/>
              </w:rPr>
            </w:pPr>
          </w:p>
        </w:tc>
        <w:tc>
          <w:tcPr>
            <w:tcW w:w="9520" w:type="dxa"/>
            <w:vAlign w:val="bottom"/>
            <w:tcBorders>
              <w:top w:val="single" w:sz="8" w:color="auto"/>
            </w:tcBorders>
            <w:gridSpan w:val="9"/>
          </w:tcPr>
          <w:p>
            <w:pPr>
              <w:spacing w:after="0"/>
              <w:rPr>
                <w:sz w:val="20"/>
                <w:szCs w:val="20"/>
                <w:color w:val="auto"/>
              </w:rPr>
            </w:pPr>
            <w:r>
              <w:rPr>
                <w:rFonts w:ascii="Times New Roman" w:cs="Times New Roman" w:eastAsia="Times New Roman" w:hAnsi="Times New Roman"/>
                <w:sz w:val="18"/>
                <w:szCs w:val="18"/>
                <w:color w:val="0000EE"/>
              </w:rPr>
              <w:t>Certificate of Amendment of Amended and Restated Certificate of Incorporation of Lantheus Holdings, Inc.</w:t>
            </w:r>
          </w:p>
        </w:tc>
        <w:tc>
          <w:tcPr>
            <w:tcW w:w="4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540" w:type="dxa"/>
            <w:vAlign w:val="bottom"/>
          </w:tcPr>
          <w:p>
            <w:pPr>
              <w:spacing w:after="0"/>
              <w:rPr>
                <w:sz w:val="24"/>
                <w:szCs w:val="24"/>
                <w:color w:val="auto"/>
              </w:rPr>
            </w:pPr>
          </w:p>
        </w:tc>
        <w:tc>
          <w:tcPr>
            <w:tcW w:w="710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Lantheus Holdings, Inc. Amended and Restated 2026 Equity Incentive Plan</w:t>
            </w:r>
          </w:p>
        </w:tc>
        <w:tc>
          <w:tcPr>
            <w:tcW w:w="680" w:type="dxa"/>
            <w:vAlign w:val="bottom"/>
            <w:tcBorders>
              <w:top w:val="single" w:sz="8" w:color="0000EE"/>
            </w:tcBorders>
          </w:tcPr>
          <w:p>
            <w:pPr>
              <w:spacing w:after="0"/>
              <w:rPr>
                <w:sz w:val="24"/>
                <w:szCs w:val="24"/>
                <w:color w:val="auto"/>
              </w:rPr>
            </w:pPr>
          </w:p>
        </w:tc>
        <w:tc>
          <w:tcPr>
            <w:tcW w:w="1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40" w:type="dxa"/>
            <w:vAlign w:val="bottom"/>
            <w:gridSpan w:val="5"/>
            <w:shd w:val="clear" w:color="auto" w:fill="0000EE"/>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71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6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93" w:right="439" w:bottom="1440" w:gutter="0" w:footer="0" w:header="0"/>
        </w:sectPr>
      </w:pPr>
    </w:p>
    <w:bookmarkStart w:id="3" w:name="page4"/>
    <w:bookmarkEnd w:id="3"/>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Eric M. Green</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Eric M. Green</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Deputy General Counsel and</w:t>
            </w:r>
          </w:p>
        </w:tc>
      </w:tr>
      <w:tr>
        <w:trPr>
          <w:trHeight w:val="234"/>
        </w:trPr>
        <w:tc>
          <w:tcPr>
            <w:tcW w:w="6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Assistant Corporate Secretary</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 2026</w:t>
      </w:r>
    </w:p>
    <w:p>
      <w:pPr>
        <w:sectPr>
          <w:pgSz w:w="11900" w:h="16838" w:orient="portrait"/>
          <w:cols w:equalWidth="0" w:num="1">
            <w:col w:w="10260"/>
          </w:cols>
          <w:pgMar w:left="440" w:top="293" w:right="11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CERTIFICATE OF INCORPORATION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229"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Lantheus Holdings, Inc.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a corporation organized and existing under and by virtue of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does hereby certify as follows:</w:t>
      </w:r>
    </w:p>
    <w:p>
      <w:pPr>
        <w:spacing w:after="0" w:line="162"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FIRST. The Corporation filed its original Certificate of Incorporation with the Secretary of State of the State of Delaware on November 30, 2007 under the name ACP Lantern Holdings, Inc., and the Corporation amended and restated its Certificate of Incorporation on December 10, 2012, further amended its amended and restated Certificate of Incorporation on June 24, 2014, amended and restated that amended and restated Certificate of Incorporation on June 25, 2015, and amended and restated that amended and restated Certificate of Incorporation on April 26, 2018 (as amended to date, the “</w:t>
      </w:r>
      <w:r>
        <w:rPr>
          <w:rFonts w:ascii="Times New Roman" w:cs="Times New Roman" w:eastAsia="Times New Roman" w:hAnsi="Times New Roman"/>
          <w:sz w:val="18"/>
          <w:szCs w:val="18"/>
          <w:u w:val="single" w:color="auto"/>
          <w:color w:val="auto"/>
        </w:rPr>
        <w:t>Amended and Restated Certificate of Incorporation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SECOND. The Board of Directors of the Corporation (the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adopted resolutions proposing to amend the Amended and Restated Certificate of Incorporation, and the stockholders of the Corporation have duly approved the amendment to the Amended and Restated Certificate of Incorporation.</w:t>
      </w:r>
    </w:p>
    <w:p>
      <w:pPr>
        <w:spacing w:after="0" w:line="176"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THIRD. Pursuant to Sections 242 and 245 of the DGCL, this Certificate of Amendment of Amended and Restated Certificate of Incorporation amends the Amended and Restated Certificate of Incorporation by deleting Sections 5.3 and 5.4 of Article V and substituting therefor new Sections 5.3 and 5.4 of Article V as follows:</w:t>
      </w:r>
    </w:p>
    <w:p>
      <w:pPr>
        <w:spacing w:after="0" w:line="68" w:lineRule="exact"/>
        <w:rPr>
          <w:sz w:val="20"/>
          <w:szCs w:val="20"/>
          <w:color w:val="auto"/>
        </w:rPr>
      </w:pPr>
    </w:p>
    <w:p>
      <w:pPr>
        <w:ind w:left="440" w:right="40" w:firstLine="423"/>
        <w:spacing w:after="0" w:line="253"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Classification.</w:t>
      </w:r>
      <w:r>
        <w:rPr>
          <w:rFonts w:ascii="Times New Roman" w:cs="Times New Roman" w:eastAsia="Times New Roman" w:hAnsi="Times New Roman"/>
          <w:sz w:val="18"/>
          <w:szCs w:val="18"/>
          <w:color w:val="auto"/>
        </w:rPr>
        <w:t xml:space="preserve"> Subject to the terms of any one or more series or classes of Preferred Stock, and effective upon the Effective Time, until the Corporation’s annual meeting of stockholders in 2029, the directors of the Corporation shall be divided into three classes designated Class I, Class II and Class III, and each class shall consist, as nearly as may be possible, of one-third of the total number of directors constituting the entire Board of Directors. Directors serving on the respective class of directors whose terms expire at the Corporation’s annual meeting of stockholders in 2027 shall be elected to hold office until the Corporation’s annual meeting of stockholders in 2029, and directors serving on the respective class of directors whose terms expire at the Corporation’s annual meeting of stockholders in 2028 shall be elected to hold office until the Corporation’s annual meeting of stockholders in 2029, and in each case until his or her respective successor shall have been duly elected and qualified, or until his or her earlier death, resignation, retirement or removal. For so long as the Board of Directors is classified, if the number of directors is changed, any increase or decrease shall be apportioned among the classes in such a manner as the Board of Directors shall determine so as to maintain the number of directors in each class as nearly equal as possible, but in</w:t>
      </w:r>
    </w:p>
    <w:p>
      <w:pPr>
        <w:sectPr>
          <w:pgSz w:w="11900" w:h="16838" w:orient="portrait"/>
          <w:cols w:equalWidth="0" w:num="1">
            <w:col w:w="11020"/>
          </w:cols>
          <w:pgMar w:left="440" w:top="117" w:right="439" w:bottom="1440" w:gutter="0" w:footer="0" w:header="0"/>
        </w:sectPr>
      </w:pPr>
    </w:p>
    <w:bookmarkStart w:id="5" w:name="page6"/>
    <w:bookmarkEnd w:id="5"/>
    <w:p>
      <w:pPr>
        <w:ind w:left="440" w:right="1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case will a decrease in the number of directors shorten the term of any incumbent director. Commencing with the annual meeting of stockholders held in 2029, subject to any rights of the holders of any series of Preferred Stock to elect additional directors under specified circumstances, all of the directors of the Corporation shall be elected at the annual meeting of stockholders, with each director so elected to hold office until the Corporation’s annual meeting of stockholders in the following year and until his or her respective successor shall have been duly elected and qualified, or until his or her earlier death, resignation, retirement or removal.</w:t>
      </w:r>
    </w:p>
    <w:p>
      <w:pPr>
        <w:spacing w:after="0" w:line="75" w:lineRule="exact"/>
        <w:rPr>
          <w:sz w:val="20"/>
          <w:szCs w:val="20"/>
          <w:color w:val="auto"/>
        </w:rPr>
      </w:pPr>
    </w:p>
    <w:p>
      <w:pPr>
        <w:ind w:left="440" w:firstLine="423"/>
        <w:spacing w:after="0" w:line="254"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Removal of Directors.</w:t>
      </w:r>
      <w:r>
        <w:rPr>
          <w:rFonts w:ascii="Times New Roman" w:cs="Times New Roman" w:eastAsia="Times New Roman" w:hAnsi="Times New Roman"/>
          <w:sz w:val="18"/>
          <w:szCs w:val="18"/>
          <w:color w:val="auto"/>
        </w:rPr>
        <w:t xml:space="preserve"> Subject to the terms of any one or more series or classes of Preferred Stock, for so long as the Board of Directors is classified, any director or the entire Board of Directors may be removed from office at any time, but only for cause and only by the affirmative vote of the holders of at least a majority of the voting power of the Corporation’s outstanding shares of stock entitled to vote generally in the election of directors, voting together as a single class; thereafter, any director or the entire Board of Directors may be removed from office with or without cause by the affirmative vote of the holders of a majority of the shares then entitled to vote at the election of directors, voting together as a single class. For purposes of this Section 5.4, “cause” shall mean, with respect to any director, (i) the willful failure by such director to perform, or the gross negligence of such director in performing, the duties of a director, (ii) the engaging by such director in willful or serious misconduct that is injurious to the Corporation or (iii) the conviction of such director of, or the entering by such director of a plea of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to, a crime that constitutes a felony.”</w:t>
      </w:r>
    </w:p>
    <w:p>
      <w:pPr>
        <w:spacing w:after="0" w:line="188"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FOURTH. Except as amended hereby, all other provisions of the Amended and Restated Certificate of Incorporation shall remain in full force and effect.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 * *</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- 2 -</w:t>
      </w:r>
    </w:p>
    <w:p>
      <w:pPr>
        <w:sectPr>
          <w:pgSz w:w="11900" w:h="16838" w:orient="portrait"/>
          <w:cols w:equalWidth="0" w:num="1">
            <w:col w:w="10980"/>
          </w:cols>
          <w:pgMar w:left="440" w:top="270" w:right="479" w:bottom="1440" w:gutter="0" w:footer="0" w:header="0"/>
        </w:sectPr>
      </w:pPr>
    </w:p>
    <w:bookmarkStart w:id="6" w:name="page7"/>
    <w:bookmarkEnd w:id="6"/>
    <w:p>
      <w:pPr>
        <w:ind w:firstLine="440"/>
        <w:spacing w:after="0" w:line="29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Corporation has caused this Certificate of Amendment of Amended and Restated Certificate of Incorporation to be executed on its behalf this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of April, 2026.</w:t>
      </w:r>
    </w:p>
    <w:p>
      <w:pPr>
        <w:spacing w:after="0" w:line="4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Eric M.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Eric M. Green</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Assistant Secretary</w:t>
      </w:r>
    </w:p>
    <w:p>
      <w:pPr>
        <w:sectPr>
          <w:pgSz w:w="11900" w:h="16838" w:orient="portrait"/>
          <w:cols w:equalWidth="0" w:num="1">
            <w:col w:w="10960"/>
          </w:cols>
          <w:pgMar w:left="440" w:top="270" w:right="49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2026 Equity Incentive Plan</w:t>
      </w:r>
    </w:p>
    <w:p>
      <w:pPr>
        <w:spacing w:after="0" w:line="229" w:lineRule="exact"/>
        <w:rPr>
          <w:sz w:val="20"/>
          <w:szCs w:val="20"/>
          <w:color w:val="auto"/>
        </w:rPr>
      </w:pPr>
    </w:p>
    <w:p>
      <w:pPr>
        <w:ind w:right="120" w:firstLine="436"/>
        <w:spacing w:after="0" w:line="255" w:lineRule="auto"/>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Purpose</w:t>
      </w:r>
      <w:r>
        <w:rPr>
          <w:rFonts w:ascii="Times New Roman" w:cs="Times New Roman" w:eastAsia="Times New Roman" w:hAnsi="Times New Roman"/>
          <w:sz w:val="18"/>
          <w:szCs w:val="18"/>
          <w:color w:val="auto"/>
        </w:rPr>
        <w:t>. The purpose of the Lantheus Holdings, Inc. Amended and Restated 2026 Equity Incentive Plan, originally adopted by the Board and approved by the stockholders of the Company on June 24, 2015 as the “Lantheus Holdings, Inc. 2015 Equity Incentive Plan,” as subsequently amended by Amendment Nos. One through Nine, and hereby amended and restated as the “Lantheus Holdings, Inc. 2026 Equity Incentive Plan,” effective as set forth in Section 16.1 hereof, is to further align the interests of eligible participants with those of the Company’s stockholders by providing long-term incentive compensation opportunities tied to the performance of the Company and its Common Stock. The Plan is intended to advance the interests of the Company and increase stockholder value by attracting, retaining and motivating key personnel upon whose judgment, initiative and effort the successful conduct of the Company’s business is largely dependent.</w:t>
      </w:r>
    </w:p>
    <w:p>
      <w:pPr>
        <w:spacing w:after="0" w:line="80"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Wherever the following capitalized terms are used in the Plan, they shall have the meanings specified below:</w:t>
      </w:r>
    </w:p>
    <w:p>
      <w:pPr>
        <w:spacing w:after="0" w:line="22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Accounting Firm</w:t>
      </w:r>
      <w:r>
        <w:rPr>
          <w:rFonts w:ascii="Times New Roman" w:cs="Times New Roman" w:eastAsia="Times New Roman" w:hAnsi="Times New Roman"/>
          <w:sz w:val="18"/>
          <w:szCs w:val="18"/>
          <w:color w:val="auto"/>
        </w:rPr>
        <w:t>” shall have the meaning set forth in Section 15.8(b)(i) hereof.</w:t>
      </w:r>
    </w:p>
    <w:p>
      <w:pPr>
        <w:spacing w:after="0" w:line="225" w:lineRule="exact"/>
        <w:rPr>
          <w:sz w:val="20"/>
          <w:szCs w:val="20"/>
          <w:color w:val="auto"/>
        </w:rPr>
      </w:pPr>
    </w:p>
    <w:p>
      <w:pPr>
        <w:ind w:right="36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Award</w:t>
      </w:r>
      <w:r>
        <w:rPr>
          <w:rFonts w:ascii="Times New Roman" w:cs="Times New Roman" w:eastAsia="Times New Roman" w:hAnsi="Times New Roman"/>
          <w:sz w:val="18"/>
          <w:szCs w:val="18"/>
          <w:color w:val="auto"/>
        </w:rPr>
        <w:t>” means an award of a Stock Option, Stock Appreciation Right, Restricted Stock Award, Restricted Stock Unit, Cash Award or Stock Award granted under the Plan.</w:t>
      </w:r>
    </w:p>
    <w:p>
      <w:pPr>
        <w:spacing w:after="0" w:line="158" w:lineRule="exact"/>
        <w:rPr>
          <w:sz w:val="20"/>
          <w:szCs w:val="20"/>
          <w:color w:val="auto"/>
        </w:rPr>
      </w:pPr>
    </w:p>
    <w:p>
      <w:pPr>
        <w:ind w:right="54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Award Agreement</w:t>
      </w:r>
      <w:r>
        <w:rPr>
          <w:rFonts w:ascii="Times New Roman" w:cs="Times New Roman" w:eastAsia="Times New Roman" w:hAnsi="Times New Roman"/>
          <w:sz w:val="18"/>
          <w:szCs w:val="18"/>
          <w:color w:val="auto"/>
        </w:rPr>
        <w:t>” means a notice or an agreement entered into between the Company and a Participant setting forth the terms and conditions of an Award granted to a Participant as provided in Section 15.2 hereof.</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Beneficial Owner</w:t>
      </w:r>
      <w:r>
        <w:rPr>
          <w:rFonts w:ascii="Times New Roman" w:cs="Times New Roman" w:eastAsia="Times New Roman" w:hAnsi="Times New Roman"/>
          <w:sz w:val="18"/>
          <w:szCs w:val="18"/>
          <w:color w:val="auto"/>
        </w:rPr>
        <w:t>” shall have the meaning ascribed to such term in Rule 13d-3 under the Exchange Act.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 shall have the meaning set forth in Section 12.2(b) hereof.</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Cash Award</w:t>
      </w:r>
      <w:r>
        <w:rPr>
          <w:rFonts w:ascii="Times New Roman" w:cs="Times New Roman" w:eastAsia="Times New Roman" w:hAnsi="Times New Roman"/>
          <w:sz w:val="18"/>
          <w:szCs w:val="18"/>
          <w:color w:val="auto"/>
        </w:rPr>
        <w:t>” means an Award that is payable in cash and granted pursuant to Section 10 and the applicable Award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Cause</w:t>
      </w:r>
      <w:r>
        <w:rPr>
          <w:rFonts w:ascii="Times New Roman" w:cs="Times New Roman" w:eastAsia="Times New Roman" w:hAnsi="Times New Roman"/>
          <w:sz w:val="18"/>
          <w:szCs w:val="18"/>
          <w:color w:val="auto"/>
        </w:rPr>
        <w:t>” shall have the meaning set forth in Section 13.2(b) hereof.</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in Control</w:t>
      </w:r>
      <w:r>
        <w:rPr>
          <w:rFonts w:ascii="Times New Roman" w:cs="Times New Roman" w:eastAsia="Times New Roman" w:hAnsi="Times New Roman"/>
          <w:sz w:val="18"/>
          <w:szCs w:val="18"/>
          <w:color w:val="auto"/>
        </w:rPr>
        <w:t>” shall have the meaning set forth in Section 12.2 hereof.</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Chosen Court</w:t>
      </w:r>
      <w:r>
        <w:rPr>
          <w:rFonts w:ascii="Times New Roman" w:cs="Times New Roman" w:eastAsia="Times New Roman" w:hAnsi="Times New Roman"/>
          <w:sz w:val="18"/>
          <w:szCs w:val="18"/>
          <w:color w:val="auto"/>
        </w:rPr>
        <w:t>” shall have the meaning set forth in Section 15.16 hereof.</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ind w:right="34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Committee</w:t>
      </w:r>
      <w:r>
        <w:rPr>
          <w:rFonts w:ascii="Times New Roman" w:cs="Times New Roman" w:eastAsia="Times New Roman" w:hAnsi="Times New Roman"/>
          <w:sz w:val="18"/>
          <w:szCs w:val="18"/>
          <w:color w:val="auto"/>
        </w:rPr>
        <w:t>” means (i) the Talent and Compensation Committee of the Board, (ii) such other committee of the Board appointed by the Board to administer the Plan or, (iii) subject to the terms of the Plan, the Board.</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means the Company’s common stock, par value $0.01 per share.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means Lantheus Holdings, Inc., a Delaware corporation, and any successor thereto.</w:t>
      </w:r>
    </w:p>
    <w:p>
      <w:pPr>
        <w:sectPr>
          <w:pgSz w:w="11900" w:h="16838" w:orient="portrait"/>
          <w:cols w:equalWidth="0" w:num="1">
            <w:col w:w="11020"/>
          </w:cols>
          <w:pgMar w:left="440" w:top="117" w:right="439" w:bottom="1440" w:gutter="0" w:footer="0" w:header="0"/>
        </w:sectPr>
      </w:pPr>
    </w:p>
    <w:bookmarkStart w:id="8" w:name="page9"/>
    <w:bookmarkEnd w:id="8"/>
    <w:p>
      <w:pPr>
        <w:ind w:firstLine="991"/>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Date of Grant</w:t>
      </w:r>
      <w:r>
        <w:rPr>
          <w:rFonts w:ascii="Times New Roman" w:cs="Times New Roman" w:eastAsia="Times New Roman" w:hAnsi="Times New Roman"/>
          <w:sz w:val="18"/>
          <w:szCs w:val="18"/>
          <w:color w:val="auto"/>
        </w:rPr>
        <w:t>” means, with respect to any Award under the Plan, the date on which such Award is granted by the Committee or such later date as the Committee may specify in the resolutions comprising the corporate action constituting such grant by the Company of such Award to be the effective date of an Award, in each case, in accordance with Section 5.4 hereof.</w:t>
      </w:r>
    </w:p>
    <w:p>
      <w:pPr>
        <w:spacing w:after="0" w:line="17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Disability</w:t>
      </w:r>
      <w:r>
        <w:rPr>
          <w:rFonts w:ascii="Times New Roman" w:cs="Times New Roman" w:eastAsia="Times New Roman" w:hAnsi="Times New Roman"/>
          <w:sz w:val="18"/>
          <w:szCs w:val="18"/>
          <w:color w:val="auto"/>
        </w:rPr>
        <w:t>” means, unless otherwise set forth in an Award Agreement,</w:t>
      </w:r>
    </w:p>
    <w:p>
      <w:pPr>
        <w:spacing w:after="0" w:line="119" w:lineRule="exact"/>
        <w:rPr>
          <w:sz w:val="20"/>
          <w:szCs w:val="20"/>
          <w:color w:val="auto"/>
        </w:rPr>
      </w:pPr>
    </w:p>
    <w:p>
      <w:pPr>
        <w:ind w:right="460" w:firstLine="1428"/>
        <w:spacing w:after="0" w:line="282" w:lineRule="auto"/>
        <w:tabs>
          <w:tab w:leader="none" w:pos="164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Participant has an effective employment agreement or service agreement with the Company or a Subsidiary that defines “Disability” or a like term, the meaning set forth in such agreement at the time of the Participant’s termination of Service, or,</w:t>
      </w:r>
    </w:p>
    <w:p>
      <w:pPr>
        <w:spacing w:after="0" w:line="53" w:lineRule="exact"/>
        <w:rPr>
          <w:rFonts w:ascii="Times New Roman" w:cs="Times New Roman" w:eastAsia="Times New Roman" w:hAnsi="Times New Roman"/>
          <w:sz w:val="18"/>
          <w:szCs w:val="18"/>
          <w:color w:val="auto"/>
        </w:rPr>
      </w:pPr>
    </w:p>
    <w:p>
      <w:pPr>
        <w:ind w:right="120" w:firstLine="1428"/>
        <w:spacing w:after="0" w:line="261" w:lineRule="auto"/>
        <w:tabs>
          <w:tab w:leader="none" w:pos="169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such an effective employment or service agreement or definition, a Participant’s physical or mental illness, injury or infirmity which is reasonably likely to prevent and/or prevents such Participant from performing his or her essential job functions for a period of (A) ninety (90) consecutive calendar days or (B) an aggregate of one hundred twenty (120) calendar days out of any consecutive twelve (12) month period.</w:t>
      </w:r>
    </w:p>
    <w:p>
      <w:pPr>
        <w:spacing w:after="0" w:line="18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Notwithstanding anything to the contrary contained herein, and solely for purposes of any Incentive Stock Option, “Disability” shall mean a permanent and total disability (within the meaning of Section 22(e)(3) of the Code).</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EBITDA</w:t>
      </w:r>
      <w:r>
        <w:rPr>
          <w:rFonts w:ascii="Times New Roman" w:cs="Times New Roman" w:eastAsia="Times New Roman" w:hAnsi="Times New Roman"/>
          <w:sz w:val="18"/>
          <w:szCs w:val="18"/>
          <w:color w:val="auto"/>
        </w:rPr>
        <w:t>” shall have the meaning set forth in Section 10.3 hereof.</w:t>
      </w:r>
    </w:p>
    <w:p>
      <w:pPr>
        <w:spacing w:after="0" w:line="225" w:lineRule="exact"/>
        <w:rPr>
          <w:sz w:val="20"/>
          <w:szCs w:val="20"/>
          <w:color w:val="auto"/>
        </w:rPr>
      </w:pPr>
    </w:p>
    <w:p>
      <w:pPr>
        <w:ind w:right="32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Eligible Person</w:t>
      </w:r>
      <w:r>
        <w:rPr>
          <w:rFonts w:ascii="Times New Roman" w:cs="Times New Roman" w:eastAsia="Times New Roman" w:hAnsi="Times New Roman"/>
          <w:sz w:val="18"/>
          <w:szCs w:val="18"/>
          <w:color w:val="auto"/>
        </w:rPr>
        <w:t>” means any person who is an employee, Non-Employee Director, consultant or other personal service provider of the Company or any of its Subsidiaries.</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Fair Market Value</w:t>
      </w:r>
      <w:r>
        <w:rPr>
          <w:rFonts w:ascii="Times New Roman" w:cs="Times New Roman" w:eastAsia="Times New Roman" w:hAnsi="Times New Roman"/>
          <w:sz w:val="18"/>
          <w:szCs w:val="18"/>
          <w:color w:val="auto"/>
        </w:rPr>
        <w:t>” means, with respect to a share of Common Stock as of a given date of determination hereunder, unless otherwise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determined or provided by the Committee in the circumstances, the closing price, as reported on The NASDAQ Global Market or other principal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on which the Common Stock is then listed on such date, or, if the Common Stock was not traded on such date, then on the next preceding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trading day that the Common Stock was traded on such exchange, as reported by such responsible reporting service as the Committee may select.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Committee may, however, provide with respect to one or more Awards that the Fair Market Value shall equal the average of the high and low trading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as reported on The NASDAQ Global Market or other principal exchange on which the Common Stock is then listed on the applicable date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determination, or, if the Common Stock was not traded on such date, then on the next preceding trading day that the Common Stock was traded on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as reported by such responsible reporting service as the Committee may select. If the Common Stock is not listed on any such exchange,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Fair Market Value</w:t>
      </w:r>
      <w:r>
        <w:rPr>
          <w:rFonts w:ascii="Times New Roman" w:cs="Times New Roman" w:eastAsia="Times New Roman" w:hAnsi="Times New Roman"/>
          <w:sz w:val="18"/>
          <w:szCs w:val="18"/>
          <w:color w:val="auto"/>
        </w:rPr>
        <w:t>” shall be such value as determined by the Board or the Committee in its discretion and, to the extent necessary, shall be determined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 manner consistent with Section 409A of the Code and the regulations thereunder.</w:t>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Forfeiture Event</w:t>
      </w:r>
      <w:r>
        <w:rPr>
          <w:rFonts w:ascii="Times New Roman" w:cs="Times New Roman" w:eastAsia="Times New Roman" w:hAnsi="Times New Roman"/>
          <w:sz w:val="18"/>
          <w:szCs w:val="18"/>
          <w:color w:val="auto"/>
        </w:rPr>
        <w:t>” shall have the meaning set forth in Section 13.2(a) hereof.</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GAAP</w:t>
      </w:r>
      <w:r>
        <w:rPr>
          <w:rFonts w:ascii="Times New Roman" w:cs="Times New Roman" w:eastAsia="Times New Roman" w:hAnsi="Times New Roman"/>
          <w:sz w:val="18"/>
          <w:szCs w:val="18"/>
          <w:color w:val="auto"/>
        </w:rPr>
        <w:t>” means generally accepted accounting principles in the United States, as in effect from time to time.</w:t>
      </w:r>
    </w:p>
    <w:p>
      <w:pPr>
        <w:spacing w:after="0" w:line="225" w:lineRule="exact"/>
        <w:rPr>
          <w:sz w:val="20"/>
          <w:szCs w:val="20"/>
          <w:color w:val="auto"/>
        </w:rPr>
      </w:pPr>
    </w:p>
    <w:p>
      <w:pPr>
        <w:ind w:right="6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Incentive Stock Option</w:t>
      </w:r>
      <w:r>
        <w:rPr>
          <w:rFonts w:ascii="Times New Roman" w:cs="Times New Roman" w:eastAsia="Times New Roman" w:hAnsi="Times New Roman"/>
          <w:sz w:val="18"/>
          <w:szCs w:val="18"/>
          <w:color w:val="auto"/>
        </w:rPr>
        <w:t>” means a Stock Option granted under Section 6 hereof that is intended to meet the requirements of Section 422 of the Code and the regulations thereunder.</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Net After-Tax Receipt</w:t>
      </w:r>
      <w:r>
        <w:rPr>
          <w:rFonts w:ascii="Times New Roman" w:cs="Times New Roman" w:eastAsia="Times New Roman" w:hAnsi="Times New Roman"/>
          <w:sz w:val="18"/>
          <w:szCs w:val="18"/>
          <w:color w:val="auto"/>
        </w:rPr>
        <w:t>” shall have the meaning set forth in Section 15.8(b)(iv)(B) hereof.</w:t>
      </w:r>
    </w:p>
    <w:p>
      <w:pPr>
        <w:spacing w:after="0" w:line="225" w:lineRule="exact"/>
        <w:rPr>
          <w:sz w:val="20"/>
          <w:szCs w:val="20"/>
          <w:color w:val="auto"/>
        </w:rPr>
      </w:pPr>
    </w:p>
    <w:p>
      <w:pPr>
        <w:jc w:val="center"/>
        <w:ind w:right="100"/>
        <w:spacing w:after="0" w:line="4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Non-Employee Director</w:t>
      </w:r>
      <w:r>
        <w:rPr>
          <w:rFonts w:ascii="Times New Roman" w:cs="Times New Roman" w:eastAsia="Times New Roman" w:hAnsi="Times New Roman"/>
          <w:sz w:val="18"/>
          <w:szCs w:val="18"/>
          <w:color w:val="auto"/>
        </w:rPr>
        <w:t>” means a member of the Board who is not an employee of the Company or any of its Subsidiaries. 2</w:t>
      </w:r>
    </w:p>
    <w:p>
      <w:pPr>
        <w:sectPr>
          <w:pgSz w:w="11900" w:h="16838" w:orient="portrait"/>
          <w:cols w:equalWidth="0" w:num="1">
            <w:col w:w="11000"/>
          </w:cols>
          <w:pgMar w:left="440" w:top="268" w:right="459" w:bottom="1440" w:gutter="0" w:footer="0" w:header="0"/>
        </w:sectPr>
      </w:pPr>
    </w:p>
    <w:bookmarkStart w:id="9" w:name="page10"/>
    <w:bookmarkEnd w:id="9"/>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Nonqualified Stock Option</w:t>
      </w:r>
      <w:r>
        <w:rPr>
          <w:rFonts w:ascii="Times New Roman" w:cs="Times New Roman" w:eastAsia="Times New Roman" w:hAnsi="Times New Roman"/>
          <w:sz w:val="18"/>
          <w:szCs w:val="18"/>
          <w:color w:val="auto"/>
        </w:rPr>
        <w:t>” means a Stock Option granted under Section 6 hereof that is not an Incentive Stock Option.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Original Effective Date”</w:t>
      </w:r>
      <w:r>
        <w:rPr>
          <w:rFonts w:ascii="Times New Roman" w:cs="Times New Roman" w:eastAsia="Times New Roman" w:hAnsi="Times New Roman"/>
          <w:sz w:val="18"/>
          <w:szCs w:val="18"/>
          <w:color w:val="auto"/>
        </w:rPr>
        <w:t xml:space="preserve"> shall have the meaning set forth in Section 16.1 hereof.</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Outstanding Company Voting Securities</w:t>
      </w:r>
      <w:r>
        <w:rPr>
          <w:rFonts w:ascii="Times New Roman" w:cs="Times New Roman" w:eastAsia="Times New Roman" w:hAnsi="Times New Roman"/>
          <w:sz w:val="18"/>
          <w:szCs w:val="18"/>
          <w:color w:val="auto"/>
        </w:rPr>
        <w:t>” shall have the meaning set forth in Section 12.2(a) hereof.</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Overpayment</w:t>
      </w:r>
      <w:r>
        <w:rPr>
          <w:rFonts w:ascii="Times New Roman" w:cs="Times New Roman" w:eastAsia="Times New Roman" w:hAnsi="Times New Roman"/>
          <w:sz w:val="18"/>
          <w:szCs w:val="18"/>
          <w:color w:val="auto"/>
        </w:rPr>
        <w:t>” shall have the meaning set forth in Section 15.8(b)(iii) hereof.</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Parachute Payment Ratio</w:t>
      </w:r>
      <w:r>
        <w:rPr>
          <w:rFonts w:ascii="Times New Roman" w:cs="Times New Roman" w:eastAsia="Times New Roman" w:hAnsi="Times New Roman"/>
          <w:sz w:val="18"/>
          <w:szCs w:val="18"/>
          <w:color w:val="auto"/>
        </w:rPr>
        <w:t>” shall have the meaning set forth in Section 15.8(b)(iv)(C) hereof.</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Participant</w:t>
      </w:r>
      <w:r>
        <w:rPr>
          <w:rFonts w:ascii="Times New Roman" w:cs="Times New Roman" w:eastAsia="Times New Roman" w:hAnsi="Times New Roman"/>
          <w:sz w:val="18"/>
          <w:szCs w:val="18"/>
          <w:color w:val="auto"/>
        </w:rPr>
        <w:t>” means any Eligible Person who holds an outstanding Award under the Plan.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Payment</w:t>
      </w:r>
      <w:r>
        <w:rPr>
          <w:rFonts w:ascii="Times New Roman" w:cs="Times New Roman" w:eastAsia="Times New Roman" w:hAnsi="Times New Roman"/>
          <w:sz w:val="18"/>
          <w:szCs w:val="18"/>
          <w:color w:val="auto"/>
        </w:rPr>
        <w:t>” shall have the meaning set forth in Section 15.8(b)(i) hereof.</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Performance Awards</w:t>
      </w:r>
      <w:r>
        <w:rPr>
          <w:rFonts w:ascii="Times New Roman" w:cs="Times New Roman" w:eastAsia="Times New Roman" w:hAnsi="Times New Roman"/>
          <w:sz w:val="18"/>
          <w:szCs w:val="18"/>
          <w:color w:val="auto"/>
        </w:rPr>
        <w:t>” shall mean an Award subject to vesting based on Performance Criteria and/or Performance Goals.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Performance Criteria</w:t>
      </w:r>
      <w:r>
        <w:rPr>
          <w:rFonts w:ascii="Times New Roman" w:cs="Times New Roman" w:eastAsia="Times New Roman" w:hAnsi="Times New Roman"/>
          <w:sz w:val="18"/>
          <w:szCs w:val="18"/>
          <w:color w:val="auto"/>
        </w:rPr>
        <w:t>” shall have the meaning set forth in Section 10.3 hereof.</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Performance Goals</w:t>
      </w:r>
      <w:r>
        <w:rPr>
          <w:rFonts w:ascii="Times New Roman" w:cs="Times New Roman" w:eastAsia="Times New Roman" w:hAnsi="Times New Roman"/>
          <w:sz w:val="18"/>
          <w:szCs w:val="18"/>
          <w:color w:val="auto"/>
        </w:rPr>
        <w:t>” shall have the meaning set forth in Section 10.4 hereof.</w:t>
      </w:r>
    </w:p>
    <w:p>
      <w:pPr>
        <w:spacing w:after="0" w:line="225" w:lineRule="exact"/>
        <w:rPr>
          <w:sz w:val="20"/>
          <w:szCs w:val="20"/>
          <w:color w:val="auto"/>
        </w:rPr>
      </w:pPr>
    </w:p>
    <w:p>
      <w:pPr>
        <w:jc w:val="both"/>
        <w:ind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Performance Stock Unit</w:t>
      </w:r>
      <w:r>
        <w:rPr>
          <w:rFonts w:ascii="Times New Roman" w:cs="Times New Roman" w:eastAsia="Times New Roman" w:hAnsi="Times New Roman"/>
          <w:sz w:val="18"/>
          <w:szCs w:val="18"/>
          <w:color w:val="auto"/>
        </w:rPr>
        <w:t>” means a Restricted Stock Unit denominated as a Performance Stock Unit under Section 9.2 hereof, to be paid or distributed based upon the attainment of pre-established business and/or individual Performance Goals over a specified performance period.</w:t>
      </w:r>
    </w:p>
    <w:p>
      <w:pPr>
        <w:spacing w:after="0" w:line="158" w:lineRule="exact"/>
        <w:rPr>
          <w:sz w:val="20"/>
          <w:szCs w:val="20"/>
          <w:color w:val="auto"/>
        </w:rPr>
      </w:pPr>
    </w:p>
    <w:p>
      <w:pPr>
        <w:ind w:right="54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shall have the meaning ascribed to such term in Section 3(a)(9) of the Exchange Act and used in Sections 13(d) and 14(d) thereof, including a “group” as defined in Section 13(d) thereof.</w:t>
      </w:r>
    </w:p>
    <w:p>
      <w:pPr>
        <w:spacing w:after="0" w:line="158" w:lineRule="exact"/>
        <w:rPr>
          <w:sz w:val="20"/>
          <w:szCs w:val="20"/>
          <w:color w:val="auto"/>
        </w:rPr>
      </w:pPr>
    </w:p>
    <w:p>
      <w:pPr>
        <w:jc w:val="both"/>
        <w:ind w:right="20" w:firstLine="99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 means this Amended and Restated Lantheus Holdings, Inc. 2026 Equity Incentive Plan as set forth herein, originally adopted as the “Lantheus Holdings, Inc. 2015 Equity Incentive Plan” on June 24, 2015 as amended from time to time, and as may be further amended and/or amended and restated from time to time.</w:t>
      </w:r>
    </w:p>
    <w:p>
      <w:pPr>
        <w:spacing w:after="0" w:line="17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Reduced Amount</w:t>
      </w:r>
      <w:r>
        <w:rPr>
          <w:rFonts w:ascii="Times New Roman" w:cs="Times New Roman" w:eastAsia="Times New Roman" w:hAnsi="Times New Roman"/>
          <w:sz w:val="18"/>
          <w:szCs w:val="18"/>
          <w:color w:val="auto"/>
        </w:rPr>
        <w:t>” shall have the meaning set forth in Section 15.8(b)(iv)(A) hereof.</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Restatement Effective Date”</w:t>
      </w:r>
      <w:r>
        <w:rPr>
          <w:rFonts w:ascii="Times New Roman" w:cs="Times New Roman" w:eastAsia="Times New Roman" w:hAnsi="Times New Roman"/>
          <w:sz w:val="18"/>
          <w:szCs w:val="18"/>
          <w:color w:val="auto"/>
        </w:rPr>
        <w:t xml:space="preserve"> shall have the meaning set forth in Section 16.1 hereof.</w:t>
      </w:r>
    </w:p>
    <w:p>
      <w:pPr>
        <w:spacing w:after="0" w:line="225" w:lineRule="exact"/>
        <w:rPr>
          <w:sz w:val="20"/>
          <w:szCs w:val="20"/>
          <w:color w:val="auto"/>
        </w:rPr>
      </w:pPr>
    </w:p>
    <w:p>
      <w:pPr>
        <w:ind w:right="40" w:firstLine="99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Stock Award</w:t>
      </w:r>
      <w:r>
        <w:rPr>
          <w:rFonts w:ascii="Times New Roman" w:cs="Times New Roman" w:eastAsia="Times New Roman" w:hAnsi="Times New Roman"/>
          <w:sz w:val="18"/>
          <w:szCs w:val="18"/>
          <w:color w:val="auto"/>
        </w:rPr>
        <w:t>” means a grant of shares of Common Stock to an Eligible Person under Section 8 hereof that are issued subject to such vesting and transfer restrictions as the Committee shall determine, and such other conditions, in each case, as are set forth in the Plan and the applicable Award Agreement.</w:t>
      </w:r>
    </w:p>
    <w:p>
      <w:pPr>
        <w:spacing w:after="0" w:line="173" w:lineRule="exact"/>
        <w:rPr>
          <w:sz w:val="20"/>
          <w:szCs w:val="20"/>
          <w:color w:val="auto"/>
        </w:rPr>
      </w:pPr>
    </w:p>
    <w:p>
      <w:pPr>
        <w:ind w:right="120" w:firstLine="99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Stock Unit</w:t>
      </w:r>
      <w:r>
        <w:rPr>
          <w:rFonts w:ascii="Times New Roman" w:cs="Times New Roman" w:eastAsia="Times New Roman" w:hAnsi="Times New Roman"/>
          <w:sz w:val="18"/>
          <w:szCs w:val="18"/>
          <w:color w:val="auto"/>
        </w:rPr>
        <w:t>” means a contractual right granted to an Eligible Person under Section 9 hereof representing notional unit interests equal in value to a share of Common Stock to be paid or distributed at such times, and subject to such conditions, in each case, as set forth in the Plan and the applicable Award Agreement.</w:t>
      </w:r>
    </w:p>
    <w:p>
      <w:pPr>
        <w:spacing w:after="0" w:line="173" w:lineRule="exact"/>
        <w:rPr>
          <w:sz w:val="20"/>
          <w:szCs w:val="20"/>
          <w:color w:val="auto"/>
        </w:rPr>
      </w:pPr>
    </w:p>
    <w:p>
      <w:pPr>
        <w:ind w:right="16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Service</w:t>
      </w:r>
      <w:r>
        <w:rPr>
          <w:rFonts w:ascii="Times New Roman" w:cs="Times New Roman" w:eastAsia="Times New Roman" w:hAnsi="Times New Roman"/>
          <w:sz w:val="18"/>
          <w:szCs w:val="18"/>
          <w:color w:val="auto"/>
        </w:rPr>
        <w:t>” means a Participant’s employment with the Company or any Subsidiary or a Participant’s service as a Non-Employee Director, consultant or other service provider with the Company or any Subsidiary, as applicable.</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Share Reserve</w:t>
      </w:r>
      <w:r>
        <w:rPr>
          <w:rFonts w:ascii="Times New Roman" w:cs="Times New Roman" w:eastAsia="Times New Roman" w:hAnsi="Times New Roman"/>
          <w:sz w:val="18"/>
          <w:szCs w:val="18"/>
          <w:color w:val="auto"/>
        </w:rPr>
        <w:t>” shall have the meaning set forth in Section 4.1 hereof.</w:t>
      </w:r>
    </w:p>
    <w:p>
      <w:pPr>
        <w:spacing w:after="0" w:line="16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8" w:right="459" w:bottom="1440" w:gutter="0" w:footer="0" w:header="0"/>
        </w:sectPr>
      </w:pPr>
    </w:p>
    <w:bookmarkStart w:id="10" w:name="page11"/>
    <w:bookmarkEnd w:id="10"/>
    <w:p>
      <w:pPr>
        <w:jc w:val="both"/>
        <w:ind w:left="4" w:right="20" w:firstLine="991"/>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Stock Appreciation Right</w:t>
      </w:r>
      <w:r>
        <w:rPr>
          <w:rFonts w:ascii="Times New Roman" w:cs="Times New Roman" w:eastAsia="Times New Roman" w:hAnsi="Times New Roman"/>
          <w:sz w:val="18"/>
          <w:szCs w:val="18"/>
          <w:color w:val="auto"/>
        </w:rPr>
        <w:t>” means a contractual right granted to an Eligible Person under Section 7 hereof entitling such Eligible Person to receive a payment, representing the excess of the Fair Market Value of a share of Common Stock over the base price per share of the right, at such time, and subject to such conditions, in each case, as are set forth in the Plan and the applicable Award Agreement.</w:t>
      </w:r>
    </w:p>
    <w:p>
      <w:pPr>
        <w:spacing w:after="0" w:line="173" w:lineRule="exact"/>
        <w:rPr>
          <w:sz w:val="20"/>
          <w:szCs w:val="20"/>
          <w:color w:val="auto"/>
        </w:rPr>
      </w:pPr>
    </w:p>
    <w:p>
      <w:pPr>
        <w:ind w:left="4" w:right="36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Stock Award</w:t>
      </w:r>
      <w:r>
        <w:rPr>
          <w:rFonts w:ascii="Times New Roman" w:cs="Times New Roman" w:eastAsia="Times New Roman" w:hAnsi="Times New Roman"/>
          <w:sz w:val="18"/>
          <w:szCs w:val="18"/>
          <w:color w:val="auto"/>
        </w:rPr>
        <w:t>” means a grant of shares of Common Stock to an Eligible Person under Section 11 hereof that are issued free of transfer restrictions and forfeiture conditions.</w:t>
      </w:r>
    </w:p>
    <w:p>
      <w:pPr>
        <w:spacing w:after="0" w:line="158" w:lineRule="exact"/>
        <w:rPr>
          <w:sz w:val="20"/>
          <w:szCs w:val="20"/>
          <w:color w:val="auto"/>
        </w:rPr>
      </w:pPr>
    </w:p>
    <w:p>
      <w:pPr>
        <w:ind w:left="4" w:right="34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Stock Option</w:t>
      </w:r>
      <w:r>
        <w:rPr>
          <w:rFonts w:ascii="Times New Roman" w:cs="Times New Roman" w:eastAsia="Times New Roman" w:hAnsi="Times New Roman"/>
          <w:sz w:val="18"/>
          <w:szCs w:val="18"/>
          <w:color w:val="auto"/>
        </w:rPr>
        <w:t>” means a contractual right granted to an Eligible Person under Section 6 hereof to purchase shares of Common Stock at such time and price, and subject to such conditions, in each case, as are set forth in the Plan and the applicable Award Agreement.</w:t>
      </w:r>
    </w:p>
    <w:p>
      <w:pPr>
        <w:spacing w:after="0" w:line="158" w:lineRule="exact"/>
        <w:rPr>
          <w:sz w:val="20"/>
          <w:szCs w:val="20"/>
          <w:color w:val="auto"/>
        </w:rPr>
      </w:pPr>
    </w:p>
    <w:p>
      <w:pPr>
        <w:ind w:left="4" w:right="2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xml:space="preserve">” means an entity (whether or not a corporation) that is wholly or majority owned or controlled, directly or indirectly, by the Company or any other affiliate of the Company that is so designated, from time to time, by the Committee, during the period of such affiliated status;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with respect to Incentive Stock Options, the term “Subsidiary” shall include only an entity that qualifies under Section 424(f) of the Code as a “subsidiary corporation” with respect to the Company.</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Successor Entity</w:t>
      </w:r>
      <w:r>
        <w:rPr>
          <w:rFonts w:ascii="Times New Roman" w:cs="Times New Roman" w:eastAsia="Times New Roman" w:hAnsi="Times New Roman"/>
          <w:sz w:val="18"/>
          <w:szCs w:val="18"/>
          <w:color w:val="auto"/>
        </w:rPr>
        <w:t>” shall have the meaning set forth in Section 12.2(b) hereof.</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Treasury Regulations</w:t>
      </w:r>
      <w:r>
        <w:rPr>
          <w:rFonts w:ascii="Times New Roman" w:cs="Times New Roman" w:eastAsia="Times New Roman" w:hAnsi="Times New Roman"/>
          <w:sz w:val="18"/>
          <w:szCs w:val="18"/>
          <w:color w:val="auto"/>
        </w:rPr>
        <w:t>” shall have the meaning set forth in Section 15.8(a) hereof.</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Underpayment</w:t>
      </w:r>
      <w:r>
        <w:rPr>
          <w:rFonts w:ascii="Times New Roman" w:cs="Times New Roman" w:eastAsia="Times New Roman" w:hAnsi="Times New Roman"/>
          <w:sz w:val="18"/>
          <w:szCs w:val="18"/>
          <w:color w:val="auto"/>
        </w:rPr>
        <w:t>” shall have the meaning set forth in Section 15.8(b)(iii) hereof.</w:t>
      </w:r>
    </w:p>
    <w:p>
      <w:pPr>
        <w:spacing w:after="0" w:line="119" w:lineRule="exact"/>
        <w:rPr>
          <w:sz w:val="20"/>
          <w:szCs w:val="20"/>
          <w:color w:val="auto"/>
        </w:rPr>
      </w:pPr>
    </w:p>
    <w:p>
      <w:pPr>
        <w:ind w:left="624" w:hanging="184"/>
        <w:spacing w:after="0"/>
        <w:tabs>
          <w:tab w:leader="none" w:pos="6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left="4" w:right="20" w:firstLine="440"/>
        <w:spacing w:after="0" w:line="273" w:lineRule="auto"/>
        <w:rPr>
          <w:sz w:val="20"/>
          <w:szCs w:val="20"/>
          <w:color w:val="auto"/>
        </w:rPr>
      </w:pPr>
      <w:r>
        <w:rPr>
          <w:rFonts w:ascii="Times New Roman" w:cs="Times New Roman" w:eastAsia="Times New Roman" w:hAnsi="Times New Roman"/>
          <w:sz w:val="17"/>
          <w:szCs w:val="17"/>
          <w:color w:val="auto"/>
        </w:rPr>
        <w:t xml:space="preserve">3.1 </w:t>
      </w:r>
      <w:r>
        <w:rPr>
          <w:rFonts w:ascii="Times New Roman" w:cs="Times New Roman" w:eastAsia="Times New Roman" w:hAnsi="Times New Roman"/>
          <w:sz w:val="17"/>
          <w:szCs w:val="17"/>
          <w:i w:val="1"/>
          <w:iCs w:val="1"/>
          <w:color w:val="auto"/>
        </w:rPr>
        <w:t>Committee Members</w:t>
      </w:r>
      <w:r>
        <w:rPr>
          <w:rFonts w:ascii="Times New Roman" w:cs="Times New Roman" w:eastAsia="Times New Roman" w:hAnsi="Times New Roman"/>
          <w:sz w:val="17"/>
          <w:szCs w:val="17"/>
          <w:color w:val="auto"/>
        </w:rPr>
        <w:t>. The Plan shall be administered by a Committee comprised of no fewer than two members of the Board who are appointed by the Board to administer the Plan. To the extent deemed necessary by the Board, or as may be required by any applicable securities or tax laws, The NASDAQ Global Market, each Committee (as defined in clauses (i) or (ii) of the definition thereof) member shall satisfy the requirements for</w:t>
      </w:r>
    </w:p>
    <w:p>
      <w:pPr>
        <w:spacing w:after="0" w:line="1" w:lineRule="exact"/>
        <w:rPr>
          <w:sz w:val="20"/>
          <w:szCs w:val="20"/>
          <w:color w:val="auto"/>
        </w:rPr>
      </w:pPr>
    </w:p>
    <w:p>
      <w:pPr>
        <w:ind w:left="4" w:hanging="4"/>
        <w:spacing w:after="0" w:line="252" w:lineRule="auto"/>
        <w:tabs>
          <w:tab w:leader="none" w:pos="21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“independent director” under rules adopted by The NASDAQ Global Market or other principal exchange on which the Common Stock is then listed, and (ii) a “nonemployee director” for purposes of Rule 16b-3 under the Exchange Act. Notwithstanding the foregoing, the mere fact that a Committee (as defined in clauses (i) or (ii) of the definition thereof) member shall fail to qualify under any of the foregoing requirements shall not invalidate any Award made by the Committee (as defined in clauses (i) or (ii) of the definition thereof) which Award is otherwise validly made under the Plan. Neither the Company nor any member of the Committee shall be liable for any action or determination made in good faith by the Committee with respect to the Plan or any Award thereunder to the fullest extent permitted by law and the Company’s certificate of incorporation and bylaws.</w:t>
      </w:r>
    </w:p>
    <w:p>
      <w:pPr>
        <w:spacing w:after="0" w:line="80" w:lineRule="exact"/>
        <w:rPr>
          <w:sz w:val="20"/>
          <w:szCs w:val="20"/>
          <w:color w:val="auto"/>
        </w:rPr>
      </w:pPr>
    </w:p>
    <w:p>
      <w:pPr>
        <w:ind w:left="4" w:righ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i w:val="1"/>
          <w:iCs w:val="1"/>
          <w:color w:val="auto"/>
        </w:rPr>
        <w:t>Committee Authority</w:t>
      </w:r>
      <w:r>
        <w:rPr>
          <w:rFonts w:ascii="Times New Roman" w:cs="Times New Roman" w:eastAsia="Times New Roman" w:hAnsi="Times New Roman"/>
          <w:sz w:val="18"/>
          <w:szCs w:val="18"/>
          <w:color w:val="auto"/>
        </w:rPr>
        <w:t>. It shall be the duty of the Committee to administer the Plan in accordance with the Plan’s provisions. The Committee shall have all powers and discretion necessary or appropriate to administer the Plan and to control its operation, including, but not limited to, the power to (i) determine the Eligible Persons to whom Awards shall be granted under the Plan and to grant Awards, (ii) prescribe the restrictions, terms and conditions of all Awards, (iii) interpret the Plan and terms of the Awards, (iv) adopt rules for the administration, interpretation and application of the Plan as are consistent therewith, and interpret, amend or revoke any such rules, (v) make all determinations with respect to a Participant’s Service and the termination of such Service for purposes of any Award, (vi) subject to the provisions of Section 6 hereof, to extend at any time the period in which Stock Options may be exercised, (vii) to determine at any time whether, to what extent, and under what circumstances distribution or the receipt of Stock and other amounts payable with respect to an Award shall be deferred either automatically or at the election of the receiving Participant and whether and to what extent the Company shall pay or credit amounts constituting interest (at rates determined by the Committee) or dividends or</w:t>
      </w:r>
    </w:p>
    <w:p>
      <w:pPr>
        <w:spacing w:after="0" w:line="123"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68" w:right="459" w:bottom="1440" w:gutter="0" w:footer="0" w:header="0"/>
        </w:sectPr>
      </w:pPr>
    </w:p>
    <w:bookmarkStart w:id="11" w:name="page12"/>
    <w:bookmarkEnd w:id="11"/>
    <w:p>
      <w:pPr>
        <w:ind w:left="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deemed dividends on such deferrals, (viii) correct any defect(s) or omission(s) or reconcile any ambiguity(ies) or inconsistency(ies) in the Plan or any Award thereunder, (ix) make all determinations it deems advisable for the administration of the Plan, to decide all disputes arising in connection with the Plan, and to otherwise supervise the administration of the Plan, (x) to suspend the right to exercise or net exercise any Award during any blackout period that is necessary or desirable to comply with the requirements of applicable securities laws, and to extend the period for exercise of such Award by an equal period of time, (xi) subject to the terms of the Plan, amend the terms of an Award in any manner that is not inconsistent with the Plan, and</w:t>
      </w:r>
    </w:p>
    <w:p>
      <w:pPr>
        <w:spacing w:after="0" w:line="3" w:lineRule="exact"/>
        <w:rPr>
          <w:sz w:val="20"/>
          <w:szCs w:val="20"/>
          <w:color w:val="auto"/>
        </w:rPr>
      </w:pPr>
    </w:p>
    <w:p>
      <w:pPr>
        <w:ind w:left="4" w:right="40" w:hanging="4"/>
        <w:spacing w:after="0" w:line="252" w:lineRule="auto"/>
        <w:tabs>
          <w:tab w:leader="none" w:pos="35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such procedures and subplans and Award Agreements as are necessary or appropriate to permit participation in the Plan by Eligible Person who are foreign nationals or employed outside of the United States or as otherwise are necessary or appropriate for the administration and application of the Plan. The Committee’s determinations under the Plan need not be uniform and may be made by the Committee selectively among Participants and Eligible Persons, whether or not such persons are similarly situated. The Committee shall, in its discretion, consider such factors as it deems relevant in making its interpretations, determinations and actions under the Plan including, without limitation, the recommendations or advice of any officer or employee of the Company or such attorneys, consultants, accountants or other advisors as it may select. All interpretations, determinations, and actions by the Committee shall be final, conclusive and binding upon all parties.</w:t>
      </w:r>
    </w:p>
    <w:p>
      <w:pPr>
        <w:spacing w:after="0" w:line="7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i w:val="1"/>
          <w:iCs w:val="1"/>
          <w:color w:val="auto"/>
        </w:rPr>
        <w:t>Delegation of Authority</w:t>
      </w:r>
      <w:r>
        <w:rPr>
          <w:rFonts w:ascii="Times New Roman" w:cs="Times New Roman" w:eastAsia="Times New Roman" w:hAnsi="Times New Roman"/>
          <w:sz w:val="18"/>
          <w:szCs w:val="18"/>
          <w:color w:val="auto"/>
        </w:rPr>
        <w:t>. The Committee shall have the right, from time to time, to delegate to one or more officers of the Company the</w:t>
      </w:r>
    </w:p>
    <w:p>
      <w:pPr>
        <w:spacing w:after="0" w:line="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authority of the Committee to grant and determine the terms and conditions of Awards granted under the Plan, subject to the requirements of</w:t>
      </w:r>
    </w:p>
    <w:p>
      <w:pPr>
        <w:spacing w:after="0" w:line="9" w:lineRule="exact"/>
        <w:rPr>
          <w:sz w:val="20"/>
          <w:szCs w:val="20"/>
          <w:color w:val="auto"/>
        </w:rPr>
      </w:pPr>
    </w:p>
    <w:p>
      <w:pPr>
        <w:ind w:left="4"/>
        <w:spacing w:after="0" w:line="251" w:lineRule="auto"/>
        <w:rPr>
          <w:sz w:val="20"/>
          <w:szCs w:val="20"/>
          <w:color w:val="auto"/>
        </w:rPr>
      </w:pPr>
      <w:r>
        <w:rPr>
          <w:rFonts w:ascii="Times New Roman" w:cs="Times New Roman" w:eastAsia="Times New Roman" w:hAnsi="Times New Roman"/>
          <w:sz w:val="18"/>
          <w:szCs w:val="18"/>
          <w:color w:val="auto"/>
        </w:rPr>
        <w:t>Section 157(c) of the Delaware General Corporation Law (or any successor provision) and such other limitations as the Committee shall determine. In no event shall any such delegation of authority be permitted with respect to Awards granted to any member of the Board or to any Eligible Person who is subject to Rule 16b-3 under the Exchange Act or is a “covered employee” under Section 162(m) of the Code (as determined in accordance with applicable guidance as of the applicable date of determination). The Committee shall also be permitted to delegate, to any appropriate officer or employee of the Company, responsibility for performing certain ministerial functions under the Plan. In the event that the Committee’s authority is delegated to officers or employees in accordance with the foregoing, all provisions of the Plan relating to the Committee shall be interpreted in a manner consistent with the foregoing by treating any such reference as a reference to such officer or employee for such purpose. Any action undertaken in accordance with the Committee’s delegation of authority hereunder shall have the same force and effect as if such action was undertaken directly by the Committee and shall be deemed for all purposes of the Plan to have been taken by the Committee.</w:t>
      </w:r>
    </w:p>
    <w:p>
      <w:pPr>
        <w:spacing w:after="0" w:line="85" w:lineRule="exact"/>
        <w:rPr>
          <w:sz w:val="20"/>
          <w:szCs w:val="20"/>
          <w:color w:val="auto"/>
        </w:rPr>
      </w:pPr>
    </w:p>
    <w:p>
      <w:pPr>
        <w:ind w:left="624" w:hanging="184"/>
        <w:spacing w:after="0"/>
        <w:tabs>
          <w:tab w:leader="none" w:pos="6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Shares Subject to the Plan</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i w:val="1"/>
          <w:iCs w:val="1"/>
          <w:color w:val="auto"/>
        </w:rPr>
        <w:t>Number of Shares Reserved.</w:t>
      </w:r>
      <w:r>
        <w:rPr>
          <w:rFonts w:ascii="Times New Roman" w:cs="Times New Roman" w:eastAsia="Times New Roman" w:hAnsi="Times New Roman"/>
          <w:sz w:val="18"/>
          <w:szCs w:val="18"/>
          <w:color w:val="auto"/>
        </w:rPr>
        <w:t xml:space="preserve"> Subject to adjustment as provided in Section 4.4 hereof and subject to Section 15.10 hereof, the total number of shares of Common Stock that are reserved for issuance under the Plan shall not exceed the sum of (a) 2,000,000, (b) the number of shares of Common Stock reserved under the Plan immediately prior to the Restatement Effective Date that are not issued or subject to outstanding awards as of the Restatement Effective Date, and (c) the additional shares of Common Stock described in Section 4.2 (such shares that are subject to clauses (a) and (b), the “</w:t>
      </w:r>
      <w:r>
        <w:rPr>
          <w:rFonts w:ascii="Times New Roman" w:cs="Times New Roman" w:eastAsia="Times New Roman" w:hAnsi="Times New Roman"/>
          <w:sz w:val="18"/>
          <w:szCs w:val="18"/>
          <w:i w:val="1"/>
          <w:iCs w:val="1"/>
          <w:color w:val="auto"/>
        </w:rPr>
        <w:t>Share Reserve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no more than twenty percent of the Share Reserve may be granted as Incentive Stock Options, subject to adjustment as provided in Section 4.4 hereof and the provisions of Sections 422 or 424 of the Code and any successor provisions;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nothing in this Plan requires any percentage of Awards (or Shares underlying Awards) to be granted as Incentive Stock Options. Each share of Common Stock subject to an Award granted on or after the Restatement Effective Date shall reduce the Share Reserve by one share;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Awards that are required to be paid in cash pursuant to their terms shall not reduce the Share Reserve. Any shares of Common Stock delivered under the Plan shall consist of authorized and unissued shares or treasury shares</w:t>
      </w:r>
      <w:r>
        <w:rPr>
          <w:rFonts w:ascii="Times New Roman" w:cs="Times New Roman" w:eastAsia="Times New Roman" w:hAnsi="Times New Roman"/>
          <w:sz w:val="18"/>
          <w:szCs w:val="18"/>
          <w:i w:val="1"/>
          <w:iCs w:val="1"/>
          <w:color w:val="auto"/>
        </w:rPr>
        <w:t>.</w:t>
      </w:r>
    </w:p>
    <w:p>
      <w:pPr>
        <w:spacing w:after="0" w:line="77" w:lineRule="exact"/>
        <w:rPr>
          <w:sz w:val="20"/>
          <w:szCs w:val="20"/>
          <w:color w:val="auto"/>
        </w:rPr>
      </w:pPr>
    </w:p>
    <w:p>
      <w:pPr>
        <w:ind w:left="4" w:right="160" w:firstLine="440"/>
        <w:spacing w:after="0" w:line="267"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i w:val="1"/>
          <w:iCs w:val="1"/>
          <w:color w:val="auto"/>
        </w:rPr>
        <w:t>Share Replenishment</w:t>
      </w:r>
      <w:r>
        <w:rPr>
          <w:rFonts w:ascii="Times New Roman" w:cs="Times New Roman" w:eastAsia="Times New Roman" w:hAnsi="Times New Roman"/>
          <w:sz w:val="18"/>
          <w:szCs w:val="18"/>
          <w:color w:val="auto"/>
        </w:rPr>
        <w:t>. To the extent that an Award granted under this Plan is canceled, expired, forfeited, surrendered, settled by delivery of fewer shares than the number underlying the Award, settled in cash or otherwise terminated without delivery of the shares to the Participant, the shares of Common Stock retained by or returned to the Company will (i) not be deemed to have been delivered under the</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12" w:name="page13"/>
    <w:bookmarkEnd w:id="12"/>
    <w:p>
      <w:pPr>
        <w:ind w:left="4"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Plan, (ii) be available for future Awards under the Plan, and (iii) increase the Share Reserve by one share for each share that is retained by or returned to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notwithstanding the foregoing, shares that are (x) withheld from an Award or separately surrendered by the Participant in payment of the exercise or purchase price or taxes relating to such an Award or (y) not issued or delivered as a result of the net settlement of an outstanding Stock Option or Stock Appreciation Right, shall be deemed to constitute delivered shares, shall count against the Share Reserve and not be available for future Awards under the Plan and shall continue to be counted as outstanding for purposes of determining whether any of the Award limits specified in Section 4.3 have been attained.</w:t>
      </w:r>
    </w:p>
    <w:p>
      <w:pPr>
        <w:spacing w:after="0" w:line="77"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i w:val="1"/>
          <w:iCs w:val="1"/>
          <w:color w:val="auto"/>
        </w:rPr>
        <w:t>Maximum Compensation to Non-Employee Directors</w:t>
      </w:r>
      <w:r>
        <w:rPr>
          <w:rFonts w:ascii="Times New Roman" w:cs="Times New Roman" w:eastAsia="Times New Roman" w:hAnsi="Times New Roman"/>
          <w:sz w:val="18"/>
          <w:szCs w:val="18"/>
          <w:color w:val="auto"/>
        </w:rPr>
        <w:t>. The maximum value of Awards granted to any Non-Employee Director during any calendar year, taken together with any cash fees paid to such Non-Employee Director and the value of awards granted to such Non-Employee Director under any other equity compensation plan of the Company or a Subsidiary during any calendar year, shall be limited to (i) $1,250,000 in the first calendar year an individual becomes a Non-Employee Director and (ii) $750,000 in any other calendar year, in each case with the value of any such Awards granted being calculated as the aggregate grant date Fair Market Value (determined in accordance with ASC 718 and subject to adjustment as provided in Section 4.4 hereof); provided, however, that this limitation shall be determined without regard to amounts paid to a Non-Employee Director (including retirement benefits and severance payments) in respect of any services provided in any capacity (including employee or consultant) other than as a Non-Employee Director.</w:t>
      </w:r>
    </w:p>
    <w:p>
      <w:pPr>
        <w:spacing w:after="0" w:line="77" w:lineRule="exact"/>
        <w:rPr>
          <w:sz w:val="20"/>
          <w:szCs w:val="20"/>
          <w:color w:val="auto"/>
        </w:rPr>
      </w:pPr>
    </w:p>
    <w:p>
      <w:pPr>
        <w:ind w:left="4" w:right="80" w:firstLine="440"/>
        <w:spacing w:after="0" w:line="267" w:lineRule="auto"/>
        <w:rPr>
          <w:sz w:val="20"/>
          <w:szCs w:val="20"/>
          <w:color w:val="auto"/>
        </w:rPr>
      </w:pPr>
      <w:r>
        <w:rPr>
          <w:rFonts w:ascii="Times New Roman" w:cs="Times New Roman" w:eastAsia="Times New Roman" w:hAnsi="Times New Roman"/>
          <w:sz w:val="17"/>
          <w:szCs w:val="17"/>
          <w:color w:val="auto"/>
        </w:rPr>
        <w:t xml:space="preserve">4.4 </w:t>
      </w:r>
      <w:r>
        <w:rPr>
          <w:rFonts w:ascii="Times New Roman" w:cs="Times New Roman" w:eastAsia="Times New Roman" w:hAnsi="Times New Roman"/>
          <w:sz w:val="17"/>
          <w:szCs w:val="17"/>
          <w:i w:val="1"/>
          <w:iCs w:val="1"/>
          <w:color w:val="auto"/>
        </w:rPr>
        <w:t>Adjustments</w:t>
      </w:r>
      <w:r>
        <w:rPr>
          <w:rFonts w:ascii="Times New Roman" w:cs="Times New Roman" w:eastAsia="Times New Roman" w:hAnsi="Times New Roman"/>
          <w:sz w:val="17"/>
          <w:szCs w:val="17"/>
          <w:color w:val="auto"/>
        </w:rPr>
        <w:t>. If there shall occur any change with respect to the outstanding shares of Common Stock by reason of any recapitalization, reclassification, stock dividend, extraordinary dividend, stock split, reverse stock split or other distribution with respect to the shares of Common Stock or any merger, reorganization, consolidation, combination, spin-off, stock purchase or other similar corporate change or any other change affecting the Common Stock (other than regular cash dividends to shareholders of the Company), the Committee shall, in the manner and to the extent it considers equitable to the Participants and consistent with the terms of the Plan, cause an adjustment to be made to (i) the maximum number and kind of shares of Common Stock provided in Sections 4.1 and 4.3 hereof (including the maximum compensation that may become payable to a Non-Employee Director provided in Section 4.3 hereof), (ii) the number and kind of shares of Common Stock, units or other rights subject to then outstanding Awards, (iii) the exercise or base price for each share or unit or other right subject to then outstanding Awards, (iv) the maximum amount that may become payable to a Participant under Cash Awards provided in Section 10.6 hereof, (v) issue additional Awards or shares of Common Stock, issue dividend equivalent rights or make cash payments to the holders of outstanding Awards, in each case, on such terms and conditions as determined by the Committee, and/or</w:t>
      </w:r>
    </w:p>
    <w:p>
      <w:pPr>
        <w:spacing w:after="0" w:line="6" w:lineRule="exact"/>
        <w:rPr>
          <w:sz w:val="20"/>
          <w:szCs w:val="20"/>
          <w:color w:val="auto"/>
        </w:rPr>
      </w:pPr>
    </w:p>
    <w:p>
      <w:pPr>
        <w:ind w:left="4" w:hanging="4"/>
        <w:spacing w:after="0" w:line="255" w:lineRule="auto"/>
        <w:tabs>
          <w:tab w:leader="none" w:pos="30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an Award that are affected by the event. Notwithstanding the foregoing, (a) any such adjustments shall, to the extent necessary, be made in a manner consistent with the requirements of Section 409A of the Code and, (b) in the case of Incentive Stock Options, any such adjustments shall, to the extent practicable, be made in a manner consistent with the requirements of Sections 422 and 424(a) of the Code.</w:t>
      </w:r>
    </w:p>
    <w:p>
      <w:pPr>
        <w:spacing w:after="0" w:line="77"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Eligibility and Awards</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left="4"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i w:val="1"/>
          <w:iCs w:val="1"/>
          <w:color w:val="auto"/>
        </w:rPr>
        <w:t>Designation of Participants</w:t>
      </w:r>
      <w:r>
        <w:rPr>
          <w:rFonts w:ascii="Times New Roman" w:cs="Times New Roman" w:eastAsia="Times New Roman" w:hAnsi="Times New Roman"/>
          <w:sz w:val="18"/>
          <w:szCs w:val="18"/>
          <w:color w:val="auto"/>
        </w:rPr>
        <w:t>. Any Eligible Person may be selected by the Committee to receive an Award and become a Participant under the Plan. The Committee has the authority, in its discretion, to determine and designate from time to time those Eligible Persons who are to be granted Awards, the types of Awards to be granted, the number of shares of Common Stock or units subject to Awards to be granted, the terms and conditions of such Awards consistent with the terms of the Plan, and to grant any such Awards. In selecting Eligible Persons to be Participants and in determining the type and amount of Awards to be granted under the Plan, the Committee shall consider any and all factors that it deems relevant or appropriate. Designation of a Participant in any year shall not require the Committee to designate such person to receive an Award in any other year or, once designated, to receive the same type or amount of Award as granted to the Participant in any other year.</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70" w:right="459" w:bottom="1440" w:gutter="0" w:footer="0" w:header="0"/>
        </w:sectPr>
      </w:pPr>
    </w:p>
    <w:bookmarkStart w:id="13" w:name="page14"/>
    <w:bookmarkEnd w:id="13"/>
    <w:p>
      <w:pPr>
        <w:ind w:right="20" w:firstLine="440"/>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5.2 </w:t>
      </w:r>
      <w:r>
        <w:rPr>
          <w:rFonts w:ascii="Times New Roman" w:cs="Times New Roman" w:eastAsia="Times New Roman" w:hAnsi="Times New Roman"/>
          <w:sz w:val="18"/>
          <w:szCs w:val="18"/>
          <w:i w:val="1"/>
          <w:iCs w:val="1"/>
          <w:color w:val="auto"/>
        </w:rPr>
        <w:t>Determination of Awards</w:t>
      </w:r>
      <w:r>
        <w:rPr>
          <w:rFonts w:ascii="Times New Roman" w:cs="Times New Roman" w:eastAsia="Times New Roman" w:hAnsi="Times New Roman"/>
          <w:sz w:val="18"/>
          <w:szCs w:val="18"/>
          <w:color w:val="auto"/>
        </w:rPr>
        <w:t>. The Committee shall determine the terms and conditions of all Awards granted to Participants in accordance with its authority under Section 3.2 hereof. An Award may consist of one type of right or benefit hereunder or of two or more such rights or benefits granted in tandem.</w:t>
      </w:r>
    </w:p>
    <w:p>
      <w:pPr>
        <w:spacing w:after="0" w:line="65" w:lineRule="exact"/>
        <w:rPr>
          <w:sz w:val="20"/>
          <w:szCs w:val="20"/>
          <w:color w:val="auto"/>
        </w:rPr>
      </w:pPr>
    </w:p>
    <w:p>
      <w:pPr>
        <w:jc w:val="both"/>
        <w:ind w:right="340" w:firstLine="440"/>
        <w:spacing w:after="0" w:line="315" w:lineRule="auto"/>
        <w:rPr>
          <w:sz w:val="20"/>
          <w:szCs w:val="20"/>
          <w:color w:val="auto"/>
        </w:rPr>
      </w:pPr>
      <w:r>
        <w:rPr>
          <w:rFonts w:ascii="Times New Roman" w:cs="Times New Roman" w:eastAsia="Times New Roman" w:hAnsi="Times New Roman"/>
          <w:sz w:val="17"/>
          <w:szCs w:val="17"/>
          <w:color w:val="auto"/>
        </w:rPr>
        <w:t xml:space="preserve">5.3 </w:t>
      </w:r>
      <w:r>
        <w:rPr>
          <w:rFonts w:ascii="Times New Roman" w:cs="Times New Roman" w:eastAsia="Times New Roman" w:hAnsi="Times New Roman"/>
          <w:sz w:val="17"/>
          <w:szCs w:val="17"/>
          <w:i w:val="1"/>
          <w:iCs w:val="1"/>
          <w:color w:val="auto"/>
        </w:rPr>
        <w:t>Award Agreements</w:t>
      </w:r>
      <w:r>
        <w:rPr>
          <w:rFonts w:ascii="Times New Roman" w:cs="Times New Roman" w:eastAsia="Times New Roman" w:hAnsi="Times New Roman"/>
          <w:sz w:val="17"/>
          <w:szCs w:val="17"/>
          <w:color w:val="auto"/>
        </w:rPr>
        <w:t>. Each Award granted to an Eligible Person under the Plan will be represented in an Award Agreement. The terms of all Awards under the Plan, as determined by the Committee, will be set forth in each individual Award Agreements as described in Section 15.2 hereof.</w:t>
      </w:r>
    </w:p>
    <w:p>
      <w:pPr>
        <w:spacing w:after="0" w:line="27"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i w:val="1"/>
          <w:iCs w:val="1"/>
          <w:color w:val="auto"/>
        </w:rPr>
        <w:t>Corporate Action Constituting Grant of Awards</w:t>
      </w:r>
      <w:r>
        <w:rPr>
          <w:rFonts w:ascii="Times New Roman" w:cs="Times New Roman" w:eastAsia="Times New Roman" w:hAnsi="Times New Roman"/>
          <w:sz w:val="18"/>
          <w:szCs w:val="18"/>
          <w:color w:val="auto"/>
        </w:rPr>
        <w:t>. Corporate action constituting a grant by the Company of an Award to any Participant will be deemed completed as of the date of such corporate action, unless otherwise determined by the Committee in the resolutions comprising such corporate action, regardless of when the instrument, certificate or letter evidencing the Award is communicated to, or actually received or accepted by, the Participant. In the event that the corporate records (e.g., Committee consents, resolutions or minutes) documenting the corporate action constituting the Award grant contain terms (e.g., exercise price, vesting schedule or number of shares) that are inconsistent with those in the Award Agreement or related grant documents as a result of a clerical error in the papering of the Award Agreement or related grant documents, the corporate records will control and the Participant will have no legally binding right to the incorrect term in the Award Agreement or related grant documents.</w:t>
      </w:r>
    </w:p>
    <w:p>
      <w:pPr>
        <w:spacing w:after="0" w:line="75"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i w:val="1"/>
          <w:iCs w:val="1"/>
          <w:color w:val="auto"/>
        </w:rPr>
        <w:t>Restrictions on Dividend Payments and Other Distributions.</w:t>
      </w:r>
      <w:r>
        <w:rPr>
          <w:rFonts w:ascii="Times New Roman" w:cs="Times New Roman" w:eastAsia="Times New Roman" w:hAnsi="Times New Roman"/>
          <w:sz w:val="18"/>
          <w:szCs w:val="18"/>
          <w:color w:val="auto"/>
        </w:rPr>
        <w:t xml:space="preserve"> Notwithstanding anything to the contrary in this Plan or any Award Agreement, if any rights to dividends or other distributions (including through the grant of dividend equivalent rights) are provided for with respect to an Award, any such dividends or distributions will only be paid or distributed if and when the vesting restrictions of that Award lapse. Any such dividends or other distributions will accumulate without interest until the date upon which the underlying or associated Award becomes vested, and, in any case, any dividend or other distributions accrued with respect to Awards that are forfeited will automatically be forfeited and inure to the benefit of the Company without further consideration or any act or action by the Participant.</w:t>
      </w:r>
    </w:p>
    <w:p>
      <w:pPr>
        <w:spacing w:after="0" w:line="74" w:lineRule="exact"/>
        <w:rPr>
          <w:sz w:val="20"/>
          <w:szCs w:val="20"/>
          <w:color w:val="auto"/>
        </w:rPr>
      </w:pPr>
    </w:p>
    <w:p>
      <w:pPr>
        <w:ind w:right="20" w:firstLine="440"/>
        <w:spacing w:after="0" w:line="277" w:lineRule="auto"/>
        <w:rPr>
          <w:sz w:val="20"/>
          <w:szCs w:val="20"/>
          <w:color w:val="auto"/>
        </w:rPr>
      </w:pPr>
      <w:r>
        <w:rPr>
          <w:rFonts w:ascii="Times New Roman" w:cs="Times New Roman" w:eastAsia="Times New Roman" w:hAnsi="Times New Roman"/>
          <w:sz w:val="17"/>
          <w:szCs w:val="17"/>
          <w:color w:val="auto"/>
        </w:rPr>
        <w:t xml:space="preserve">5.6 </w:t>
      </w:r>
      <w:r>
        <w:rPr>
          <w:rFonts w:ascii="Times New Roman" w:cs="Times New Roman" w:eastAsia="Times New Roman" w:hAnsi="Times New Roman"/>
          <w:sz w:val="17"/>
          <w:szCs w:val="17"/>
          <w:i w:val="1"/>
          <w:iCs w:val="1"/>
          <w:color w:val="auto"/>
        </w:rPr>
        <w:t>Minimum Vesting/Acceleration Restrictions.</w:t>
      </w:r>
      <w:r>
        <w:rPr>
          <w:rFonts w:ascii="Times New Roman" w:cs="Times New Roman" w:eastAsia="Times New Roman" w:hAnsi="Times New Roman"/>
          <w:sz w:val="17"/>
          <w:szCs w:val="17"/>
          <w:color w:val="auto"/>
        </w:rPr>
        <w:t xml:space="preserve"> Notwithstanding anything to the contrary in this Plan or any Award Agreement, no portion of any Award will vest prior to the first anniversary of the Date of Grant of that Award; provided, that (i) if so provided in an applicable Award Agreement, vesting may accelerate in connection with death, Disability or a Change in Control (or termination of employment occurring in connection with a Change in Control) and (ii) in addition to any amounts that become accelerated under the preceding clause (i), up to five percent (5%) of the Shares authorized for grant pursuant to Section 4.1, as amended from time to time, may be granted without regard to any limitation provided in this Section 5.6.</w:t>
      </w:r>
    </w:p>
    <w:p>
      <w:pPr>
        <w:spacing w:after="0" w:line="62" w:lineRule="exact"/>
        <w:rPr>
          <w:sz w:val="20"/>
          <w:szCs w:val="20"/>
          <w:color w:val="auto"/>
        </w:rPr>
      </w:pPr>
    </w:p>
    <w:p>
      <w:pPr>
        <w:ind w:left="620" w:hanging="184"/>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Options</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right="140" w:firstLine="440"/>
        <w:spacing w:after="0" w:line="267"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i w:val="1"/>
          <w:iCs w:val="1"/>
          <w:color w:val="auto"/>
        </w:rPr>
        <w:t>Grant of Stock Options</w:t>
      </w:r>
      <w:r>
        <w:rPr>
          <w:rFonts w:ascii="Times New Roman" w:cs="Times New Roman" w:eastAsia="Times New Roman" w:hAnsi="Times New Roman"/>
          <w:sz w:val="18"/>
          <w:szCs w:val="18"/>
          <w:color w:val="auto"/>
        </w:rPr>
        <w:t>. A Stock Option may be granted to any Eligible Person selected by the Committee, except that an Incentive Stock Option may only be granted to an Eligible Person satisfying the conditions of Section 6.7(a) hereof. Each Stock Option shall be designated on the Date of Grant, in the discretion of the Committee, as an Incentive Stock Option or as a Nonqualified Stock Option.</w:t>
      </w:r>
    </w:p>
    <w:p>
      <w:pPr>
        <w:spacing w:after="0" w:line="65" w:lineRule="exact"/>
        <w:rPr>
          <w:sz w:val="20"/>
          <w:szCs w:val="20"/>
          <w:color w:val="auto"/>
        </w:rPr>
      </w:pPr>
    </w:p>
    <w:p>
      <w:pPr>
        <w:jc w:val="both"/>
        <w:ind w:firstLine="440"/>
        <w:spacing w:after="0" w:line="267"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i w:val="1"/>
          <w:iCs w:val="1"/>
          <w:color w:val="auto"/>
        </w:rPr>
        <w:t>Exercise Price</w:t>
      </w:r>
      <w:r>
        <w:rPr>
          <w:rFonts w:ascii="Times New Roman" w:cs="Times New Roman" w:eastAsia="Times New Roman" w:hAnsi="Times New Roman"/>
          <w:sz w:val="18"/>
          <w:szCs w:val="18"/>
          <w:color w:val="auto"/>
        </w:rPr>
        <w:t>. The exercise price per share of a Stock Option shall not be less than one hundred percent (100%) of the Fair Market Value of a share of Common Stock on the Date of Grant. The Committee may in its discretion specify an exercise price per share that is higher than the Fair Market Value of a share of Common Stock on the Date of Grant.</w:t>
      </w:r>
    </w:p>
    <w:p>
      <w:pPr>
        <w:spacing w:after="0" w:line="65"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i w:val="1"/>
          <w:iCs w:val="1"/>
          <w:color w:val="auto"/>
        </w:rPr>
        <w:t>Vesting of Stock Options</w:t>
      </w:r>
      <w:r>
        <w:rPr>
          <w:rFonts w:ascii="Times New Roman" w:cs="Times New Roman" w:eastAsia="Times New Roman" w:hAnsi="Times New Roman"/>
          <w:sz w:val="18"/>
          <w:szCs w:val="18"/>
          <w:color w:val="auto"/>
        </w:rPr>
        <w:t>. The Committee shall, in its discretion, prescribe the time or times at which or the conditions upon which, a Stock Option or portion thereof shall become vested and/or exercisable. The requirements for vesting and exercisability of a Stock Option may be based on the continued Service of the Participant with the Company or a Subsidiary for a specified time period (or periods), on the attainment of a specified Performance Goal(s) or on such other terms and conditions as approved by the Committee in its discretion, all as set forth in the Award Agreement. The Committee may accelerate the vesting or exercisability of any Stock Option, including, without limitation, upon a Change in Control or upon termination of Service under certain circumstances, in each case, as set forth in the Award Agreement or the Committee’s subsequent resolutions. If the vesting requirements of a Stock Option are not satisfied, the Award shall be forfeited as set forth in the Award Agreement.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68" w:right="459" w:bottom="1440" w:gutter="0" w:footer="0" w:header="0"/>
        </w:sectPr>
      </w:pPr>
    </w:p>
    <w:bookmarkStart w:id="14" w:name="page15"/>
    <w:bookmarkEnd w:id="14"/>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6.4 </w:t>
      </w:r>
      <w:r>
        <w:rPr>
          <w:rFonts w:ascii="Times New Roman" w:cs="Times New Roman" w:eastAsia="Times New Roman" w:hAnsi="Times New Roman"/>
          <w:sz w:val="18"/>
          <w:szCs w:val="18"/>
          <w:i w:val="1"/>
          <w:iCs w:val="1"/>
          <w:color w:val="auto"/>
        </w:rPr>
        <w:t>Term of Stock Options</w:t>
      </w:r>
      <w:r>
        <w:rPr>
          <w:rFonts w:ascii="Times New Roman" w:cs="Times New Roman" w:eastAsia="Times New Roman" w:hAnsi="Times New Roman"/>
          <w:sz w:val="18"/>
          <w:szCs w:val="18"/>
          <w:color w:val="auto"/>
        </w:rPr>
        <w:t xml:space="preserve">. The Committee shall in its discretion prescribe in an Award Agreement the period during which a vested Stock Option may be exercised;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maximum term of a Stock Option shall be ten (10) years from the Date of Grant. The Committee may provide that a Stock Option will cease to be exercisable upon or at the end of a specified time period following a termination of Service for any reason as set forth in the Award Agreement or otherwise.</w:t>
      </w:r>
    </w:p>
    <w:p>
      <w:pPr>
        <w:spacing w:after="0" w:line="7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i w:val="1"/>
          <w:iCs w:val="1"/>
          <w:color w:val="auto"/>
        </w:rPr>
        <w:t>Stock Option Exercise; Tax Withholding</w:t>
      </w:r>
      <w:r>
        <w:rPr>
          <w:rFonts w:ascii="Times New Roman" w:cs="Times New Roman" w:eastAsia="Times New Roman" w:hAnsi="Times New Roman"/>
          <w:sz w:val="18"/>
          <w:szCs w:val="18"/>
          <w:color w:val="auto"/>
        </w:rPr>
        <w:t>. Subject to such terms and conditions as specified in an Award Agreement, a Stock Option may be exercised in whole or in part at any time during the term thereof by notice in the form required by the Company, together with payment of the aggregate exercise price and applicable withholding tax. Payment of the exercise price shall be made: (i) in cash or by cash equivalent acceptable to the Committee, or, (ii) to the extent permitted by the Committee in its sole discretion and set forth in the Award Agreement, (A) in shares of Common Stock valued at the Fair Market Value of such shares on the date of exercise, (B) through an open-market, broker-assisted sales transaction pursuant to which the Company is promptly delivered the amount of proceeds necessary to satisfy the exercise price, (C) by reducing the number of shares of Common Stock otherwise deliverable upon the exercise of the Stock Option by the number of shares of Common Stock having a Fair Market Value on the date of exercise equal to the exercise price, (D) by a combination of the methods described above or (E) by such other method as may be approved by the Committee and set forth in the Award Agreement. In addition to and at the time of payment of the exercise price, the Participant shall pay to the Company the full amount of any and all applicable income tax, employment tax and other amounts required to be withheld in connection with such exercise, payable by such of the methods described above for the payment of the exercise price as may be approved by the Committee and set forth in the Award Agreement.</w:t>
      </w:r>
    </w:p>
    <w:p>
      <w:pPr>
        <w:spacing w:after="0" w:line="82" w:lineRule="exact"/>
        <w:rPr>
          <w:sz w:val="20"/>
          <w:szCs w:val="20"/>
          <w:color w:val="auto"/>
        </w:rPr>
      </w:pPr>
    </w:p>
    <w:p>
      <w:pPr>
        <w:jc w:val="both"/>
        <w:ind w:right="160" w:firstLine="440"/>
        <w:spacing w:after="0" w:line="267"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i w:val="1"/>
          <w:iCs w:val="1"/>
          <w:color w:val="auto"/>
        </w:rPr>
        <w:t>Limited Transferability of Nonqualified Stock Options</w:t>
      </w:r>
      <w:r>
        <w:rPr>
          <w:rFonts w:ascii="Times New Roman" w:cs="Times New Roman" w:eastAsia="Times New Roman" w:hAnsi="Times New Roman"/>
          <w:sz w:val="18"/>
          <w:szCs w:val="18"/>
          <w:color w:val="auto"/>
        </w:rPr>
        <w:t>. All Nonqualified Stock Options shall be exercisable during the Participant’s lifetime only by the Participant or by the Participant’s guardian or legal representative. The Nonqualified Stock Options and the rights and privileges conferred thereby shall be non-transferable, except as otherwise provided in Section 15.3 hereof.</w:t>
      </w:r>
    </w:p>
    <w:p>
      <w:pPr>
        <w:spacing w:after="0" w:line="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i w:val="1"/>
          <w:iCs w:val="1"/>
          <w:color w:val="auto"/>
        </w:rPr>
        <w:t>Additional Rules for Incentive Stock Options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500" w:firstLine="987"/>
        <w:spacing w:after="0" w:line="267" w:lineRule="auto"/>
        <w:tabs>
          <w:tab w:leader="none" w:pos="123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 An Incentive Stock Option may only be granted to an Eligible Person who is considered an employee for purposes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Treasury Regulation §1.421-1(h) with respect to the Company or any Subsidiary that qualifies as a “subsidiary corporation” with respect to the Company for purposes of Section 424(f) of the Code.</w:t>
      </w:r>
    </w:p>
    <w:p>
      <w:pPr>
        <w:spacing w:after="0" w:line="65" w:lineRule="exact"/>
        <w:rPr>
          <w:rFonts w:ascii="Times New Roman" w:cs="Times New Roman" w:eastAsia="Times New Roman" w:hAnsi="Times New Roman"/>
          <w:sz w:val="18"/>
          <w:szCs w:val="18"/>
          <w:color w:val="auto"/>
        </w:rPr>
      </w:pPr>
    </w:p>
    <w:p>
      <w:pPr>
        <w:ind w:right="20" w:firstLine="987"/>
        <w:spacing w:after="0" w:line="258" w:lineRule="auto"/>
        <w:tabs>
          <w:tab w:leader="none" w:pos="124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Annual Limits</w:t>
      </w:r>
      <w:r>
        <w:rPr>
          <w:rFonts w:ascii="Times New Roman" w:cs="Times New Roman" w:eastAsia="Times New Roman" w:hAnsi="Times New Roman"/>
          <w:sz w:val="18"/>
          <w:szCs w:val="18"/>
          <w:color w:val="auto"/>
        </w:rPr>
        <w:t>. No Incentive Stock Option shall be granted to a Participant as a result of which the aggregate Fair Market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(determined as of the Date of Grant) of the Common Stock with respect to which incentive stock options under Section 422 of the Code are exercisable for the first time in any calendar year under the Plan and any other stock option plans of the Company or any subsidiary or parent corporation, would exceed $100,000, determined in accordance with Section 422(d) of the Code. This limitation shall be applied by taking such incentive stock options into account in the order in which they were granted.</w:t>
      </w:r>
    </w:p>
    <w:p>
      <w:pPr>
        <w:spacing w:after="0" w:line="75" w:lineRule="exact"/>
        <w:rPr>
          <w:rFonts w:ascii="Times New Roman" w:cs="Times New Roman" w:eastAsia="Times New Roman" w:hAnsi="Times New Roman"/>
          <w:sz w:val="18"/>
          <w:szCs w:val="18"/>
          <w:color w:val="auto"/>
        </w:rPr>
      </w:pPr>
    </w:p>
    <w:p>
      <w:pPr>
        <w:jc w:val="both"/>
        <w:ind w:right="120" w:firstLine="987"/>
        <w:spacing w:after="0" w:line="261" w:lineRule="auto"/>
        <w:tabs>
          <w:tab w:leader="none" w:pos="123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Additional Limitations</w:t>
      </w:r>
      <w:r>
        <w:rPr>
          <w:rFonts w:ascii="Times New Roman" w:cs="Times New Roman" w:eastAsia="Times New Roman" w:hAnsi="Times New Roman"/>
          <w:sz w:val="18"/>
          <w:szCs w:val="18"/>
          <w:color w:val="auto"/>
        </w:rPr>
        <w:t>. In the case of any Incentive Stock Option granted to an Eligible Person who owns, either directly or indirectly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(taking into account the attribution rules contained in Section 424(d) of the Code), stock possessing more than ten percent (10%) of the total combined voting power of all classes of stock of the Company or any Subsidiary, the exercise price shall not be less than one hundred ten percent (110%) of the Fair Market Value of a share of Common Stock on the Date of Grant and the maximum term shall be five (5) years.</w:t>
      </w:r>
    </w:p>
    <w:p>
      <w:pPr>
        <w:spacing w:after="0" w:line="1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40" w:top="268" w:right="479" w:bottom="1440" w:gutter="0" w:footer="0" w:header="0"/>
        </w:sectPr>
      </w:pPr>
    </w:p>
    <w:bookmarkStart w:id="15" w:name="page16"/>
    <w:bookmarkEnd w:id="15"/>
    <w:p>
      <w:pPr>
        <w:ind w:left="4" w:right="20" w:firstLine="987"/>
        <w:spacing w:after="0" w:line="277" w:lineRule="auto"/>
        <w:tabs>
          <w:tab w:leader="none" w:pos="125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Termination of Employment</w:t>
      </w:r>
      <w:r>
        <w:rPr>
          <w:rFonts w:ascii="Times New Roman" w:cs="Times New Roman" w:eastAsia="Times New Roman" w:hAnsi="Times New Roman"/>
          <w:sz w:val="17"/>
          <w:szCs w:val="17"/>
          <w:color w:val="auto"/>
        </w:rPr>
        <w:t>. An Award of an Incentive Stock Option shall provide that such Stock Option may be exercised not later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than (i) three (3) months following termination of employment of the Participant with the Company and all Subsidiaries (other than as set forth in clause</w:t>
      </w:r>
    </w:p>
    <w:p>
      <w:pPr>
        <w:spacing w:after="0" w:line="1" w:lineRule="exact"/>
        <w:rPr>
          <w:rFonts w:ascii="Times New Roman" w:cs="Times New Roman" w:eastAsia="Times New Roman" w:hAnsi="Times New Roman"/>
          <w:sz w:val="17"/>
          <w:szCs w:val="17"/>
          <w:color w:val="auto"/>
        </w:rPr>
      </w:pPr>
    </w:p>
    <w:p>
      <w:pPr>
        <w:ind w:left="4" w:right="40" w:hanging="4"/>
        <w:spacing w:after="0" w:line="255" w:lineRule="auto"/>
        <w:tabs>
          <w:tab w:leader="none" w:pos="26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Section 6.7(d)) or (ii) one year following termination of employment of the Participant with the Company and all Subsidiaries due to death or permanent and total disability within the meaning of Section 22(e)(3) of the Code, in each case as and to the extent determined by the Committee to comply with the requirements of Section 422 of the Code.</w:t>
      </w:r>
    </w:p>
    <w:p>
      <w:pPr>
        <w:spacing w:after="0" w:line="75" w:lineRule="exact"/>
        <w:rPr>
          <w:rFonts w:ascii="Times New Roman" w:cs="Times New Roman" w:eastAsia="Times New Roman" w:hAnsi="Times New Roman"/>
          <w:sz w:val="18"/>
          <w:szCs w:val="18"/>
          <w:color w:val="auto"/>
        </w:rPr>
      </w:pPr>
    </w:p>
    <w:p>
      <w:pPr>
        <w:ind w:left="4" w:right="20" w:firstLine="987"/>
        <w:spacing w:after="0" w:line="255" w:lineRule="auto"/>
        <w:tabs>
          <w:tab w:leader="none" w:pos="12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Terms and Conditions; Nontransferability</w:t>
      </w:r>
      <w:r>
        <w:rPr>
          <w:rFonts w:ascii="Times New Roman" w:cs="Times New Roman" w:eastAsia="Times New Roman" w:hAnsi="Times New Roman"/>
          <w:sz w:val="18"/>
          <w:szCs w:val="18"/>
          <w:color w:val="auto"/>
        </w:rPr>
        <w:t>. No Incentive Stock Options granted under the Plan may be granted more than ten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 years following the date that the Plan is adopted or the date the Plan is approved by the Company’s stockholders, whichever is earlier. The Award Agreement representing any Incentive Stock Option granted hereunder shall contain such additional terms and conditions, not inconsistent with the terms of the Plan, as are deemed necessary or desirable by the Committee, which terms, together with the terms of the Plan, shall be intended and interpreted to cause such Incentive Stock Option to qualify as an “incentive stock option” under Section 422 of the Code. A Stock Option that is granted as an Incentive Stock Option shall, to the extent it fails to qualify as an “incentive stock option” under the Code, be treated as a Nonqualified Stock Option. An Incentive Stock Option shall by its terms be nontransferable other than by will or by the laws of descent and distribution, and shall be exercisable during the lifetime of a Participant only by such Participant.</w:t>
      </w:r>
    </w:p>
    <w:p>
      <w:pPr>
        <w:spacing w:after="0" w:line="76" w:lineRule="exact"/>
        <w:rPr>
          <w:rFonts w:ascii="Times New Roman" w:cs="Times New Roman" w:eastAsia="Times New Roman" w:hAnsi="Times New Roman"/>
          <w:sz w:val="18"/>
          <w:szCs w:val="18"/>
          <w:color w:val="auto"/>
        </w:rPr>
      </w:pPr>
    </w:p>
    <w:p>
      <w:pPr>
        <w:ind w:left="4" w:right="180" w:firstLine="987"/>
        <w:spacing w:after="0" w:line="261" w:lineRule="auto"/>
        <w:tabs>
          <w:tab w:leader="none" w:pos="12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Disqualifying Dispositions</w:t>
      </w:r>
      <w:r>
        <w:rPr>
          <w:rFonts w:ascii="Times New Roman" w:cs="Times New Roman" w:eastAsia="Times New Roman" w:hAnsi="Times New Roman"/>
          <w:sz w:val="18"/>
          <w:szCs w:val="18"/>
          <w:color w:val="auto"/>
        </w:rPr>
        <w:t>. If shares of Common Stock acquired by exercise of an Incentive Stock Option are disposed of within two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years following the Date of Grant or one year following the transfer of such shares to the Participant upon exercise, the Participant shall, promptly following such disposition, notify the Company in writing of the date and terms of such disposition and provide such other information regarding the disposition as the Company may reasonably require.</w:t>
      </w:r>
    </w:p>
    <w:p>
      <w:pPr>
        <w:spacing w:after="0" w:line="72" w:lineRule="exact"/>
        <w:rPr>
          <w:sz w:val="20"/>
          <w:szCs w:val="20"/>
          <w:color w:val="auto"/>
        </w:rPr>
      </w:pPr>
    </w:p>
    <w:p>
      <w:pPr>
        <w:ind w:left="4" w:right="1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i w:val="1"/>
          <w:iCs w:val="1"/>
          <w:color w:val="auto"/>
        </w:rPr>
        <w:t>Repricing Prohibited.</w:t>
      </w:r>
      <w:r>
        <w:rPr>
          <w:rFonts w:ascii="Times New Roman" w:cs="Times New Roman" w:eastAsia="Times New Roman" w:hAnsi="Times New Roman"/>
          <w:sz w:val="18"/>
          <w:szCs w:val="18"/>
          <w:color w:val="auto"/>
        </w:rPr>
        <w:t xml:space="preserve"> Subject to the anti-dilution adjustment provisions contained in Section 4.4 hereof and the provisions of Section 12 hereof, without the prior approval of the Company’s stockholders, neither the Committee nor the Board shall (a) cancel a Stock Option previously granted under the Plan in exchange for cash or another Award when the exercise price per share under such Stock Option then exceeds the Fair Market Value of one share of Common Stock, (b) cause the cancellation, substitution or amendment of a Stock Option previously granted under the Plan that would have the effect of reducing the exercise price of such Stock Option or (c) otherwise approve any modification to a Stock Option previously granted under the Plan that would be treated as a “repricing” under the then applicable rules, regulations or listing requirements adopted by The NASDAQ Global Market or other principal exchange on which the Common Stock is then listed.</w:t>
      </w:r>
    </w:p>
    <w:p>
      <w:pPr>
        <w:spacing w:after="0" w:line="77" w:lineRule="exact"/>
        <w:rPr>
          <w:sz w:val="20"/>
          <w:szCs w:val="20"/>
          <w:color w:val="auto"/>
        </w:rPr>
      </w:pPr>
    </w:p>
    <w:p>
      <w:pPr>
        <w:ind w:left="624" w:hanging="184"/>
        <w:spacing w:after="0"/>
        <w:tabs>
          <w:tab w:leader="none" w:pos="6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Appreciation Rights</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left="4" w:right="1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i w:val="1"/>
          <w:iCs w:val="1"/>
          <w:color w:val="auto"/>
        </w:rPr>
        <w:t>Grant of Stock Appreciation Rights</w:t>
      </w:r>
      <w:r>
        <w:rPr>
          <w:rFonts w:ascii="Times New Roman" w:cs="Times New Roman" w:eastAsia="Times New Roman" w:hAnsi="Times New Roman"/>
          <w:sz w:val="18"/>
          <w:szCs w:val="18"/>
          <w:color w:val="auto"/>
        </w:rPr>
        <w:t>. Stock Appreciation Rights may be granted to any Eligible Person selected by the Committee. Stock Appreciation Rights may be granted on a basis that allows for the exercise of the right by the Participant or that provides for the automatic payment of the right upon a specified date or event, in either case, as set forth in the Award Agreement representing such Stock Appreciation Rights. Stock Appreciation Rights and the rights and privileges conferred thereby shall be non-transferable, except as provided in Section 15.3 hereof.</w:t>
      </w:r>
    </w:p>
    <w:p>
      <w:pPr>
        <w:spacing w:after="0" w:line="72"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i w:val="1"/>
          <w:iCs w:val="1"/>
          <w:color w:val="auto"/>
        </w:rPr>
        <w:t>Stand-Alone Stock Appreciation Rights</w:t>
      </w:r>
      <w:r>
        <w:rPr>
          <w:rFonts w:ascii="Times New Roman" w:cs="Times New Roman" w:eastAsia="Times New Roman" w:hAnsi="Times New Roman"/>
          <w:sz w:val="18"/>
          <w:szCs w:val="18"/>
          <w:color w:val="auto"/>
        </w:rPr>
        <w:t>. A Stock Appreciation Right may be granted without any related Stock Option. The Committee shall in its discretion provide in an Award Agreement the time or times at which or the conditions upon which, a Stock Appreciation Right or portion thereof shall become vested and/or exercisable. The requirements for vesting and exercisability of a Stock Appreciation Right may be based on the continued Service of a Participant with the Company or a Subsidiary for a specified time period (or periods), on the attainment of a specified Performance Goal(s) or on such other terms and conditions as approved by the Committee in its discretion, all as set forth in the Award Agreement. If the vesting requirements of a Stock Appreciation Right are not satisfied, the Award shall be forfeited as set forth in the Award Agreement. The Committee may accelerate the vesting or exercisability of any Stock Appreciation Right, including, without limitation, upon a Change in Control or upon termination of Service</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4"/>
          </w:cols>
          <w:pgMar w:left="436" w:top="268" w:right="479" w:bottom="1440" w:gutter="0" w:footer="0" w:header="0"/>
        </w:sectPr>
      </w:pPr>
    </w:p>
    <w:bookmarkStart w:id="16" w:name="page17"/>
    <w:bookmarkEnd w:id="16"/>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under certain circumstances, in each case, as set forth in the Award Agreement or the Committee’s subsequent resolutions. A Stock Appreciation Right will be exercisable or payable at such time or times as determined by the Committee as set forth in the Award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maximum term of a Stock Appreciation Right shall be ten (10) years from the Date of Grant. The Committee may provide that a Stock Appreciation Right will cease to be exercisable upon or at the end of a period following a termination of Service for any reason as set forth in the Award Agreement. The base price of a Stock Appreciation Right granted without any related Stock Option shall be determined by the Committee in its discretion;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base price per share of any such stand-alone Stock Appreciation Right shall not be less than one hundred percent (100%) of the Fair Market Value of a share of Common Stock on the Date of Grant.</w:t>
      </w:r>
    </w:p>
    <w:p>
      <w:pPr>
        <w:spacing w:after="0" w:line="79"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i w:val="1"/>
          <w:iCs w:val="1"/>
          <w:color w:val="auto"/>
        </w:rPr>
        <w:t>Tandem Stock Option/Stock Appreciation Rights</w:t>
      </w:r>
      <w:r>
        <w:rPr>
          <w:rFonts w:ascii="Times New Roman" w:cs="Times New Roman" w:eastAsia="Times New Roman" w:hAnsi="Times New Roman"/>
          <w:sz w:val="18"/>
          <w:szCs w:val="18"/>
          <w:color w:val="auto"/>
        </w:rPr>
        <w:t>. A Stock Appreciation Right may be granted in tandem with a Stock Option and constitute a single Award. A tandem Stock Option/Stock Appreciation Right will entitle the holder to elect, as to all or any portion of the number of shares subject to the Award, to exercise either the Stock Option or the Stock Appreciation Right, resulting in the reduction of the corresponding number of shares subject to the Award, including the tandem Stock Appreciation Right or Stock Option, as applicable, not so exercised. A Stock Appreciation Right granted in tandem with a Stock Option hereunder shall have a base price per share equal to the per share exercise price of the Stock Option, will be vested and exercisable at the same time or times that a related Stock Option is vested and exercisable, and will expire no later than the time at which the related Stock Option expires, in each case, as set forth in the Award Agreement.</w:t>
      </w:r>
    </w:p>
    <w:p>
      <w:pPr>
        <w:spacing w:after="0" w:line="75" w:lineRule="exact"/>
        <w:rPr>
          <w:sz w:val="20"/>
          <w:szCs w:val="20"/>
          <w:color w:val="auto"/>
        </w:rPr>
      </w:pPr>
    </w:p>
    <w:p>
      <w:pPr>
        <w:ind w:right="60" w:firstLine="440"/>
        <w:spacing w:after="0" w:line="257"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i w:val="1"/>
          <w:iCs w:val="1"/>
          <w:color w:val="auto"/>
        </w:rPr>
        <w:t>Payment of Stock Appreciation Rights</w:t>
      </w:r>
      <w:r>
        <w:rPr>
          <w:rFonts w:ascii="Times New Roman" w:cs="Times New Roman" w:eastAsia="Times New Roman" w:hAnsi="Times New Roman"/>
          <w:sz w:val="18"/>
          <w:szCs w:val="18"/>
          <w:color w:val="auto"/>
        </w:rPr>
        <w:t>. A Stock Appreciation Right will entitle the holder, upon exercise or other payment of the Stock Appreciation Right, as applicable, to receive an amount determined by multiplying: (i) the excess of the Fair Market Value of a share of Common Stock on the date of exercise or payment of the Stock Appreciation Right over the base price of such Stock Appreciation Right, by (ii) the number of shares as to which such Stock Appreciation Right is exercised or paid. Payment of the amount determined under the foregoing may be made, as approved by the Committee and set forth in the Award Agreement, in shares of Common Stock valued at their Fair Market Value on the date of exercise or payment, in cash or in a combination of shares of Common Stock and cash, subject to applicable tax withholding requirements.</w:t>
      </w:r>
    </w:p>
    <w:p>
      <w:pPr>
        <w:spacing w:after="0" w:line="74"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i w:val="1"/>
          <w:iCs w:val="1"/>
          <w:color w:val="auto"/>
        </w:rPr>
        <w:t>Repricing Prohibited</w:t>
      </w:r>
      <w:r>
        <w:rPr>
          <w:rFonts w:ascii="Times New Roman" w:cs="Times New Roman" w:eastAsia="Times New Roman" w:hAnsi="Times New Roman"/>
          <w:sz w:val="18"/>
          <w:szCs w:val="18"/>
          <w:color w:val="auto"/>
        </w:rPr>
        <w:t>. Subject to the anti-dilution adjustment provisions contained in Section 4.4 hereof and the provisions of Section 12 hereof, without the prior approval of the Company’s stockholders, neither the Committee nor the Board shall (a) cancel a Stock Appreciation Right previously granted under the Plan in exchange for cash or another Award when the base price per share then exceeds the Fair Market Value of one share of Common Stock, (b) cause the cancellation, substitution or amendment of a Stock Appreciation Right previously granted under the Plan that would have the effect of reducing the base price of such Stock Appreciation Right or (c) otherwise approve any modification to a Stock Appreciation Right previously granted under the Plan that would be treated as a “repricing” under the then applicable rules, regulations or listing requirements adopted by The NASDAQ Global Market or other principal exchange on which the Common Stock is then listed.</w:t>
      </w:r>
    </w:p>
    <w:p>
      <w:pPr>
        <w:spacing w:after="0" w:line="77" w:lineRule="exact"/>
        <w:rPr>
          <w:sz w:val="20"/>
          <w:szCs w:val="20"/>
          <w:color w:val="auto"/>
        </w:rPr>
      </w:pPr>
    </w:p>
    <w:p>
      <w:pPr>
        <w:ind w:left="620" w:hanging="184"/>
        <w:spacing w:after="0"/>
        <w:tabs>
          <w:tab w:leader="none" w:pos="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 Awards</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i w:val="1"/>
          <w:iCs w:val="1"/>
          <w:color w:val="auto"/>
        </w:rPr>
        <w:t>Grant of Restricted Stock Awards</w:t>
      </w:r>
      <w:r>
        <w:rPr>
          <w:rFonts w:ascii="Times New Roman" w:cs="Times New Roman" w:eastAsia="Times New Roman" w:hAnsi="Times New Roman"/>
          <w:sz w:val="18"/>
          <w:szCs w:val="18"/>
          <w:color w:val="auto"/>
        </w:rPr>
        <w:t>. A Restricted Stock Award may be granted to any Eligible Person selected by the Committee. The Committee may require the payment by the Participant of a specified purchase price in connection with the issuance of any Restricted Stock Award as set forth in the Award Agreement representing such Restricted Stock Award, which may also include the manner in which payment of any specified purchase price may be made as prescribed by the Committee.</w:t>
      </w:r>
    </w:p>
    <w:p>
      <w:pPr>
        <w:spacing w:after="0" w:line="72"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i w:val="1"/>
          <w:iCs w:val="1"/>
          <w:color w:val="auto"/>
        </w:rPr>
        <w:t>Vesting Requirements</w:t>
      </w:r>
      <w:r>
        <w:rPr>
          <w:rFonts w:ascii="Times New Roman" w:cs="Times New Roman" w:eastAsia="Times New Roman" w:hAnsi="Times New Roman"/>
          <w:sz w:val="18"/>
          <w:szCs w:val="18"/>
          <w:color w:val="auto"/>
        </w:rPr>
        <w:t>. The restrictions imposed on shares granted under a Restricted Stock Award shall lapse in accordance with the vesting requirements specified by the Committee in the Award Agreement. The requirements for vesting of a Restricted Stock Award may be based on the continued Service of the Participant with the Company or a Subsidiary for a specified time period (or periods), on the attainment of a specified Performance Goal(s) on such terms and conditions as approved by the</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17" w:name="page18"/>
    <w:bookmarkEnd w:id="17"/>
    <w:p>
      <w:pPr>
        <w:ind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Committee in its discretion. The Committee may accelerate the vesting of a Restricted Stock Award, including, without limitation, upon a Change in Control or upon termination of Service under certain circumstances, as set forth in the Award Agreement or the Committee’s subsequent resolutions. If the vesting requirements of a Restricted Stock Award shall not be satisfied or, if applicable, the Performance Goal(s) with respect to such Restricted Stock Award are not attained, the Award shall be forfeited and the shares of Stock subject to the Award shall be returned to the Company, as set forth in the Award Agreement.</w:t>
      </w:r>
    </w:p>
    <w:p>
      <w:pPr>
        <w:spacing w:after="0" w:line="73" w:lineRule="exact"/>
        <w:rPr>
          <w:sz w:val="20"/>
          <w:szCs w:val="20"/>
          <w:color w:val="auto"/>
        </w:rPr>
      </w:pPr>
    </w:p>
    <w:p>
      <w:pPr>
        <w:ind w:right="40" w:firstLine="440"/>
        <w:spacing w:after="0" w:line="257"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i w:val="1"/>
          <w:iCs w:val="1"/>
          <w:color w:val="auto"/>
        </w:rPr>
        <w:t>Transfer Restrictions</w:t>
      </w:r>
      <w:r>
        <w:rPr>
          <w:rFonts w:ascii="Times New Roman" w:cs="Times New Roman" w:eastAsia="Times New Roman" w:hAnsi="Times New Roman"/>
          <w:sz w:val="18"/>
          <w:szCs w:val="18"/>
          <w:color w:val="auto"/>
        </w:rPr>
        <w:t>. Shares granted under any Restricted Stock Award and the rights and privileges conferred thereby shall be non-transferable until all applicable restrictions are removed or have expired, except as provided in Section 15.3 hereof. Failure to satisfy any applicable restrictions shall result in the subject shares of the Restricted Stock Award being forfeited and returned to the Company. The Committee may require in an Award Agreement that certificates (if any) representing the shares granted under a Restricted Stock Award bear a legend making appropriate reference to the restrictions imposed, and that certificates (if any) representing the shares granted or sold under a Restricted Stock Award will remain in the physical custody of an escrow holder (which may be the Company or an officer of the Company) until all restrictions are removed or have expired.</w:t>
      </w:r>
    </w:p>
    <w:p>
      <w:pPr>
        <w:spacing w:after="0" w:line="74"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i w:val="1"/>
          <w:iCs w:val="1"/>
          <w:color w:val="auto"/>
        </w:rPr>
        <w:t>Rights as Stockholder</w:t>
      </w:r>
      <w:r>
        <w:rPr>
          <w:rFonts w:ascii="Times New Roman" w:cs="Times New Roman" w:eastAsia="Times New Roman" w:hAnsi="Times New Roman"/>
          <w:sz w:val="18"/>
          <w:szCs w:val="18"/>
          <w:color w:val="auto"/>
        </w:rPr>
        <w:t>. Subject to the foregoing provisions of this Section 8, the provisions of Section 15.6 hereof, and to the terms of the applicable Award Agreement, the Participant shall not have any rights of a stockholder with respect any of the shares granted to the Participant under a Restricted Stock Award (including, the right to vote or receive dividends and other distributions paid or made with respect thereto, subject to the terms of Section 5.5) unless and until such shares vest.</w:t>
      </w:r>
    </w:p>
    <w:p>
      <w:pPr>
        <w:spacing w:after="0" w:line="72" w:lineRule="exact"/>
        <w:rPr>
          <w:sz w:val="20"/>
          <w:szCs w:val="20"/>
          <w:color w:val="auto"/>
        </w:rPr>
      </w:pPr>
    </w:p>
    <w:p>
      <w:pPr>
        <w:ind w:right="20" w:firstLine="440"/>
        <w:spacing w:after="0" w:line="281" w:lineRule="auto"/>
        <w:rPr>
          <w:sz w:val="20"/>
          <w:szCs w:val="20"/>
          <w:color w:val="auto"/>
        </w:rPr>
      </w:pPr>
      <w:r>
        <w:rPr>
          <w:rFonts w:ascii="Times New Roman" w:cs="Times New Roman" w:eastAsia="Times New Roman" w:hAnsi="Times New Roman"/>
          <w:sz w:val="17"/>
          <w:szCs w:val="17"/>
          <w:color w:val="auto"/>
        </w:rPr>
        <w:t xml:space="preserve">8.5 </w:t>
      </w:r>
      <w:r>
        <w:rPr>
          <w:rFonts w:ascii="Times New Roman" w:cs="Times New Roman" w:eastAsia="Times New Roman" w:hAnsi="Times New Roman"/>
          <w:sz w:val="17"/>
          <w:szCs w:val="17"/>
          <w:i w:val="1"/>
          <w:iCs w:val="1"/>
          <w:color w:val="auto"/>
        </w:rPr>
        <w:t>Section 83(b) Election</w:t>
      </w:r>
      <w:r>
        <w:rPr>
          <w:rFonts w:ascii="Times New Roman" w:cs="Times New Roman" w:eastAsia="Times New Roman" w:hAnsi="Times New Roman"/>
          <w:sz w:val="17"/>
          <w:szCs w:val="17"/>
          <w:color w:val="auto"/>
        </w:rPr>
        <w:t>. If a Participant makes an election pursuant to Section 83(b) of the Code with respect to a Restricted Stock Award, the Participant shall file, within thirty (30) days following the Date of Grant, a copy of such election with the Company and with the Internal Revenue Service, in accordance with the regulations under Section 83 of the Code. The Committee may provide in an Award Agreement that the Restricted Stock Award is conditioned upon the Participant’s making or refraining from making an election with respect to the Award under Section 83(b) of the Code</w:t>
      </w:r>
    </w:p>
    <w:p>
      <w:pPr>
        <w:spacing w:after="0" w:line="58" w:lineRule="exact"/>
        <w:rPr>
          <w:sz w:val="20"/>
          <w:szCs w:val="20"/>
          <w:color w:val="auto"/>
        </w:rPr>
      </w:pPr>
    </w:p>
    <w:p>
      <w:pPr>
        <w:ind w:left="620" w:hanging="184"/>
        <w:spacing w:after="0"/>
        <w:tabs>
          <w:tab w:leader="none" w:pos="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 Units</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i w:val="1"/>
          <w:iCs w:val="1"/>
          <w:color w:val="auto"/>
        </w:rPr>
        <w:t>Grant of Restricted Stock Units</w:t>
      </w:r>
      <w:r>
        <w:rPr>
          <w:rFonts w:ascii="Times New Roman" w:cs="Times New Roman" w:eastAsia="Times New Roman" w:hAnsi="Times New Roman"/>
          <w:sz w:val="18"/>
          <w:szCs w:val="18"/>
          <w:color w:val="auto"/>
        </w:rPr>
        <w:t>. A Restricted Stock Unit may be granted to any Eligible Person selected by the Committee. The value of each Restricted Stock Unit shall be equal to the Fair Market Value of the Common Stock on the applicable date or time period of determination, as specified by the Committee. Restricted Stock Units shall be subject to such restrictions and conditions as the Committee shall determine and as set forth in the Award Agreement representing such Restricted Stock Units. Restricted Stock Units and the rights and privileges conferred thereby shall be non-transferable, except as provided in Section 15.3 hereof.</w:t>
      </w:r>
    </w:p>
    <w:p>
      <w:pPr>
        <w:spacing w:after="0" w:line="7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i w:val="1"/>
          <w:iCs w:val="1"/>
          <w:color w:val="auto"/>
        </w:rPr>
        <w:t>Vesting of Restricted Stock Units</w:t>
      </w:r>
      <w:r>
        <w:rPr>
          <w:rFonts w:ascii="Times New Roman" w:cs="Times New Roman" w:eastAsia="Times New Roman" w:hAnsi="Times New Roman"/>
          <w:sz w:val="18"/>
          <w:szCs w:val="18"/>
          <w:color w:val="auto"/>
        </w:rPr>
        <w:t>. On the Date of Grant, the Committee shall, in its discretion, determine any vesting requirements with respect to Restricted Stock Units, which shall be set forth in the Award Agreement. The requirements for vesting of a Restricted Stock Unit may be based on the continued Service of the Participant with the Company or a Subsidiary for a specified time period (or periods) or on such other terms and conditions as approved by the Committee in its discretion. In addition, a Restricted Stock Unit may be denominated as a Performance Stock Unit. The requirements for vesting of a Restricted Stock Unit denominated as a Performance Stock Unit may be based, in whole or in part, on the attainment of pre-established business and/or individual Performance Goal(s) over a specified performance period, or otherwise, as approved by the Committee in its discretion and as set forth in the Award Agreement. The Committee may accelerate the vesting of a Restricted Stock Unit, including, without limitation, upon a Change in Control or upon termination of Service under certain circumstances, as set forth in the Award Agreement or the Committee’s subsequent resolutions. If the vesting requirements of a Restricted Stock Units Award are not satisfied or, if applicable, the Performance Goal(s) with respect to such Restricted Stock Units Award are not attained, the Award shall be forfeited, as set forth in the Award Agreement.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18" w:name="page19"/>
    <w:bookmarkEnd w:id="18"/>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9.3 </w:t>
      </w:r>
      <w:r>
        <w:rPr>
          <w:rFonts w:ascii="Times New Roman" w:cs="Times New Roman" w:eastAsia="Times New Roman" w:hAnsi="Times New Roman"/>
          <w:sz w:val="18"/>
          <w:szCs w:val="18"/>
          <w:i w:val="1"/>
          <w:iCs w:val="1"/>
          <w:color w:val="auto"/>
        </w:rPr>
        <w:t>Payment of Restricted Stock Units</w:t>
      </w:r>
      <w:r>
        <w:rPr>
          <w:rFonts w:ascii="Times New Roman" w:cs="Times New Roman" w:eastAsia="Times New Roman" w:hAnsi="Times New Roman"/>
          <w:sz w:val="18"/>
          <w:szCs w:val="18"/>
          <w:color w:val="auto"/>
        </w:rPr>
        <w:t>. Restricted Stock Units shall become payable to a Participant at the time or times determined by the Committee and set forth in the Award Agreement, which may be upon or following the vesting of the Award. Payment of a Restricted Stock Unit may be made, as approved by the Committee and set forth in the Award Agreement, in cash or in shares of Common Stock or in a combination thereof, subject to applicable tax withholding requirements. Any cash payment of a Restricted Stock Unit shall be made based upon the Fair Market Value of the Common Stock, determined on such date or over such time period as determined by the Committee and set forth in the Award Agreement.</w:t>
      </w:r>
    </w:p>
    <w:p>
      <w:pPr>
        <w:spacing w:after="0" w:line="75" w:lineRule="exact"/>
        <w:rPr>
          <w:sz w:val="20"/>
          <w:szCs w:val="20"/>
          <w:color w:val="auto"/>
        </w:rPr>
      </w:pPr>
    </w:p>
    <w:p>
      <w:pPr>
        <w:ind w:left="4"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i w:val="1"/>
          <w:iCs w:val="1"/>
          <w:color w:val="auto"/>
        </w:rPr>
        <w:t>Dividend Equivalent Rights.</w:t>
      </w:r>
      <w:r>
        <w:rPr>
          <w:rFonts w:ascii="Times New Roman" w:cs="Times New Roman" w:eastAsia="Times New Roman" w:hAnsi="Times New Roman"/>
          <w:sz w:val="18"/>
          <w:szCs w:val="18"/>
          <w:color w:val="auto"/>
        </w:rPr>
        <w:t xml:space="preserve"> Subject to the terms of Section 5.5, Restricted Stock Units may be granted together with a dividend equivalent right with respect to the shares of Common Stock subject to the Award, which dividend equivalent right may be accumulated and may be deemed reinvested in additional Restricted Stock Units or may be accumulated in cash, as determined by the Committee in its discretion and set forth in an Award Agreement. Dividend equivalent rights will be paid at such time as determined by the Committee in its discretion (including without limitation at the times paid to stockholders generally or at the times of vesting or payment of the Restricted Stock Unit) as set forth in an Award Agreement. Dividend equivalent rights may be subject to forfeiture under the same conditions as apply to the underlying Restricted Stock Units, as set forth in an Award Agreement.</w:t>
      </w:r>
    </w:p>
    <w:p>
      <w:pPr>
        <w:spacing w:after="0" w:line="77" w:lineRule="exact"/>
        <w:rPr>
          <w:sz w:val="20"/>
          <w:szCs w:val="20"/>
          <w:color w:val="auto"/>
        </w:rPr>
      </w:pPr>
    </w:p>
    <w:p>
      <w:pPr>
        <w:ind w:left="704" w:hanging="264"/>
        <w:spacing w:after="0"/>
        <w:tabs>
          <w:tab w:leader="none" w:pos="70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Cash Awards; </w:t>
      </w:r>
      <w:r>
        <w:rPr>
          <w:rFonts w:ascii="Times New Roman" w:cs="Times New Roman" w:eastAsia="Times New Roman" w:hAnsi="Times New Roman"/>
          <w:sz w:val="18"/>
          <w:szCs w:val="18"/>
          <w:u w:val="single" w:color="auto"/>
          <w:color w:val="auto"/>
        </w:rPr>
        <w:t>Performance Awards and Performance Criteria</w:t>
      </w:r>
    </w:p>
    <w:p>
      <w:pPr>
        <w:spacing w:after="0" w:line="115" w:lineRule="exact"/>
        <w:rPr>
          <w:sz w:val="20"/>
          <w:szCs w:val="20"/>
          <w:color w:val="auto"/>
        </w:rPr>
      </w:pPr>
    </w:p>
    <w:p>
      <w:pPr>
        <w:ind w:left="4" w:right="100" w:firstLine="440"/>
        <w:spacing w:after="0" w:line="275" w:lineRule="auto"/>
        <w:rPr>
          <w:sz w:val="20"/>
          <w:szCs w:val="20"/>
          <w:color w:val="auto"/>
        </w:rPr>
      </w:pPr>
      <w:r>
        <w:rPr>
          <w:rFonts w:ascii="Times New Roman" w:cs="Times New Roman" w:eastAsia="Times New Roman" w:hAnsi="Times New Roman"/>
          <w:sz w:val="17"/>
          <w:szCs w:val="17"/>
          <w:color w:val="auto"/>
        </w:rPr>
        <w:t xml:space="preserve">10.1 </w:t>
      </w:r>
      <w:r>
        <w:rPr>
          <w:rFonts w:ascii="Times New Roman" w:cs="Times New Roman" w:eastAsia="Times New Roman" w:hAnsi="Times New Roman"/>
          <w:sz w:val="17"/>
          <w:szCs w:val="17"/>
          <w:i w:val="1"/>
          <w:iCs w:val="1"/>
          <w:color w:val="auto"/>
        </w:rPr>
        <w:t>Grant of Cash Awards</w:t>
      </w:r>
      <w:r>
        <w:rPr>
          <w:rFonts w:ascii="Times New Roman" w:cs="Times New Roman" w:eastAsia="Times New Roman" w:hAnsi="Times New Roman"/>
          <w:sz w:val="17"/>
          <w:szCs w:val="17"/>
          <w:color w:val="auto"/>
        </w:rPr>
        <w:t>. The Committee is authorized to grant Cash Awards, on a free-standing basis or as an element of, a supplement to, or in lieu of any other Award under the Plan to Eligible Persons in such amounts and subject to such other terms, conditions and restrictions, not inconsistent with the provisions of the Plan, as the Committee in its discretion determines to be appropriate, including for purposes of any annual or short-term incentive or other bonus program. The requirements for payment may be also based upon the continued Service of the Participant with the Company or any Subsidiary during any respective performance period and on such other conditions as determined by the Committee and set forth in an Award Agreement. Cash Awards and the rights and privileges conferred thereby shall be non-transferable, except as provided in Section 15.3 hereof.</w:t>
      </w:r>
    </w:p>
    <w:p>
      <w:pPr>
        <w:spacing w:after="0" w:line="60"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i w:val="1"/>
          <w:iCs w:val="1"/>
          <w:color w:val="auto"/>
        </w:rPr>
        <w:t>Award Agreements</w:t>
      </w:r>
      <w:r>
        <w:rPr>
          <w:rFonts w:ascii="Times New Roman" w:cs="Times New Roman" w:eastAsia="Times New Roman" w:hAnsi="Times New Roman"/>
          <w:sz w:val="18"/>
          <w:szCs w:val="18"/>
          <w:color w:val="auto"/>
        </w:rPr>
        <w:t>. Each Cash Award shall be evidenced by an Award Agreement that shall specify any performance period and such other terms and conditions as the Committee, in its discretion, shall determine. The Committee may accelerate the vesting of a Cash Award, including, without limitation, upon a Change in Control or termination of Service under certain circumstances, as set forth in the Award Agreement or the Committee’s subsequent resolutions.</w:t>
      </w:r>
    </w:p>
    <w:p>
      <w:pPr>
        <w:spacing w:after="0" w:line="72" w:lineRule="exact"/>
        <w:rPr>
          <w:sz w:val="20"/>
          <w:szCs w:val="20"/>
          <w:color w:val="auto"/>
        </w:rPr>
      </w:pPr>
    </w:p>
    <w:p>
      <w:pPr>
        <w:ind w:left="4"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i w:val="1"/>
          <w:iCs w:val="1"/>
          <w:color w:val="auto"/>
        </w:rPr>
        <w:t>Performance Criteria</w:t>
      </w:r>
      <w:r>
        <w:rPr>
          <w:rFonts w:ascii="Times New Roman" w:cs="Times New Roman" w:eastAsia="Times New Roman" w:hAnsi="Times New Roman"/>
          <w:sz w:val="18"/>
          <w:szCs w:val="18"/>
          <w:color w:val="auto"/>
        </w:rPr>
        <w:t>. For purposes of any Award, the “</w:t>
      </w:r>
      <w:r>
        <w:rPr>
          <w:rFonts w:ascii="Times New Roman" w:cs="Times New Roman" w:eastAsia="Times New Roman" w:hAnsi="Times New Roman"/>
          <w:sz w:val="18"/>
          <w:szCs w:val="18"/>
          <w:i w:val="1"/>
          <w:iCs w:val="1"/>
          <w:color w:val="auto"/>
        </w:rPr>
        <w:t>Performance Criteria</w:t>
      </w:r>
      <w:r>
        <w:rPr>
          <w:rFonts w:ascii="Times New Roman" w:cs="Times New Roman" w:eastAsia="Times New Roman" w:hAnsi="Times New Roman"/>
          <w:sz w:val="18"/>
          <w:szCs w:val="18"/>
          <w:color w:val="auto"/>
        </w:rPr>
        <w:t>” will be set by the Committee in its discretion and may include one or any combination of the following, for the Company or any identified Subsidiary, division, or business unit or line, as determined by the Committee at the time of the Award: (i) total stockholder return; (ii) such total stockholder return as compared to total return (on a comparable basis) of a publicly available index such as, but not limited to, the Standard &amp; Poor’s 500 Stock Index; (iii) net income; (iv) pretax earnings; (v) adjusted net income; (vi) adjusted pretax earnings; (vii) adjusted earnings per share; (viii) adjusted earnings before interest expense, taxes, depreciation and amortization (“</w:t>
      </w:r>
      <w:r>
        <w:rPr>
          <w:rFonts w:ascii="Times New Roman" w:cs="Times New Roman" w:eastAsia="Times New Roman" w:hAnsi="Times New Roman"/>
          <w:sz w:val="18"/>
          <w:szCs w:val="18"/>
          <w:i w:val="1"/>
          <w:iCs w:val="1"/>
          <w:color w:val="auto"/>
        </w:rPr>
        <w:t>EBITDA</w:t>
      </w:r>
      <w:r>
        <w:rPr>
          <w:rFonts w:ascii="Times New Roman" w:cs="Times New Roman" w:eastAsia="Times New Roman" w:hAnsi="Times New Roman"/>
          <w:sz w:val="18"/>
          <w:szCs w:val="18"/>
          <w:color w:val="auto"/>
        </w:rPr>
        <w:t>”); (ix) pretax operating earnings after interest expense and before bonuses, service fees, and extraordinary or special items; (x) operating margin; (xi) earnings per share; (xii) return on equity; (xiii) return on capital; (xiv) return on investment; (xv) operating earnings;</w:t>
      </w:r>
    </w:p>
    <w:p>
      <w:pPr>
        <w:spacing w:after="0" w:line="5" w:lineRule="exact"/>
        <w:rPr>
          <w:sz w:val="20"/>
          <w:szCs w:val="20"/>
          <w:color w:val="auto"/>
        </w:rPr>
      </w:pPr>
    </w:p>
    <w:p>
      <w:pPr>
        <w:ind w:left="4" w:right="100" w:hanging="4"/>
        <w:spacing w:after="0" w:line="253" w:lineRule="auto"/>
        <w:tabs>
          <w:tab w:leader="none" w:pos="39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(xvii) ratio of debt to stockholders’ equity; (xviii) revenue; (xix) free cash flow (i.e., EBITDA, less cash taxes, cash interest, net capital expenditures, mandatory payments of principal under any credit facility, and payments under collateralized lease obligations and financing lease obligations) and (xx) any combination of or a specified increase in any of the foregoing. Each of the Performance Criteria shall be applied and interpreted in accordance with an objective formula or standard established by the Committee at the time the applicable Award is granted including, without limitation, GAAP.</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4"/>
          </w:cols>
          <w:pgMar w:left="436" w:top="268" w:right="459" w:bottom="1440" w:gutter="0" w:footer="0" w:header="0"/>
        </w:sectPr>
      </w:pPr>
    </w:p>
    <w:bookmarkStart w:id="19" w:name="page20"/>
    <w:bookmarkEnd w:id="19"/>
    <w:p>
      <w:pPr>
        <w:ind w:firstLine="4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10.4 </w:t>
      </w:r>
      <w:r>
        <w:rPr>
          <w:rFonts w:ascii="Times New Roman" w:cs="Times New Roman" w:eastAsia="Times New Roman" w:hAnsi="Times New Roman"/>
          <w:sz w:val="18"/>
          <w:szCs w:val="18"/>
          <w:i w:val="1"/>
          <w:iCs w:val="1"/>
          <w:color w:val="auto"/>
        </w:rPr>
        <w:t>Performance Goals</w:t>
      </w:r>
      <w:r>
        <w:rPr>
          <w:rFonts w:ascii="Times New Roman" w:cs="Times New Roman" w:eastAsia="Times New Roman" w:hAnsi="Times New Roman"/>
          <w:sz w:val="18"/>
          <w:szCs w:val="18"/>
          <w:color w:val="auto"/>
        </w:rPr>
        <w:t>. For purposes of Performance Awards, the “</w:t>
      </w:r>
      <w:r>
        <w:rPr>
          <w:rFonts w:ascii="Times New Roman" w:cs="Times New Roman" w:eastAsia="Times New Roman" w:hAnsi="Times New Roman"/>
          <w:sz w:val="18"/>
          <w:szCs w:val="18"/>
          <w:i w:val="1"/>
          <w:iCs w:val="1"/>
          <w:color w:val="auto"/>
        </w:rPr>
        <w:t>Performance Goals</w:t>
      </w:r>
      <w:r>
        <w:rPr>
          <w:rFonts w:ascii="Times New Roman" w:cs="Times New Roman" w:eastAsia="Times New Roman" w:hAnsi="Times New Roman"/>
          <w:sz w:val="18"/>
          <w:szCs w:val="18"/>
          <w:color w:val="auto"/>
        </w:rPr>
        <w:t>” refer to the levels of achievement relating to the Performance Criteria selected by the Committee for the Award. The Performance Goals may be expressed as an objective formula or standard and relate to the performance of the Participant, the Company (on a consolidated basis), or to specified Subsidiaries, business, or geographical units or operating areas of the Company. The Performance Goals may be applied on an absolute basis or relative to an identified index, peer group, or one or more competitors or other companies (including particular business segments or divisions or such companies), as specified by the Committee. The Performance Goals need not be the same for all Participants.</w:t>
      </w:r>
    </w:p>
    <w:p>
      <w:pPr>
        <w:spacing w:after="0" w:line="74"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i w:val="1"/>
          <w:iCs w:val="1"/>
          <w:color w:val="auto"/>
        </w:rPr>
        <w:t>Adjustments</w:t>
      </w:r>
      <w:r>
        <w:rPr>
          <w:rFonts w:ascii="Times New Roman" w:cs="Times New Roman" w:eastAsia="Times New Roman" w:hAnsi="Times New Roman"/>
          <w:sz w:val="18"/>
          <w:szCs w:val="18"/>
          <w:color w:val="auto"/>
        </w:rPr>
        <w:t>. At the time that an Award is granted, the Committee may provide for the Performance Goals or the manner in which performance will be measured against the Performance Goals to be adjusted in such objective manner as it deems appropriate, including, without limitation, adjustments to reflect non-cash losses or charges, charges for restructurings, non-operating income, the impact of corporate transactions, discontinued operations or financing transactions, severance and recruitment costs, “run rate” savings, costs incurred in establishing new manufacturing sources, specified legal expenses, extraordinary and other unusual or non-recurring items or events and the cumulative effects of accounting or tax law changes. In addition, with respect to a Participant hired or promoted following the beginning of a performance period, the Committee may determine to prorate the Performance Goals and/or the amount of any payment in respect of such Participant’s Performance Awards for the partial performance period.</w:t>
      </w:r>
    </w:p>
    <w:p>
      <w:pPr>
        <w:spacing w:after="0" w:line="77" w:lineRule="exact"/>
        <w:rPr>
          <w:sz w:val="20"/>
          <w:szCs w:val="20"/>
          <w:color w:val="auto"/>
        </w:rPr>
      </w:pPr>
    </w:p>
    <w:p>
      <w:pPr>
        <w:ind w:right="300" w:firstLine="440"/>
        <w:spacing w:after="0" w:line="284" w:lineRule="auto"/>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i w:val="1"/>
          <w:iCs w:val="1"/>
          <w:color w:val="auto"/>
        </w:rPr>
        <w:t>Maximum Amount of Cash Awards</w:t>
      </w:r>
      <w:r>
        <w:rPr>
          <w:rFonts w:ascii="Times New Roman" w:cs="Times New Roman" w:eastAsia="Times New Roman" w:hAnsi="Times New Roman"/>
          <w:sz w:val="18"/>
          <w:szCs w:val="18"/>
          <w:color w:val="auto"/>
        </w:rPr>
        <w:t>. The maximum amount that may become payable to any one Participant during any one calendar year under all Cash Awards and all other Awards that are actually paid or settled in cash is limited to $2,000,000.</w:t>
      </w:r>
    </w:p>
    <w:p>
      <w:pPr>
        <w:spacing w:after="0" w:line="50"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8"/>
          <w:szCs w:val="18"/>
          <w:i w:val="1"/>
          <w:iCs w:val="1"/>
          <w:color w:val="auto"/>
        </w:rPr>
        <w:t>Negative Discretion</w:t>
      </w:r>
      <w:r>
        <w:rPr>
          <w:rFonts w:ascii="Times New Roman" w:cs="Times New Roman" w:eastAsia="Times New Roman" w:hAnsi="Times New Roman"/>
          <w:sz w:val="18"/>
          <w:szCs w:val="18"/>
          <w:color w:val="auto"/>
        </w:rPr>
        <w:t>. Notwithstanding anything else contained in the Plan to the contrary, the Committee shall, to the extent provided in an Award Agreement, have the right, in its discretion, (i) to reduce or eliminate the amount otherwise payable to any Participant under an Award and (ii) to establish rules or procedures that have the effect of limiting the amount payable to any Participant to an amount that is less than the amount that is otherwise payable under an Award. The Committee may exercise the discretion provided for by the foregoing sentence in a non-uniform manner among Participants.</w:t>
      </w:r>
    </w:p>
    <w:p>
      <w:pPr>
        <w:spacing w:after="0" w:line="75" w:lineRule="exact"/>
        <w:rPr>
          <w:sz w:val="20"/>
          <w:szCs w:val="20"/>
          <w:color w:val="auto"/>
        </w:rPr>
      </w:pPr>
    </w:p>
    <w:p>
      <w:pPr>
        <w:ind w:right="180" w:firstLine="440"/>
        <w:spacing w:after="0" w:line="284" w:lineRule="auto"/>
        <w:rPr>
          <w:sz w:val="20"/>
          <w:szCs w:val="20"/>
          <w:color w:val="auto"/>
        </w:rPr>
      </w:pPr>
      <w:r>
        <w:rPr>
          <w:rFonts w:ascii="Times New Roman" w:cs="Times New Roman" w:eastAsia="Times New Roman" w:hAnsi="Times New Roman"/>
          <w:sz w:val="18"/>
          <w:szCs w:val="18"/>
          <w:color w:val="auto"/>
        </w:rPr>
        <w:t xml:space="preserve">10.8 </w:t>
      </w:r>
      <w:r>
        <w:rPr>
          <w:rFonts w:ascii="Times New Roman" w:cs="Times New Roman" w:eastAsia="Times New Roman" w:hAnsi="Times New Roman"/>
          <w:sz w:val="18"/>
          <w:szCs w:val="18"/>
          <w:i w:val="1"/>
          <w:iCs w:val="1"/>
          <w:color w:val="auto"/>
        </w:rPr>
        <w:t>Certification</w:t>
      </w:r>
      <w:r>
        <w:rPr>
          <w:rFonts w:ascii="Times New Roman" w:cs="Times New Roman" w:eastAsia="Times New Roman" w:hAnsi="Times New Roman"/>
          <w:sz w:val="18"/>
          <w:szCs w:val="18"/>
          <w:color w:val="auto"/>
        </w:rPr>
        <w:t>. Following the conclusion of the performance period of a Performance Award, the Committee shall certify in writing whether the Performance Goals for that performance period have been achieved, or certify the degree of achievement, if applicable.</w:t>
      </w:r>
    </w:p>
    <w:p>
      <w:pPr>
        <w:spacing w:after="0" w:line="50"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10.9 </w:t>
      </w:r>
      <w:r>
        <w:rPr>
          <w:rFonts w:ascii="Times New Roman" w:cs="Times New Roman" w:eastAsia="Times New Roman" w:hAnsi="Times New Roman"/>
          <w:sz w:val="18"/>
          <w:szCs w:val="18"/>
          <w:i w:val="1"/>
          <w:iCs w:val="1"/>
          <w:color w:val="auto"/>
        </w:rPr>
        <w:t>Payment</w:t>
      </w:r>
      <w:r>
        <w:rPr>
          <w:rFonts w:ascii="Times New Roman" w:cs="Times New Roman" w:eastAsia="Times New Roman" w:hAnsi="Times New Roman"/>
          <w:sz w:val="18"/>
          <w:szCs w:val="18"/>
          <w:color w:val="auto"/>
        </w:rPr>
        <w:t>. Upon certification of the Performance Goals for a Performance Award, the Committee shall determine the level of vesting or amount of payment to the Participant pursuant to the Award, if any. Notwithstanding the foregoing, unless otherwise provided in the Award Agreement, Performance Awards may be paid, at the discretion of the Committee, in any combination of cash or shares of Common Stock, based upon the Fair Market Value of such shares at the time of payment</w:t>
      </w:r>
    </w:p>
    <w:p>
      <w:pPr>
        <w:spacing w:after="0" w:line="74" w:lineRule="exact"/>
        <w:rPr>
          <w:sz w:val="20"/>
          <w:szCs w:val="20"/>
          <w:color w:val="auto"/>
        </w:rPr>
      </w:pPr>
    </w:p>
    <w:p>
      <w:pPr>
        <w:ind w:left="700" w:hanging="264"/>
        <w:spacing w:after="0"/>
        <w:tabs>
          <w:tab w:leader="none" w:pos="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Awards</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firstLine="440"/>
        <w:spacing w:after="0" w:line="277" w:lineRule="auto"/>
        <w:rPr>
          <w:sz w:val="20"/>
          <w:szCs w:val="20"/>
          <w:color w:val="auto"/>
        </w:rPr>
      </w:pPr>
      <w:r>
        <w:rPr>
          <w:rFonts w:ascii="Times New Roman" w:cs="Times New Roman" w:eastAsia="Times New Roman" w:hAnsi="Times New Roman"/>
          <w:sz w:val="17"/>
          <w:szCs w:val="17"/>
          <w:color w:val="auto"/>
        </w:rPr>
        <w:t xml:space="preserve">11.1 </w:t>
      </w:r>
      <w:r>
        <w:rPr>
          <w:rFonts w:ascii="Times New Roman" w:cs="Times New Roman" w:eastAsia="Times New Roman" w:hAnsi="Times New Roman"/>
          <w:sz w:val="17"/>
          <w:szCs w:val="17"/>
          <w:i w:val="1"/>
          <w:iCs w:val="1"/>
          <w:color w:val="auto"/>
        </w:rPr>
        <w:t>Grant of Stock Awards</w:t>
      </w:r>
      <w:r>
        <w:rPr>
          <w:rFonts w:ascii="Times New Roman" w:cs="Times New Roman" w:eastAsia="Times New Roman" w:hAnsi="Times New Roman"/>
          <w:sz w:val="17"/>
          <w:szCs w:val="17"/>
          <w:color w:val="auto"/>
        </w:rPr>
        <w:t>. A Stock Award may be granted to any Eligible Person selected by the Committee. A Stock Award may be granted for past, or in anticipation of future, Services, in lieu of any discretionary bonus or other discretionary cash compensation, as directors’ compensation or for any other valid purpose as determined by the Committee. The Committee shall determine the terms and conditions of such Awards, and such Awards shall be made without vesting requirements. In addition, the Committee may, in connection with any Stock Award, require the payment of a specified purchase price, which may also include the manner in which payment of any specified purchase price may be made as prescribed by the Committee.</w:t>
      </w:r>
    </w:p>
    <w:p>
      <w:pPr>
        <w:spacing w:after="0" w:line="60" w:lineRule="exact"/>
        <w:rPr>
          <w:sz w:val="20"/>
          <w:szCs w:val="20"/>
          <w:color w:val="auto"/>
        </w:rPr>
      </w:pPr>
    </w:p>
    <w:p>
      <w:pPr>
        <w:ind w:right="140" w:firstLine="440"/>
        <w:spacing w:after="0" w:line="267"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i w:val="1"/>
          <w:iCs w:val="1"/>
          <w:color w:val="auto"/>
        </w:rPr>
        <w:t>Rights as Stockholder</w:t>
      </w:r>
      <w:r>
        <w:rPr>
          <w:rFonts w:ascii="Times New Roman" w:cs="Times New Roman" w:eastAsia="Times New Roman" w:hAnsi="Times New Roman"/>
          <w:sz w:val="18"/>
          <w:szCs w:val="18"/>
          <w:color w:val="auto"/>
        </w:rPr>
        <w:t>. Subject to the foregoing provisions of this Section 11 and the applicable Award Agreement, upon the issuance of the Common Stock under a Stock Award, the Participant shall have all rights of a stockholder with respect to the shares of Common Stock, including the right to vote the shares and receive all dividends and other distributions paid or made with respect thereto.</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60"/>
          </w:cols>
          <w:pgMar w:left="440" w:top="268" w:right="499" w:bottom="1440" w:gutter="0" w:footer="0" w:header="0"/>
        </w:sectPr>
      </w:pPr>
    </w:p>
    <w:bookmarkStart w:id="20" w:name="page21"/>
    <w:bookmarkEnd w:id="20"/>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11.3 </w:t>
      </w:r>
      <w:r>
        <w:rPr>
          <w:rFonts w:ascii="Times New Roman" w:cs="Times New Roman" w:eastAsia="Times New Roman" w:hAnsi="Times New Roman"/>
          <w:sz w:val="18"/>
          <w:szCs w:val="18"/>
          <w:i w:val="1"/>
          <w:iCs w:val="1"/>
          <w:color w:val="auto"/>
        </w:rPr>
        <w:t>Elections to Receive Stock in Lieu of Compensation</w:t>
      </w:r>
      <w:r>
        <w:rPr>
          <w:rFonts w:ascii="Times New Roman" w:cs="Times New Roman" w:eastAsia="Times New Roman" w:hAnsi="Times New Roman"/>
          <w:sz w:val="18"/>
          <w:szCs w:val="18"/>
          <w:color w:val="auto"/>
        </w:rPr>
        <w:t>. Subject to Section 409A of the Code and, if applicable, Section 15.4 hereof, upon the request of a Participant and with the consent of the Committee, each such Participant may, pursuant to an advance written election delivered to the Company no later than the date specified by the Committee, receive a portion of the cash compensation otherwise due to such Participant in the form of shares of Common Stock either currently or on a deferred basis in accordance with Section 15.4 hereof.</w:t>
      </w:r>
    </w:p>
    <w:p>
      <w:pPr>
        <w:spacing w:after="0" w:line="72" w:lineRule="exact"/>
        <w:rPr>
          <w:sz w:val="20"/>
          <w:szCs w:val="20"/>
          <w:color w:val="auto"/>
        </w:rPr>
      </w:pPr>
    </w:p>
    <w:p>
      <w:pPr>
        <w:ind w:right="220" w:firstLine="440"/>
        <w:spacing w:after="0" w:line="284" w:lineRule="auto"/>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i w:val="1"/>
          <w:iCs w:val="1"/>
          <w:color w:val="auto"/>
        </w:rPr>
        <w:t>Restrictions on Transfers</w:t>
      </w:r>
      <w:r>
        <w:rPr>
          <w:rFonts w:ascii="Times New Roman" w:cs="Times New Roman" w:eastAsia="Times New Roman" w:hAnsi="Times New Roman"/>
          <w:sz w:val="18"/>
          <w:szCs w:val="18"/>
          <w:color w:val="auto"/>
        </w:rPr>
        <w:t>. The right to receive shares of Common Stock on a deferred basis and the rights and privileges conferred thereby shall be non-transferrable, except as provided in Section 15.3 hereof.</w:t>
      </w:r>
    </w:p>
    <w:p>
      <w:pPr>
        <w:spacing w:after="0" w:line="52" w:lineRule="exact"/>
        <w:rPr>
          <w:sz w:val="20"/>
          <w:szCs w:val="20"/>
          <w:color w:val="auto"/>
        </w:rPr>
      </w:pPr>
    </w:p>
    <w:p>
      <w:pPr>
        <w:ind w:left="700" w:hanging="264"/>
        <w:spacing w:after="0"/>
        <w:tabs>
          <w:tab w:leader="none" w:pos="7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jc w:val="both"/>
        <w:ind w:right="500" w:firstLine="440"/>
        <w:spacing w:after="0" w:line="267" w:lineRule="auto"/>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i w:val="1"/>
          <w:iCs w:val="1"/>
          <w:color w:val="auto"/>
        </w:rPr>
        <w:t>Effect on Awards</w:t>
      </w:r>
      <w:r>
        <w:rPr>
          <w:rFonts w:ascii="Times New Roman" w:cs="Times New Roman" w:eastAsia="Times New Roman" w:hAnsi="Times New Roman"/>
          <w:sz w:val="18"/>
          <w:szCs w:val="18"/>
          <w:color w:val="auto"/>
        </w:rPr>
        <w:t>. Upon the occurrence of a Change in Control, unless otherwise specifically prohibited under applicable law or unless otherwise provided in the Award Agreement, the Committee is authorized (but not obligated) to make adjustments in the terms and conditions of outstanding Awards, including without limitation any of the following (or any combination thereof):</w:t>
      </w:r>
    </w:p>
    <w:p>
      <w:pPr>
        <w:spacing w:after="0" w:line="67" w:lineRule="exact"/>
        <w:rPr>
          <w:sz w:val="20"/>
          <w:szCs w:val="20"/>
          <w:color w:val="auto"/>
        </w:rPr>
      </w:pPr>
    </w:p>
    <w:p>
      <w:pPr>
        <w:ind w:right="80" w:firstLine="987"/>
        <w:spacing w:after="0" w:line="282" w:lineRule="auto"/>
        <w:tabs>
          <w:tab w:leader="none" w:pos="123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continuation or assumption of such outstanding Awards under the Plan by the Company (if it is the surviving company or corporation) or by the surviving company or corporation or its parent;</w:t>
      </w:r>
    </w:p>
    <w:p>
      <w:pPr>
        <w:spacing w:after="0" w:line="53" w:lineRule="exact"/>
        <w:rPr>
          <w:rFonts w:ascii="Times New Roman" w:cs="Times New Roman" w:eastAsia="Times New Roman" w:hAnsi="Times New Roman"/>
          <w:sz w:val="18"/>
          <w:szCs w:val="18"/>
          <w:color w:val="auto"/>
        </w:rPr>
      </w:pPr>
    </w:p>
    <w:p>
      <w:pPr>
        <w:ind w:right="120" w:firstLine="987"/>
        <w:spacing w:after="0" w:line="266" w:lineRule="auto"/>
        <w:tabs>
          <w:tab w:leader="none" w:pos="124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substitution by the surviving company or corporation or its parent of awards with substantially the same or comparable terms (including, with respect to economic value) for outstanding Awards (with appropriate adjustments to the type of consideration payable upon settlement of the Awards);</w:t>
      </w:r>
    </w:p>
    <w:p>
      <w:pPr>
        <w:spacing w:after="0" w:line="67" w:lineRule="exact"/>
        <w:rPr>
          <w:rFonts w:ascii="Times New Roman" w:cs="Times New Roman" w:eastAsia="Times New Roman" w:hAnsi="Times New Roman"/>
          <w:sz w:val="18"/>
          <w:szCs w:val="18"/>
          <w:color w:val="auto"/>
        </w:rPr>
      </w:pPr>
    </w:p>
    <w:p>
      <w:pPr>
        <w:ind w:firstLine="987"/>
        <w:spacing w:after="0" w:line="282" w:lineRule="auto"/>
        <w:tabs>
          <w:tab w:leader="none" w:pos="123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accelerated exercisability, vesting and/or payment under outstanding Awards immediately prior to or upon the occurrence of such event or upon a termination of employment following such event; and</w:t>
      </w:r>
    </w:p>
    <w:p>
      <w:pPr>
        <w:spacing w:after="0" w:line="53" w:lineRule="exact"/>
        <w:rPr>
          <w:rFonts w:ascii="Times New Roman" w:cs="Times New Roman" w:eastAsia="Times New Roman" w:hAnsi="Times New Roman"/>
          <w:sz w:val="18"/>
          <w:szCs w:val="18"/>
          <w:color w:val="auto"/>
        </w:rPr>
      </w:pPr>
    </w:p>
    <w:p>
      <w:pPr>
        <w:ind w:right="140" w:firstLine="987"/>
        <w:spacing w:after="0" w:line="282" w:lineRule="auto"/>
        <w:tabs>
          <w:tab w:leader="none" w:pos="124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all or substantially all of the Company’s outstanding shares of Common Stock are transferred in exchange for cash consideration in connection with such Change in Control:</w:t>
      </w:r>
    </w:p>
    <w:p>
      <w:pPr>
        <w:spacing w:after="0" w:line="53" w:lineRule="exact"/>
        <w:rPr>
          <w:rFonts w:ascii="Times New Roman" w:cs="Times New Roman" w:eastAsia="Times New Roman" w:hAnsi="Times New Roman"/>
          <w:sz w:val="18"/>
          <w:szCs w:val="18"/>
          <w:color w:val="auto"/>
        </w:rPr>
      </w:pPr>
    </w:p>
    <w:p>
      <w:pPr>
        <w:jc w:val="both"/>
        <w:ind w:right="300" w:firstLine="1428"/>
        <w:spacing w:after="0" w:line="261" w:lineRule="auto"/>
        <w:tabs>
          <w:tab w:leader="none" w:pos="164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written notice, provide that any outstanding Stock Options and Stock Appreciation Rights are exercisable during a reasonable period of time immediately prior to the scheduled consummation of the event or such other reasonable period as determined by the Committee (contingent upon the consummation of the event) and, at the end of such period, such Stock Options and Stock Appreciation Rights shall terminate to the extent not so exercised within the relevant period; and</w:t>
      </w:r>
    </w:p>
    <w:p>
      <w:pPr>
        <w:spacing w:after="0" w:line="71" w:lineRule="exact"/>
        <w:rPr>
          <w:rFonts w:ascii="Times New Roman" w:cs="Times New Roman" w:eastAsia="Times New Roman" w:hAnsi="Times New Roman"/>
          <w:sz w:val="18"/>
          <w:szCs w:val="18"/>
          <w:color w:val="auto"/>
        </w:rPr>
      </w:pPr>
    </w:p>
    <w:p>
      <w:pPr>
        <w:ind w:right="120" w:firstLine="1428"/>
        <w:spacing w:after="0" w:line="256" w:lineRule="auto"/>
        <w:tabs>
          <w:tab w:leader="none" w:pos="169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cancellation of all or any portion of outstanding Awards for fair value (in the form of cash, shares, other property or any combination thereof) as determined in the sole discretion of the Committee;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the case of Stock Options and Stock Appreciation Rights, the fair value may equal the excess, if any, of the value of the consideration to be paid in the Change in Control transaction to holders of the same number of shares of Common Stock subject to such Awards (or, if no such consideration is paid, Fair Market Value of the shares of Common Stock subject to such outstanding Awards or portion thereof being canceled) over the aggregate exercise or base price, as applicable, with respect to such Awards or portion thereof being canceled, or, if there is no such excess, zero.</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0"/>
          </w:cols>
          <w:pgMar w:left="440" w:top="268" w:right="479" w:bottom="1440" w:gutter="0" w:footer="0" w:header="0"/>
        </w:sectPr>
      </w:pPr>
    </w:p>
    <w:bookmarkStart w:id="21" w:name="page22"/>
    <w:bookmarkEnd w:id="21"/>
    <w:p>
      <w:pPr>
        <w:ind w:right="20" w:firstLine="440"/>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12.2 </w:t>
      </w:r>
      <w:r>
        <w:rPr>
          <w:rFonts w:ascii="Times New Roman" w:cs="Times New Roman" w:eastAsia="Times New Roman" w:hAnsi="Times New Roman"/>
          <w:sz w:val="18"/>
          <w:szCs w:val="18"/>
          <w:i w:val="1"/>
          <w:iCs w:val="1"/>
          <w:color w:val="auto"/>
        </w:rPr>
        <w:t>Definition of Change in Control.</w:t>
      </w:r>
      <w:r>
        <w:rPr>
          <w:rFonts w:ascii="Times New Roman" w:cs="Times New Roman" w:eastAsia="Times New Roman" w:hAnsi="Times New Roman"/>
          <w:sz w:val="18"/>
          <w:szCs w:val="18"/>
          <w:color w:val="auto"/>
        </w:rPr>
        <w:t xml:space="preserve"> Unless otherwise defined in an Award Agreement, “</w:t>
      </w:r>
      <w:r>
        <w:rPr>
          <w:rFonts w:ascii="Times New Roman" w:cs="Times New Roman" w:eastAsia="Times New Roman" w:hAnsi="Times New Roman"/>
          <w:sz w:val="18"/>
          <w:szCs w:val="18"/>
          <w:i w:val="1"/>
          <w:iCs w:val="1"/>
          <w:color w:val="auto"/>
        </w:rPr>
        <w:t>Change in Control</w:t>
      </w:r>
      <w:r>
        <w:rPr>
          <w:rFonts w:ascii="Times New Roman" w:cs="Times New Roman" w:eastAsia="Times New Roman" w:hAnsi="Times New Roman"/>
          <w:sz w:val="18"/>
          <w:szCs w:val="18"/>
          <w:color w:val="auto"/>
        </w:rPr>
        <w:t>” shall mean the occurrence of one of the following events:</w:t>
      </w:r>
    </w:p>
    <w:p>
      <w:pPr>
        <w:spacing w:after="0" w:line="52" w:lineRule="exact"/>
        <w:rPr>
          <w:sz w:val="20"/>
          <w:szCs w:val="20"/>
          <w:color w:val="auto"/>
        </w:rPr>
      </w:pPr>
    </w:p>
    <w:p>
      <w:pPr>
        <w:ind w:firstLine="987"/>
        <w:spacing w:after="0" w:line="255" w:lineRule="auto"/>
        <w:tabs>
          <w:tab w:leader="none" w:pos="123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becomes the Beneficial Owner, directly or indirectly, of more than fifty percent (50%) of the combined voting power, excluding any Person who Beneficially Owns fifty percent (50%) or more of the voting power on the Restatement Effective Date, of the then outstanding voting securities of the Company entitled to vote generally in the election of its directors (the “</w:t>
      </w:r>
      <w:r>
        <w:rPr>
          <w:rFonts w:ascii="Times New Roman" w:cs="Times New Roman" w:eastAsia="Times New Roman" w:hAnsi="Times New Roman"/>
          <w:sz w:val="18"/>
          <w:szCs w:val="18"/>
          <w:i w:val="1"/>
          <w:iCs w:val="1"/>
          <w:color w:val="auto"/>
        </w:rPr>
        <w:t>Outstanding Company Voting Securities</w:t>
      </w:r>
      <w:r>
        <w:rPr>
          <w:rFonts w:ascii="Times New Roman" w:cs="Times New Roman" w:eastAsia="Times New Roman" w:hAnsi="Times New Roman"/>
          <w:sz w:val="18"/>
          <w:szCs w:val="18"/>
          <w:color w:val="auto"/>
        </w:rPr>
        <w:t>”), including by way of merger, consolidation or otherwise; provided, however, that for purposes of this definition, the following acquisitions shall not constitute a Change in Control: (i) any acquisition of Outstanding Company Voting Securities directly from the Company, including without limitation, a public offering of securities, or (ii) any acquisition of Outstanding Company Voting Securities by the Company or any of its Subsidiaries, including an acquisition by any employee benefit plan or related trust sponsored or maintained by the Company or any of its Subsidiaries.</w:t>
      </w:r>
    </w:p>
    <w:p>
      <w:pPr>
        <w:spacing w:after="0" w:line="80" w:lineRule="exact"/>
        <w:rPr>
          <w:rFonts w:ascii="Times New Roman" w:cs="Times New Roman" w:eastAsia="Times New Roman" w:hAnsi="Times New Roman"/>
          <w:sz w:val="18"/>
          <w:szCs w:val="18"/>
          <w:color w:val="auto"/>
        </w:rPr>
      </w:pPr>
    </w:p>
    <w:p>
      <w:pPr>
        <w:ind w:firstLine="987"/>
        <w:spacing w:after="0" w:line="253" w:lineRule="auto"/>
        <w:tabs>
          <w:tab w:leader="none" w:pos="124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Consummation of a reorganization, merger, or consolidation to which the Company is a party or a sale or other disposition of all or substantially all of the assets of the Company (a “</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 unless, following such Business Combination: (i) any Persons who were the Beneficial Owners of Outstanding Company Voting Securities immediately prior to such Business Combination are the Beneficial Owners, directly or indirectly, of more than fifty percent (50%) of the combined voting power of the outstanding voting securities entitled to vote generally in the election of directors (or election of members of a comparable governing body) of the entity resulting from the Business Combination (including, without limitation, an entity which, as a result of such transaction, owns all or substantially all of the Company or all or substantially all of the Company’s assets, either directly or through one or more subsidiaries) (the “</w:t>
      </w:r>
      <w:r>
        <w:rPr>
          <w:rFonts w:ascii="Times New Roman" w:cs="Times New Roman" w:eastAsia="Times New Roman" w:hAnsi="Times New Roman"/>
          <w:sz w:val="18"/>
          <w:szCs w:val="18"/>
          <w:i w:val="1"/>
          <w:iCs w:val="1"/>
          <w:color w:val="auto"/>
        </w:rPr>
        <w:t>Successor Entity</w:t>
      </w:r>
      <w:r>
        <w:rPr>
          <w:rFonts w:ascii="Times New Roman" w:cs="Times New Roman" w:eastAsia="Times New Roman" w:hAnsi="Times New Roman"/>
          <w:sz w:val="18"/>
          <w:szCs w:val="18"/>
          <w:color w:val="auto"/>
        </w:rPr>
        <w:t>”) in substantially the same proportions as their ownership immediately prior to such Business Combination; or (ii) no Person (excluding any Successor Entity or any employee benefit plan or related trust of the Company, any of its Subsidiaries, such Successor Entity or any of its subsidiaries) is the Beneficial Owner, directly or indirectly, of more than fifty percent (50%) of the combined voting power of the then outstanding voting securities entitled to vote generally in the election of directors (or comparable governing body) of the Successor Entity, except to the extent that such ownership of the Company existed prior to the Business Combination.</w:t>
      </w:r>
    </w:p>
    <w:p>
      <w:pPr>
        <w:spacing w:after="0" w:line="8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the shareholders of the Company of a complete liquidation or dissolution of the Company.</w:t>
      </w:r>
    </w:p>
    <w:p>
      <w:pPr>
        <w:spacing w:after="0" w:line="225" w:lineRule="exact"/>
        <w:rPr>
          <w:sz w:val="20"/>
          <w:szCs w:val="20"/>
          <w:color w:val="auto"/>
        </w:rPr>
      </w:pPr>
    </w:p>
    <w:p>
      <w:pPr>
        <w:ind w:right="120"/>
        <w:spacing w:after="0" w:line="312" w:lineRule="auto"/>
        <w:rPr>
          <w:sz w:val="20"/>
          <w:szCs w:val="20"/>
          <w:color w:val="auto"/>
        </w:rPr>
      </w:pPr>
      <w:r>
        <w:rPr>
          <w:rFonts w:ascii="Times New Roman" w:cs="Times New Roman" w:eastAsia="Times New Roman" w:hAnsi="Times New Roman"/>
          <w:sz w:val="17"/>
          <w:szCs w:val="17"/>
          <w:color w:val="auto"/>
        </w:rPr>
        <w:t>Notwithstanding the foregoing, to the extent necessary to comply with Section 409A of the Code with respect to the payment of “nonqualified deferred compensation,” “Change of Control” shall be defined as, and limited to, a “change in control event” as defined under Section 409A of the Code.</w:t>
      </w:r>
    </w:p>
    <w:p>
      <w:pPr>
        <w:spacing w:after="0" w:line="32" w:lineRule="exact"/>
        <w:rPr>
          <w:sz w:val="20"/>
          <w:szCs w:val="20"/>
          <w:color w:val="auto"/>
        </w:rPr>
      </w:pPr>
    </w:p>
    <w:p>
      <w:pPr>
        <w:ind w:left="700" w:hanging="264"/>
        <w:spacing w:after="0"/>
        <w:tabs>
          <w:tab w:leader="none" w:pos="7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Forfeiture Events</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13.1 </w:t>
      </w: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The Committee may specify in an Award Agreement at the time of the Award that the Participant’s rights, payments and benefits with respect to an Award shall be subject to reduction, cancellation, forfeiture or recoupment upon the occurrence of certain specified events, in addition to any otherwise applicable vesting or performance conditions of an Award. Such events may include, but shall not be limited to, termination of Service for Cause, violation of material Company policies, breach of noncompetition, confidentiality or other restrictive covenants that may apply to the Participant or other conduct by the Participant that is detrimental to the business or reputation of the Company. Notwithstanding anything to the contrary, no shares of Common Stock issued or issuable pursuant to Section 11.3 hereof shall be subject to this Section 13 hereof, other than</w:t>
      </w:r>
    </w:p>
    <w:p>
      <w:pPr>
        <w:spacing w:after="0" w:line="2"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Section 13.3 hereof or the terms or as otherwise may be required pursuant to the terms and conditions of such cash compensation otherwise due to the Participant.</w:t>
      </w:r>
    </w:p>
    <w:p>
      <w:pPr>
        <w:spacing w:after="0" w:line="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13.2 </w:t>
      </w:r>
      <w:r>
        <w:rPr>
          <w:rFonts w:ascii="Times New Roman" w:cs="Times New Roman" w:eastAsia="Times New Roman" w:hAnsi="Times New Roman"/>
          <w:sz w:val="18"/>
          <w:szCs w:val="18"/>
          <w:i w:val="1"/>
          <w:iCs w:val="1"/>
          <w:color w:val="auto"/>
        </w:rPr>
        <w:t>Termination for Cause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987"/>
        <w:spacing w:after="0" w:line="258" w:lineRule="auto"/>
        <w:tabs>
          <w:tab w:leader="none" w:pos="123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Treatment of Awards</w:t>
      </w:r>
      <w:r>
        <w:rPr>
          <w:rFonts w:ascii="Times New Roman" w:cs="Times New Roman" w:eastAsia="Times New Roman" w:hAnsi="Times New Roman"/>
          <w:sz w:val="18"/>
          <w:szCs w:val="18"/>
          <w:color w:val="auto"/>
        </w:rPr>
        <w:t>. Unless otherwise provided by the Committee and set forth in an Award Agreement, if (i) a Participant’s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Company or any Subsidiary shall be terminated for Cause, or (ii) after termination of Service for any other reason, the Committee determines in its discretion either that, (1) during the Participant’s period of Service, the Participant engaged in an act which would have warranted termination from Service for Cause or (2) after termination, the Participant engaged in conduct that violates any continuing obligation or duty of the Participant set forth in any executive or restrictive covenant agreement with respect to non-competition, non-solicitation,</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68" w:right="459" w:bottom="1440" w:gutter="0" w:footer="0" w:header="0"/>
        </w:sectPr>
      </w:pPr>
    </w:p>
    <w:bookmarkStart w:id="22" w:name="page23"/>
    <w:bookmarkEnd w:id="22"/>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confidentiality, intellectual property or trade secret protection, or any similar agreement to which the Participant is a party in favor of the Company or any Subsidiary (any such event described in clause (i) or (ii), with respect to any Participant, a “</w:t>
      </w:r>
      <w:r>
        <w:rPr>
          <w:rFonts w:ascii="Times New Roman" w:cs="Times New Roman" w:eastAsia="Times New Roman" w:hAnsi="Times New Roman"/>
          <w:sz w:val="18"/>
          <w:szCs w:val="18"/>
          <w:i w:val="1"/>
          <w:iCs w:val="1"/>
          <w:color w:val="auto"/>
        </w:rPr>
        <w:t>Forfeiture Event</w:t>
      </w:r>
      <w:r>
        <w:rPr>
          <w:rFonts w:ascii="Times New Roman" w:cs="Times New Roman" w:eastAsia="Times New Roman" w:hAnsi="Times New Roman"/>
          <w:sz w:val="18"/>
          <w:szCs w:val="18"/>
          <w:color w:val="auto"/>
        </w:rPr>
        <w:t>” with respect to such Participant), then such Participant’s rights, payments and benefits with respect to such an Award shall be subject to cancellation, forfeiture and/or recoupment, as provided in Section 13.3 below. The Company shall have the power to determine whether, and the date on which, any Forfeiture Event has occurred and whether to exercise the right of recapture provided in Section 13.3 below. Any such determination shall be final, conclusive and binding upon the Participant. In addition, if the Company shall reasonably determine that a Forfeiture Event with respect to any Participant has occurred, then the Company may suspend such Participant’s rights to exercise, receive any payment under, or vest in any right with respect to, any Award, pending a final determination by the Company of whether such an act has been committed.</w:t>
      </w:r>
    </w:p>
    <w:p>
      <w:pPr>
        <w:spacing w:after="0" w:line="82" w:lineRule="exact"/>
        <w:rPr>
          <w:sz w:val="20"/>
          <w:szCs w:val="20"/>
          <w:color w:val="auto"/>
        </w:rPr>
      </w:pPr>
    </w:p>
    <w:p>
      <w:pPr>
        <w:ind w:left="1240" w:hanging="253"/>
        <w:spacing w:after="0"/>
        <w:tabs>
          <w:tab w:leader="none" w:pos="12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Definition of Cause</w:t>
      </w:r>
      <w:r>
        <w:rPr>
          <w:rFonts w:ascii="Times New Roman" w:cs="Times New Roman" w:eastAsia="Times New Roman" w:hAnsi="Times New Roman"/>
          <w:sz w:val="18"/>
          <w:szCs w:val="18"/>
          <w:color w:val="auto"/>
        </w:rPr>
        <w:t>. Unless otherwise defined in an Award Agreement, “</w:t>
      </w:r>
      <w:r>
        <w:rPr>
          <w:rFonts w:ascii="Times New Roman" w:cs="Times New Roman" w:eastAsia="Times New Roman" w:hAnsi="Times New Roman"/>
          <w:sz w:val="18"/>
          <w:szCs w:val="18"/>
          <w:i w:val="1"/>
          <w:iCs w:val="1"/>
          <w:color w:val="auto"/>
        </w:rPr>
        <w:t>Cause</w:t>
      </w:r>
      <w:r>
        <w:rPr>
          <w:rFonts w:ascii="Times New Roman" w:cs="Times New Roman" w:eastAsia="Times New Roman" w:hAnsi="Times New Roman"/>
          <w:sz w:val="18"/>
          <w:szCs w:val="18"/>
          <w:color w:val="auto"/>
        </w:rPr>
        <w:t>” shall mean:</w:t>
      </w:r>
    </w:p>
    <w:p>
      <w:pPr>
        <w:spacing w:after="0" w:line="119" w:lineRule="exact"/>
        <w:rPr>
          <w:rFonts w:ascii="Times New Roman" w:cs="Times New Roman" w:eastAsia="Times New Roman" w:hAnsi="Times New Roman"/>
          <w:sz w:val="18"/>
          <w:szCs w:val="18"/>
          <w:color w:val="auto"/>
        </w:rPr>
      </w:pPr>
    </w:p>
    <w:p>
      <w:pPr>
        <w:ind w:right="160" w:firstLine="1428"/>
        <w:spacing w:after="0" w:line="282" w:lineRule="auto"/>
        <w:tabs>
          <w:tab w:leader="none" w:pos="164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Participant has an effective employment agreement, service agreement or other similar agreement with the Company or any Subsidiary that defines “Cause” or a like term, the meaning set forth in such agreement at the time of the Participant’s termination of Service; or,</w:t>
      </w:r>
    </w:p>
    <w:p>
      <w:pPr>
        <w:spacing w:after="0" w:line="53" w:lineRule="exact"/>
        <w:rPr>
          <w:rFonts w:ascii="Times New Roman" w:cs="Times New Roman" w:eastAsia="Times New Roman" w:hAnsi="Times New Roman"/>
          <w:sz w:val="18"/>
          <w:szCs w:val="18"/>
          <w:color w:val="auto"/>
        </w:rPr>
      </w:pPr>
    </w:p>
    <w:p>
      <w:pPr>
        <w:ind w:right="40" w:firstLine="1428"/>
        <w:spacing w:after="0" w:line="256" w:lineRule="auto"/>
        <w:tabs>
          <w:tab w:leader="none" w:pos="169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such definition, (A) the Participant’s breach of any fiduciary duty or material breach of any legal or contractual obligation to the Company or any of its Affiliates, or to the Company’s direct or indirect equity holders, (B) the Participant’s failure to follow the reasonable instructions of the Board or such Participant’s direct supervisor, which breach, if curable, is not cured within ten (10) business days after notice to such Participant or, if cured, recurs within one hundred eighty (180) days, (C) the Participant’s gross negligence, willful misconduct, fraud, or acts of dishonesty relating to the Company or any of its Affiliates, or (D) the Participant’s conviction of any misdemeanor relating to the affairs of the Company or any of its Affiliates or indictment for any felony.</w:t>
      </w:r>
    </w:p>
    <w:p>
      <w:pPr>
        <w:spacing w:after="0" w:line="77"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13.3 </w:t>
      </w:r>
      <w:r>
        <w:rPr>
          <w:rFonts w:ascii="Times New Roman" w:cs="Times New Roman" w:eastAsia="Times New Roman" w:hAnsi="Times New Roman"/>
          <w:sz w:val="18"/>
          <w:szCs w:val="18"/>
          <w:i w:val="1"/>
          <w:iCs w:val="1"/>
          <w:color w:val="auto"/>
        </w:rPr>
        <w:t>Right of Recapture</w:t>
      </w:r>
      <w:r>
        <w:rPr>
          <w:rFonts w:ascii="Times New Roman" w:cs="Times New Roman" w:eastAsia="Times New Roman" w:hAnsi="Times New Roman"/>
          <w:sz w:val="18"/>
          <w:szCs w:val="18"/>
          <w:color w:val="auto"/>
        </w:rPr>
        <w:t>. If a Forfeiture Event with respect to a Participant occurs at any time period within one (1) year (or such longer time specified in any Award Agreement or other agreement with a Participant) after the date on which any Award to such Participant is exercised, vests, becomes payable or is paid or the date on which gain or income is otherwise realized in connection with any such Award, then any gain or income realized by the Participant from the exercise, vesting, payment or other realization event in connection with such Award, shall be paid by the Participant to the Company upon written notice from the Company or the Committee, subject to applicable state or local law. Such gain or income shall be determined as of the date or dates on which such gain or income is realized by the Participant, without regard to any subsequent change in the Fair Market Value of a share of Common Stock. The Company shall, subject to compliance with Section 409A of the Code, have the right to offset any such gain or income against any amounts otherwise owed to the Participant by the Company or any Subsidiary (whether as wages, vacation pay or pursuant to any benefit plan or other compensatory arrangement). In addition, Awards under the Plan shall be subject to any policy of the Company providing for forfeiture of incentive or performance based compensation in the event of an individual’s misconduct, or certain changes in the financial reporting or financial results of the Company (such policy, a “</w:t>
      </w:r>
      <w:r>
        <w:rPr>
          <w:rFonts w:ascii="Times New Roman" w:cs="Times New Roman" w:eastAsia="Times New Roman" w:hAnsi="Times New Roman"/>
          <w:sz w:val="18"/>
          <w:szCs w:val="18"/>
          <w:b w:val="1"/>
          <w:bCs w:val="1"/>
          <w:i w:val="1"/>
          <w:iCs w:val="1"/>
          <w:color w:val="auto"/>
        </w:rPr>
        <w:t>Clawback Policy</w:t>
      </w:r>
      <w:r>
        <w:rPr>
          <w:rFonts w:ascii="Times New Roman" w:cs="Times New Roman" w:eastAsia="Times New Roman" w:hAnsi="Times New Roman"/>
          <w:sz w:val="18"/>
          <w:szCs w:val="18"/>
          <w:color w:val="auto"/>
        </w:rPr>
        <w:t>”), as may be in effect from time to time.</w:t>
      </w:r>
    </w:p>
    <w:p>
      <w:pPr>
        <w:spacing w:after="0" w:line="86" w:lineRule="exact"/>
        <w:rPr>
          <w:sz w:val="20"/>
          <w:szCs w:val="20"/>
          <w:color w:val="auto"/>
        </w:rPr>
      </w:pPr>
    </w:p>
    <w:p>
      <w:pPr>
        <w:ind w:left="700" w:hanging="264"/>
        <w:spacing w:after="0"/>
        <w:tabs>
          <w:tab w:leader="none" w:pos="7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Leave of Absence, Etc</w:t>
      </w:r>
      <w:r>
        <w:rPr>
          <w:rFonts w:ascii="Times New Roman" w:cs="Times New Roman" w:eastAsia="Times New Roman" w:hAnsi="Times New Roman"/>
          <w:sz w:val="18"/>
          <w:szCs w:val="18"/>
          <w:color w:val="auto"/>
        </w:rPr>
        <w:t>. For purposes of the Plan, the following events shall not be deemed a termination of employment:</w:t>
      </w:r>
    </w:p>
    <w:p>
      <w:pPr>
        <w:spacing w:after="0" w:line="117" w:lineRule="exact"/>
        <w:rPr>
          <w:rFonts w:ascii="Times New Roman" w:cs="Times New Roman" w:eastAsia="Times New Roman" w:hAnsi="Times New Roman"/>
          <w:sz w:val="18"/>
          <w:szCs w:val="18"/>
          <w:color w:val="auto"/>
        </w:rPr>
      </w:pPr>
    </w:p>
    <w:p>
      <w:pPr>
        <w:ind w:right="480" w:firstLine="987"/>
        <w:spacing w:after="0" w:line="282" w:lineRule="auto"/>
        <w:tabs>
          <w:tab w:leader="none" w:pos="123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to the employment of the Company from a Subsidiary or from the Company to a Subsidiary, or from one Subsidiary to another Subsidiary; or</w:t>
      </w:r>
    </w:p>
    <w:p>
      <w:pPr>
        <w:spacing w:after="0" w:line="53" w:lineRule="exact"/>
        <w:rPr>
          <w:rFonts w:ascii="Times New Roman" w:cs="Times New Roman" w:eastAsia="Times New Roman" w:hAnsi="Times New Roman"/>
          <w:sz w:val="18"/>
          <w:szCs w:val="18"/>
          <w:color w:val="auto"/>
        </w:rPr>
      </w:pPr>
    </w:p>
    <w:p>
      <w:pPr>
        <w:ind w:right="180" w:firstLine="987"/>
        <w:spacing w:after="0" w:line="266" w:lineRule="auto"/>
        <w:tabs>
          <w:tab w:leader="none" w:pos="124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Committee otherwise so provides in writing.</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0"/>
          </w:cols>
          <w:pgMar w:left="440" w:top="270" w:right="479" w:bottom="1440" w:gutter="0" w:footer="0" w:header="0"/>
        </w:sectPr>
      </w:pPr>
    </w:p>
    <w:bookmarkStart w:id="23" w:name="page24"/>
    <w:bookmarkEnd w:id="23"/>
    <w:p>
      <w:pPr>
        <w:ind w:left="700" w:hanging="264"/>
        <w:spacing w:after="0"/>
        <w:tabs>
          <w:tab w:leader="none" w:pos="7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General Provisions</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right="780" w:firstLine="440"/>
        <w:spacing w:after="0" w:line="284" w:lineRule="auto"/>
        <w:rPr>
          <w:sz w:val="20"/>
          <w:szCs w:val="20"/>
          <w:color w:val="auto"/>
        </w:rPr>
      </w:pPr>
      <w:r>
        <w:rPr>
          <w:rFonts w:ascii="Times New Roman" w:cs="Times New Roman" w:eastAsia="Times New Roman" w:hAnsi="Times New Roman"/>
          <w:sz w:val="18"/>
          <w:szCs w:val="18"/>
          <w:color w:val="auto"/>
        </w:rPr>
        <w:t xml:space="preserve">15.1 </w:t>
      </w:r>
      <w:r>
        <w:rPr>
          <w:rFonts w:ascii="Times New Roman" w:cs="Times New Roman" w:eastAsia="Times New Roman" w:hAnsi="Times New Roman"/>
          <w:sz w:val="18"/>
          <w:szCs w:val="18"/>
          <w:i w:val="1"/>
          <w:iCs w:val="1"/>
          <w:color w:val="auto"/>
        </w:rPr>
        <w:t>Status of Plan</w:t>
      </w:r>
      <w:r>
        <w:rPr>
          <w:rFonts w:ascii="Times New Roman" w:cs="Times New Roman" w:eastAsia="Times New Roman" w:hAnsi="Times New Roman"/>
          <w:sz w:val="18"/>
          <w:szCs w:val="18"/>
          <w:color w:val="auto"/>
        </w:rPr>
        <w:t>. The Committee may (but shall not be obligated to) authorize the creation of trusts or other arrangements to meet the Company’s obligations to deliver stock or make payments with respect to Awards.</w:t>
      </w:r>
    </w:p>
    <w:p>
      <w:pPr>
        <w:spacing w:after="0" w:line="50"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15.2 </w:t>
      </w:r>
      <w:r>
        <w:rPr>
          <w:rFonts w:ascii="Times New Roman" w:cs="Times New Roman" w:eastAsia="Times New Roman" w:hAnsi="Times New Roman"/>
          <w:sz w:val="18"/>
          <w:szCs w:val="18"/>
          <w:i w:val="1"/>
          <w:iCs w:val="1"/>
          <w:color w:val="auto"/>
        </w:rPr>
        <w:t>Award Agreement</w:t>
      </w:r>
      <w:r>
        <w:rPr>
          <w:rFonts w:ascii="Times New Roman" w:cs="Times New Roman" w:eastAsia="Times New Roman" w:hAnsi="Times New Roman"/>
          <w:sz w:val="18"/>
          <w:szCs w:val="18"/>
          <w:color w:val="auto"/>
        </w:rPr>
        <w:t>. Each Award under the Plan shall be evidenced by an Award Agreement, which may include special terms for non U.S. Participants in a separate appendix, in a written or electronic form approved by the Committee setting forth the number of shares of Common Stock subject to or otherwise underlying the Award, the exercise price, base price or purchase price of the Award, the time or times at which an Award will become vested, exercisable or payable and the term of the Award. The Award Agreement may also set forth the effect on an Award of a Change in Control or a termination of Service under certain circumstances. The Award Agreement shall be subject to and shall (or shall be deemed to) incorporate, by reference or otherwise, all of the applicable terms and conditions of the Plan, and may also set forth other terms and conditions applicable to the Award as determined by the Committee consistent with the limitations of the Plan. The grant of an Award under the Plan shall not confer any rights upon the Participant holding such Award other than such terms, and subject to such conditions, as are specified in the Plan as being applicable to such type of Award (or to all Awards) or as are expressly set forth in the Award Agreement. The Committee need not require the execution of an Award Agreement by a Participant, in which case, acceptance of the Award by the Participant shall constitute agreement by the Participant to the terms, conditions, restrictions and limitations set forth in the Plan and the Award Agreement as well as the administrative guidelines of the Company in effect from time to time. In the event of any conflict between the provisions of the Plan and any Award Agreement, the provisions of the Plan shall prevail.</w:t>
      </w:r>
    </w:p>
    <w:p>
      <w:pPr>
        <w:spacing w:after="0" w:line="82"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15.3 </w:t>
      </w:r>
      <w:r>
        <w:rPr>
          <w:rFonts w:ascii="Times New Roman" w:cs="Times New Roman" w:eastAsia="Times New Roman" w:hAnsi="Times New Roman"/>
          <w:sz w:val="18"/>
          <w:szCs w:val="18"/>
          <w:i w:val="1"/>
          <w:iCs w:val="1"/>
          <w:color w:val="auto"/>
        </w:rPr>
        <w:t>No Assignment or Transfer; Beneficiaries</w:t>
      </w:r>
      <w:r>
        <w:rPr>
          <w:rFonts w:ascii="Times New Roman" w:cs="Times New Roman" w:eastAsia="Times New Roman" w:hAnsi="Times New Roman"/>
          <w:sz w:val="18"/>
          <w:szCs w:val="18"/>
          <w:color w:val="auto"/>
        </w:rPr>
        <w:t>. Except as provided in Section 6.7(e) hereof or as otherwise determined by the Committee, Awards under the Plan shall not be assignable or transferable by the Participant, and shall not be subject in any manner to assignment, alienation, pledge, encumbrance or charge. Notwithstanding the foregoing, in the event of the death of a Participant, except as otherwise provided by the Committee in an Award Agreement, an outstanding Award may be exercised by or shall become payable to the Participant’s beneficiary as designated by the Participant in the manner prescribed by the Committee or, in the absence of an authorized beneficiary designation, by a legatee or legatees of such Award under the participant’s last will or by such Participant’s executors, personal representatives or distributees of such Award in accordance with the Participant’s will or the laws of descent and distribution. The Committee may provide in the terms of an Award Agreement or in any other manner prescribed by the Committee that the Participant shall have the right to designate a beneficiary or beneficiaries who shall be entitled to any rights, payments or other benefits specified under an Award following the Participant’s death.</w:t>
      </w:r>
    </w:p>
    <w:p>
      <w:pPr>
        <w:spacing w:after="0" w:line="80"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15.4 </w:t>
      </w:r>
      <w:r>
        <w:rPr>
          <w:rFonts w:ascii="Times New Roman" w:cs="Times New Roman" w:eastAsia="Times New Roman" w:hAnsi="Times New Roman"/>
          <w:sz w:val="18"/>
          <w:szCs w:val="18"/>
          <w:i w:val="1"/>
          <w:iCs w:val="1"/>
          <w:color w:val="auto"/>
        </w:rPr>
        <w:t>Deferrals of Payment</w:t>
      </w:r>
      <w:r>
        <w:rPr>
          <w:rFonts w:ascii="Times New Roman" w:cs="Times New Roman" w:eastAsia="Times New Roman" w:hAnsi="Times New Roman"/>
          <w:sz w:val="18"/>
          <w:szCs w:val="18"/>
          <w:color w:val="auto"/>
        </w:rPr>
        <w:t xml:space="preserve">. The Committee may in its discretion permit a Participant to defer the receipt of payment of cash or delivery of shares of Common Stock that would otherwise be due to the Participant by virtue of (a) the exercise of a right or the satisfaction of vesting or other conditions with respect to an Award or (b) an election to receive shares of Common Stock (in lieu of compensation otherwise payable in cash) on a deferred basis pursuant to Section 11.3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discretion shall not apply in the case of a Stock Option or Stock Appreciation Right. If any such deferral is to be permitted by the Committee, the Committee shall establish rules and procedures relating to such deferral in a manner intended to comply with the requirements of Section 409A of the Code, including, without limitation, the time when an election to defer may be made, the time period of the deferral and the events that would result in payment of the deferred amount, the interest or other earnings attributable to the deferral and the method of funding, if any, attributable to the deferred amount.</w:t>
      </w:r>
    </w:p>
    <w:p>
      <w:pPr>
        <w:spacing w:after="0" w:line="77"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15.5 </w:t>
      </w:r>
      <w:r>
        <w:rPr>
          <w:rFonts w:ascii="Times New Roman" w:cs="Times New Roman" w:eastAsia="Times New Roman" w:hAnsi="Times New Roman"/>
          <w:sz w:val="18"/>
          <w:szCs w:val="18"/>
          <w:i w:val="1"/>
          <w:iCs w:val="1"/>
          <w:color w:val="auto"/>
        </w:rPr>
        <w:t>No Right to Employment or Continued Service</w:t>
      </w:r>
      <w:r>
        <w:rPr>
          <w:rFonts w:ascii="Times New Roman" w:cs="Times New Roman" w:eastAsia="Times New Roman" w:hAnsi="Times New Roman"/>
          <w:sz w:val="18"/>
          <w:szCs w:val="18"/>
          <w:color w:val="auto"/>
        </w:rPr>
        <w:t>. Nothing in the Plan, in the grant of any Award or in any Award Agreement shall confer upon any Eligible Person or any Participant any right to continue in the Service of the Company or any of its Subsidiaries or interfere in any way with the right of the Company or any of its Subsidiaries to terminate the employment or other service relationship of an Eligible Person or a Participant for any reason at any time.</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20"/>
          </w:cols>
          <w:pgMar w:left="440" w:top="270" w:right="439" w:bottom="1440" w:gutter="0" w:footer="0" w:header="0"/>
        </w:sectPr>
      </w:pPr>
    </w:p>
    <w:bookmarkStart w:id="24" w:name="page25"/>
    <w:bookmarkEnd w:id="24"/>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15.6 </w:t>
      </w:r>
      <w:r>
        <w:rPr>
          <w:rFonts w:ascii="Times New Roman" w:cs="Times New Roman" w:eastAsia="Times New Roman" w:hAnsi="Times New Roman"/>
          <w:sz w:val="18"/>
          <w:szCs w:val="18"/>
          <w:i w:val="1"/>
          <w:iCs w:val="1"/>
          <w:color w:val="auto"/>
        </w:rPr>
        <w:t>Rights as Stockholder</w:t>
      </w:r>
      <w:r>
        <w:rPr>
          <w:rFonts w:ascii="Times New Roman" w:cs="Times New Roman" w:eastAsia="Times New Roman" w:hAnsi="Times New Roman"/>
          <w:sz w:val="18"/>
          <w:szCs w:val="18"/>
          <w:color w:val="auto"/>
        </w:rPr>
        <w:t>. Except as may otherwise be provided herein, a Participant shall have no rights as a holder of shares of Common Stock with respect to any unissued securities covered by an Award until the date the Participant becomes the holder of record of such securities. Except as provided in Section 4.4 hereof or as otherwise determined by the Committee, no adjustment or other provision shall be made for dividends or other stockholder rights, except to the extent that the Award Agreement provides for dividend payments, dividend equivalent rights or other similar rights subject to the terms of Section 5.5, it being understood that the Committee may provide for the payment of dividends and other distributions to the Participant at such times as paid to the stockholders or at the times of vesting or otherwise set forth in the applicable Award Agreement and pursuant to the terms of Section 5.5. The Committee may determine in its discretion the manner of delivery of Common Stock to be issued under the Plan, which may be by delivery of stock certificates, electronic account entry into new or existing accounts or any other means as the Committee, in its discretion, deems appropriate. The Committee may (a) require that the stock certificates (if any) be held in escrow by the Company (or any of its officers) for any shares of Common Stock, (b) cause the shares of Common Stock to be legended in order to comply with the securities laws or other applicable restrictions or, (c) should the shares of Common Stock be represented by book or electronic account entry rather than a certificate, take such steps to restrict transfer of such shares of Common Stock as the Committee considers necessary or advisable.</w:t>
      </w:r>
    </w:p>
    <w:p>
      <w:pPr>
        <w:spacing w:after="0" w:line="82" w:lineRule="exact"/>
        <w:rPr>
          <w:sz w:val="20"/>
          <w:szCs w:val="20"/>
          <w:color w:val="auto"/>
        </w:rPr>
      </w:pPr>
    </w:p>
    <w:p>
      <w:pPr>
        <w:ind w:right="360" w:firstLine="440"/>
        <w:spacing w:after="0" w:line="284" w:lineRule="auto"/>
        <w:rPr>
          <w:sz w:val="20"/>
          <w:szCs w:val="20"/>
          <w:color w:val="auto"/>
        </w:rPr>
      </w:pPr>
      <w:r>
        <w:rPr>
          <w:rFonts w:ascii="Times New Roman" w:cs="Times New Roman" w:eastAsia="Times New Roman" w:hAnsi="Times New Roman"/>
          <w:sz w:val="18"/>
          <w:szCs w:val="18"/>
          <w:color w:val="auto"/>
        </w:rPr>
        <w:t xml:space="preserve">15.7 </w:t>
      </w:r>
      <w:r>
        <w:rPr>
          <w:rFonts w:ascii="Times New Roman" w:cs="Times New Roman" w:eastAsia="Times New Roman" w:hAnsi="Times New Roman"/>
          <w:sz w:val="18"/>
          <w:szCs w:val="18"/>
          <w:i w:val="1"/>
          <w:iCs w:val="1"/>
          <w:color w:val="auto"/>
        </w:rPr>
        <w:t>Trading Policy Restrictions</w:t>
      </w:r>
      <w:r>
        <w:rPr>
          <w:rFonts w:ascii="Times New Roman" w:cs="Times New Roman" w:eastAsia="Times New Roman" w:hAnsi="Times New Roman"/>
          <w:sz w:val="18"/>
          <w:szCs w:val="18"/>
          <w:color w:val="auto"/>
        </w:rPr>
        <w:t>. Option exercises and other Awards granted under the Plan shall be subject to the Company’s insider trading policy or other trading or ownership policy-related restrictions, terms and conditions as in effect from time to time.</w:t>
      </w:r>
    </w:p>
    <w:p>
      <w:pPr>
        <w:spacing w:after="0" w:line="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15.8 </w:t>
      </w:r>
      <w:r>
        <w:rPr>
          <w:rFonts w:ascii="Times New Roman" w:cs="Times New Roman" w:eastAsia="Times New Roman" w:hAnsi="Times New Roman"/>
          <w:sz w:val="18"/>
          <w:szCs w:val="18"/>
          <w:i w:val="1"/>
          <w:iCs w:val="1"/>
          <w:color w:val="auto"/>
        </w:rPr>
        <w:t>Section 409A Compliance and Section 280G</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52" w:lineRule="auto"/>
        <w:tabs>
          <w:tab w:leader="none" w:pos="123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Section 409A</w:t>
      </w:r>
      <w:r>
        <w:rPr>
          <w:rFonts w:ascii="Times New Roman" w:cs="Times New Roman" w:eastAsia="Times New Roman" w:hAnsi="Times New Roman"/>
          <w:sz w:val="18"/>
          <w:szCs w:val="18"/>
          <w:color w:val="auto"/>
        </w:rPr>
        <w:t>. To the maximum extent possible, it is intended that the Plan and all Awards hereunder are, and shall be, exempt from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comply with the requirements of Section 409A of the Code, the regulations thereunder promulgated by the United States Department of Treasury (the “</w:t>
      </w:r>
      <w:r>
        <w:rPr>
          <w:rFonts w:ascii="Times New Roman" w:cs="Times New Roman" w:eastAsia="Times New Roman" w:hAnsi="Times New Roman"/>
          <w:sz w:val="18"/>
          <w:szCs w:val="18"/>
          <w:i w:val="1"/>
          <w:iCs w:val="1"/>
          <w:color w:val="auto"/>
        </w:rPr>
        <w:t>Treasury Regulations</w:t>
      </w:r>
      <w:r>
        <w:rPr>
          <w:rFonts w:ascii="Times New Roman" w:cs="Times New Roman" w:eastAsia="Times New Roman" w:hAnsi="Times New Roman"/>
          <w:sz w:val="18"/>
          <w:szCs w:val="18"/>
          <w:color w:val="auto"/>
        </w:rPr>
        <w:t>”) and other guidance issued thereunder, and that the Plan and all Award Agreements shall be interpreted and applied by the Committee in a manner consistent with this intent in order to avoid the imposition of any additional tax under Section 409A of the Code. In the event that any (i) provision of the Plan or an Award Agreement, (ii) Award, payment or transaction or (iii) other action or arrangement contemplated by the provisions of the Plan is determined by the Committee to not comply with the applicable requirements of Section 409A of the Code, the Treasury Regulations and other guidance issued thereunder, the Committee shall have the authority to take such actions and to make such changes to the Plan or an Award Agreement as the Committee deems necessary to comply with such requirements. No payment that constitutes deferred compensation under Section 409A of the Code that would otherwise be made under the Plan or an Award Agreement upon a termination of Service will be made or provided unless and until such termination is also a “separation from service,” as determined in accordance with Section 409A of the Code. Notwithstanding the foregoing or anything elsewhere in the Plan or an Award Agreement to the contrary, if a Participant is a “specified employee” as defined in Section 409A of the Code at the time of termination of Service with respect to an Award, then solely to the extent necessary to avoid the imposition of any additional tax under Section 409A of the Code, the commencement of any payments or benefits under the Award shall be deferred until the date that is six months following the Participant’s termination of Service (or, if earlier, the date of death of the specified employee) and shall instead be paid (in a manner set forth in the Award Agreement) on the payment date that immediately follows the end of such six-month period (or death) or as soon as administratively practicable within thirty (30) days thereafter, but in no event later than the end of the applicable taxable year. In no event whatsoever shall the Company be liable for any additional tax, interest or penalties that may be imposed on a Participant by Section 409A of the Code or any damages for failing to comply with Section 409A of the Code.</w:t>
      </w:r>
    </w:p>
    <w:p>
      <w:pPr>
        <w:spacing w:after="0" w:line="8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Section 280G</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right="420" w:firstLine="1428"/>
        <w:spacing w:after="0" w:line="266" w:lineRule="auto"/>
        <w:tabs>
          <w:tab w:leader="none" w:pos="164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in this Plan to the contrary notwithstanding, in the event that the receipt of all payments or distributions by the Company in the nature of compensation to or for a Participant’s benefit, whether paid or payable pursuant to this Plan or otherwise (a “</w:t>
      </w:r>
      <w:r>
        <w:rPr>
          <w:rFonts w:ascii="Times New Roman" w:cs="Times New Roman" w:eastAsia="Times New Roman" w:hAnsi="Times New Roman"/>
          <w:sz w:val="18"/>
          <w:szCs w:val="18"/>
          <w:i w:val="1"/>
          <w:iCs w:val="1"/>
          <w:color w:val="auto"/>
        </w:rPr>
        <w:t>Payment</w:t>
      </w:r>
      <w:r>
        <w:rPr>
          <w:rFonts w:ascii="Times New Roman" w:cs="Times New Roman" w:eastAsia="Times New Roman" w:hAnsi="Times New Roman"/>
          <w:sz w:val="18"/>
          <w:szCs w:val="18"/>
          <w:color w:val="auto"/>
        </w:rPr>
        <w:t>”), would subject the</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60"/>
          </w:cols>
          <w:pgMar w:left="440" w:top="268" w:right="499" w:bottom="1440" w:gutter="0" w:footer="0" w:header="0"/>
        </w:sectPr>
      </w:pPr>
    </w:p>
    <w:bookmarkStart w:id="25" w:name="page26"/>
    <w:bookmarkEnd w:id="25"/>
    <w:p>
      <w:pPr>
        <w:ind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Participant to the excise tax under Section 4999 of the Code, the accounting firm which audited the Company prior to the corporate transaction which results in the application of such excise tax (the “</w:t>
      </w:r>
      <w:r>
        <w:rPr>
          <w:rFonts w:ascii="Times New Roman" w:cs="Times New Roman" w:eastAsia="Times New Roman" w:hAnsi="Times New Roman"/>
          <w:sz w:val="18"/>
          <w:szCs w:val="18"/>
          <w:i w:val="1"/>
          <w:iCs w:val="1"/>
          <w:color w:val="auto"/>
        </w:rPr>
        <w:t>Accounting Firm</w:t>
      </w:r>
      <w:r>
        <w:rPr>
          <w:rFonts w:ascii="Times New Roman" w:cs="Times New Roman" w:eastAsia="Times New Roman" w:hAnsi="Times New Roman"/>
          <w:sz w:val="18"/>
          <w:szCs w:val="18"/>
          <w:color w:val="auto"/>
        </w:rPr>
        <w:t>”) shall determine whether to reduce any of the Payments to the Reduced Amount (as defined below). The Payments shall be reduced to the Reduced Amount only if the Accounting Firm determines that the Participant would have a greater Net After-Tax Receipt (as defined below) of aggregate Payments if the Participant’s Payments were reduced to the Reduced Amount. If such a determination is not made by the Accounting Firm, the Participant shall receive all Payments to which Participant is entitled.</w:t>
      </w:r>
    </w:p>
    <w:p>
      <w:pPr>
        <w:spacing w:after="0" w:line="75" w:lineRule="exact"/>
        <w:rPr>
          <w:sz w:val="20"/>
          <w:szCs w:val="20"/>
          <w:color w:val="auto"/>
        </w:rPr>
      </w:pPr>
    </w:p>
    <w:p>
      <w:pPr>
        <w:ind w:right="40" w:firstLine="1428"/>
        <w:spacing w:after="0" w:line="253" w:lineRule="auto"/>
        <w:tabs>
          <w:tab w:leader="none" w:pos="169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Accounting Firm determines that aggregate Payments should be reduced to the Reduced Amount, the Company shall promptly give Participant notice to that effect and a copy of the detailed calculation thereof. All determinations made by the Accounting Firm under this Section 15.8(b) shall be made as soon as reasonably practicable and in no event later than sixty (60) days following the date of termination or such earlier date as requested by the Company. For purposes of reducing the Payments to the Reduced Amount, such reduction shall be implemented by determining the Parachute Payment Ratio (as defined below) for each Payment and then reducing the Payments in order beginning with the Payment with the highest Parachute Payment Ratio. For Payments with the same Parachute Payment Ratio, such Payments shall be reduced based on the time of payment of such Payments, with amounts having later payment dates being reduced first. For Payments with the same Parachute Payment Ratio and the same time of payment, such Payments shall be reduced on a pro rata basis (but not below zero) prior to reducing Payments with a lower Parachute Payment Ratio. In all cases, the reduction of Payments shall be implemented in a manner that complies with Section 409A of the Code. All other provisions of any agreement embodying the Payments shall remain in full force and effect. All fees and expenses of the Accounting Firm shall be borne solely by the Company.</w:t>
      </w:r>
    </w:p>
    <w:p>
      <w:pPr>
        <w:spacing w:after="0" w:line="83" w:lineRule="exact"/>
        <w:rPr>
          <w:rFonts w:ascii="Times New Roman" w:cs="Times New Roman" w:eastAsia="Times New Roman" w:hAnsi="Times New Roman"/>
          <w:sz w:val="18"/>
          <w:szCs w:val="18"/>
          <w:color w:val="auto"/>
        </w:rPr>
      </w:pPr>
    </w:p>
    <w:p>
      <w:pPr>
        <w:ind w:firstLine="1428"/>
        <w:spacing w:after="0" w:line="253" w:lineRule="auto"/>
        <w:tabs>
          <w:tab w:leader="none" w:pos="174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uncertainty in the application of Section 4999 of the Code at the time of the initial determination by the Accounting Firm hereunder, it is possible that amounts will have been paid or distributed by the Company to or for the benefit of Participant pursuant to this Agreement or otherwise which should not have been so paid or distributed (the “</w:t>
      </w:r>
      <w:r>
        <w:rPr>
          <w:rFonts w:ascii="Times New Roman" w:cs="Times New Roman" w:eastAsia="Times New Roman" w:hAnsi="Times New Roman"/>
          <w:sz w:val="18"/>
          <w:szCs w:val="18"/>
          <w:i w:val="1"/>
          <w:iCs w:val="1"/>
          <w:color w:val="auto"/>
        </w:rPr>
        <w:t>Overpayment</w:t>
      </w:r>
      <w:r>
        <w:rPr>
          <w:rFonts w:ascii="Times New Roman" w:cs="Times New Roman" w:eastAsia="Times New Roman" w:hAnsi="Times New Roman"/>
          <w:sz w:val="18"/>
          <w:szCs w:val="18"/>
          <w:color w:val="auto"/>
        </w:rPr>
        <w:t>”) or that additional amounts which will have not been paid or distributed by the Company to or for the benefit of Participant pursuant to this Agreement or otherwise could have been so paid or distributed (the “</w:t>
      </w:r>
      <w:r>
        <w:rPr>
          <w:rFonts w:ascii="Times New Roman" w:cs="Times New Roman" w:eastAsia="Times New Roman" w:hAnsi="Times New Roman"/>
          <w:sz w:val="18"/>
          <w:szCs w:val="18"/>
          <w:i w:val="1"/>
          <w:iCs w:val="1"/>
          <w:color w:val="auto"/>
        </w:rPr>
        <w:t>Underpayment</w:t>
      </w:r>
      <w:r>
        <w:rPr>
          <w:rFonts w:ascii="Times New Roman" w:cs="Times New Roman" w:eastAsia="Times New Roman" w:hAnsi="Times New Roman"/>
          <w:sz w:val="18"/>
          <w:szCs w:val="18"/>
          <w:color w:val="auto"/>
        </w:rPr>
        <w:t>”), in each case, consistent with the calculation of the Reduced Amount hereunder. In the event that the Accounting Firm, based upon the assertion of a deficiency by the Internal Revenue Service against either the Company or Participant which the Accounting Firm believes has a high probability of success, determines that an Overpayment has been made, Participant shall pay any such Overpayment to the Company together with interest at the applicable federal rate provided for in Section 7872(f)(2) of the Code; provided, however, that no amount shall be payable by Participant to the Company if and to the extent such payment would not either reduce the amount on which Participant is subject to tax under Section 1 and Section 4999 of the Code or generate a refund of such taxes. In the event that the Accounting Firm, based upon controlling precedent or substantial authority, determines that an Underpayment has occurred, any such Underpayment shall be paid promptly (and in no event later than sixty (60) days following the date on which the Underpayment is determined) by the Company to or for the benefit of Participant together with interest at the applicable federal rate provided for in Section 7872(f)(2) of the Code.</w:t>
      </w:r>
    </w:p>
    <w:p>
      <w:pPr>
        <w:spacing w:after="0" w:line="77" w:lineRule="exact"/>
        <w:rPr>
          <w:rFonts w:ascii="Times New Roman" w:cs="Times New Roman" w:eastAsia="Times New Roman" w:hAnsi="Times New Roman"/>
          <w:sz w:val="18"/>
          <w:szCs w:val="18"/>
          <w:color w:val="auto"/>
        </w:rPr>
      </w:pPr>
    </w:p>
    <w:p>
      <w:pPr>
        <w:ind w:right="20" w:firstLine="1428"/>
        <w:spacing w:after="0" w:line="254" w:lineRule="auto"/>
        <w:tabs>
          <w:tab w:leader="none" w:pos="173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hereof, the following terms have the meanings set forth below: (A) “</w:t>
      </w:r>
      <w:r>
        <w:rPr>
          <w:rFonts w:ascii="Times New Roman" w:cs="Times New Roman" w:eastAsia="Times New Roman" w:hAnsi="Times New Roman"/>
          <w:sz w:val="18"/>
          <w:szCs w:val="18"/>
          <w:i w:val="1"/>
          <w:iCs w:val="1"/>
          <w:color w:val="auto"/>
        </w:rPr>
        <w:t>Reduced Amount</w:t>
      </w:r>
      <w:r>
        <w:rPr>
          <w:rFonts w:ascii="Times New Roman" w:cs="Times New Roman" w:eastAsia="Times New Roman" w:hAnsi="Times New Roman"/>
          <w:sz w:val="18"/>
          <w:szCs w:val="18"/>
          <w:color w:val="auto"/>
        </w:rPr>
        <w:t>” shall mean the greatest amount of Payments that can be paid that would not result in the imposition of the excise tax under Section 4999 of the Code if the Accounting Firm determines to reduce Payments pursuant to this Section 15.8(b), (B) “</w:t>
      </w:r>
      <w:r>
        <w:rPr>
          <w:rFonts w:ascii="Times New Roman" w:cs="Times New Roman" w:eastAsia="Times New Roman" w:hAnsi="Times New Roman"/>
          <w:sz w:val="18"/>
          <w:szCs w:val="18"/>
          <w:i w:val="1"/>
          <w:iCs w:val="1"/>
          <w:color w:val="auto"/>
        </w:rPr>
        <w:t>Net After-Tax Receipt</w:t>
      </w:r>
      <w:r>
        <w:rPr>
          <w:rFonts w:ascii="Times New Roman" w:cs="Times New Roman" w:eastAsia="Times New Roman" w:hAnsi="Times New Roman"/>
          <w:sz w:val="18"/>
          <w:szCs w:val="18"/>
          <w:color w:val="auto"/>
        </w:rPr>
        <w:t>” shall mean the present value (as determined in accordance with Sections 280G(b)(2)(A)(ii) and 280G(d)(4) of the Code) of a Payment net of all taxes imposed on Participant with respect thereto under Sections 1 and 4999 of the Code and under applicable state and local laws, determined by applying the highest marginal rate under Section 1 of the Code and under state and local laws which applied to Participant’s taxable income for the immediately preceding taxable year, or such other rate(s) as Participant certifies, in Participant’s sole discretion, as likely to apply to Participant in the relevant tax year(s), and (C) “</w:t>
      </w:r>
      <w:r>
        <w:rPr>
          <w:rFonts w:ascii="Times New Roman" w:cs="Times New Roman" w:eastAsia="Times New Roman" w:hAnsi="Times New Roman"/>
          <w:sz w:val="18"/>
          <w:szCs w:val="18"/>
          <w:i w:val="1"/>
          <w:iCs w:val="1"/>
          <w:color w:val="auto"/>
        </w:rPr>
        <w:t>Parachute Payment Ratio</w:t>
      </w:r>
      <w:r>
        <w:rPr>
          <w:rFonts w:ascii="Times New Roman" w:cs="Times New Roman" w:eastAsia="Times New Roman" w:hAnsi="Times New Roman"/>
          <w:sz w:val="18"/>
          <w:szCs w:val="18"/>
          <w:color w:val="auto"/>
        </w:rPr>
        <w:t>” shall mean a fraction the numerator of which is the present value (as determined in accordance with Sections 280G(b)(2)(A)(ii) and 280G(d)(4) of the Code) of the applicable Payment for purposes of Section 280G and the denominator of which is the intrinsic value of such Payment.</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26" w:name="page27"/>
    <w:bookmarkEnd w:id="26"/>
    <w:p>
      <w:pPr>
        <w:ind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15.9 </w:t>
      </w:r>
      <w:r>
        <w:rPr>
          <w:rFonts w:ascii="Times New Roman" w:cs="Times New Roman" w:eastAsia="Times New Roman" w:hAnsi="Times New Roman"/>
          <w:sz w:val="18"/>
          <w:szCs w:val="18"/>
          <w:i w:val="1"/>
          <w:iCs w:val="1"/>
          <w:color w:val="auto"/>
        </w:rPr>
        <w:t>Securities Law Compliance</w:t>
      </w:r>
      <w:r>
        <w:rPr>
          <w:rFonts w:ascii="Times New Roman" w:cs="Times New Roman" w:eastAsia="Times New Roman" w:hAnsi="Times New Roman"/>
          <w:sz w:val="18"/>
          <w:szCs w:val="18"/>
          <w:color w:val="auto"/>
        </w:rPr>
        <w:t>. No shares of Common Stock will be issued or transferred pursuant to an Award unless and until all then applicable requirements imposed by Federal and state securities and other laws, rules and regulations and by any regulatory agencies having jurisdiction, and by any exchanges upon which the shares of Common Stock may be listed, have been fully met. As a condition precedent to the issuance of shares of Common Stock pursuant to the grant or exercise of an Award, the Company may require the Participant to take any reasonable action to meet such requirements. The Committee may impose such conditions on any shares of Common Stock issuable under the Plan as it may deem advisable, including, without limitation, restrictions under the Securities Act of 1933, as amended, under the requirements of any exchange upon which such shares of the same class are then listed, and under any blue sky or other securities laws applicable to such shares.</w:t>
      </w:r>
    </w:p>
    <w:p>
      <w:pPr>
        <w:spacing w:after="0" w:line="75"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 xml:space="preserve">15.10 </w:t>
      </w:r>
      <w:r>
        <w:rPr>
          <w:rFonts w:ascii="Times New Roman" w:cs="Times New Roman" w:eastAsia="Times New Roman" w:hAnsi="Times New Roman"/>
          <w:sz w:val="18"/>
          <w:szCs w:val="18"/>
          <w:i w:val="1"/>
          <w:iCs w:val="1"/>
          <w:color w:val="auto"/>
        </w:rPr>
        <w:t>Substitute Awards in Corporate Transactions</w:t>
      </w:r>
      <w:r>
        <w:rPr>
          <w:rFonts w:ascii="Times New Roman" w:cs="Times New Roman" w:eastAsia="Times New Roman" w:hAnsi="Times New Roman"/>
          <w:sz w:val="18"/>
          <w:szCs w:val="18"/>
          <w:color w:val="auto"/>
        </w:rPr>
        <w:t>. Nothing contained in the Plan shall be construed to limit the right of the Committee to grant Awards under the Plan in connection with the acquisition, whether by purchase, merger, consolidation or other corporate transaction, of the business or assets of any corporation or other entity. Without limiting the foregoing, the Committee may grant Awards under the Plan to an employee, director or other individual service provider of another corporation who becomes an Eligible Person by reason of any such corporate transaction in substitution for awards previously granted by such corporation or entity to such person. The terms and conditions of the substitute Awards may vary from the terms and conditions that would otherwise be required by the Plan solely to the extent the Committee deems necessary for such purpose. Any such substitute awards shall not (a) reduce the number of shares of Common Stock available for issuance under the Plan, (b) be subject to or counted against whether any of the Award limits specified in Section 4.3 or 10.6 hereof have been attained or (c) replenish the Share Reserve upon the occurrence of any event set forth in Section 4.2 hereof.</w:t>
      </w:r>
    </w:p>
    <w:p>
      <w:pPr>
        <w:spacing w:after="0" w:line="80"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15.11 </w:t>
      </w:r>
      <w:r>
        <w:rPr>
          <w:rFonts w:ascii="Times New Roman" w:cs="Times New Roman" w:eastAsia="Times New Roman" w:hAnsi="Times New Roman"/>
          <w:sz w:val="18"/>
          <w:szCs w:val="18"/>
          <w:i w:val="1"/>
          <w:iCs w:val="1"/>
          <w:color w:val="auto"/>
        </w:rPr>
        <w:t>Tax Withholding</w:t>
      </w:r>
      <w:r>
        <w:rPr>
          <w:rFonts w:ascii="Times New Roman" w:cs="Times New Roman" w:eastAsia="Times New Roman" w:hAnsi="Times New Roman"/>
          <w:sz w:val="18"/>
          <w:szCs w:val="18"/>
          <w:color w:val="auto"/>
        </w:rPr>
        <w:t>. The Company shall have the power and the right to deduct or withhold automatically from any amount deliverable under the Award or otherwise, or require a Participant to remit to the Company, the minimum statutory amount to satisfy federal, state and local taxes, domestic or foreign, required by law or regulation to be withheld with respect to any taxable event arising as a result of the Plan. With respect to required withholding, Participants may elect (subject to the Company’s automatic withholding right set out above) to satisfy the withholding requirement with respect to any taxable event arising as a result of the Plan, in whole or in part, by the methods described in Section 6.5 hereof with respect to Stock Options or by a method similar to the methods described in Section 6.5 hereof with respect to Awards other than Stock Options (except as otherwise set forth in an Award Agreement).</w:t>
      </w:r>
    </w:p>
    <w:p>
      <w:pPr>
        <w:spacing w:after="0" w:line="75"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15.12 </w:t>
      </w:r>
      <w:r>
        <w:rPr>
          <w:rFonts w:ascii="Times New Roman" w:cs="Times New Roman" w:eastAsia="Times New Roman" w:hAnsi="Times New Roman"/>
          <w:sz w:val="18"/>
          <w:szCs w:val="18"/>
          <w:i w:val="1"/>
          <w:iCs w:val="1"/>
          <w:color w:val="auto"/>
        </w:rPr>
        <w:t>Unfunded Plan</w:t>
      </w:r>
      <w:r>
        <w:rPr>
          <w:rFonts w:ascii="Times New Roman" w:cs="Times New Roman" w:eastAsia="Times New Roman" w:hAnsi="Times New Roman"/>
          <w:sz w:val="18"/>
          <w:szCs w:val="18"/>
          <w:color w:val="auto"/>
        </w:rPr>
        <w:t>. The adoption of the Plan and any reservation of shares of Stock or cash amounts by the Company to discharge its obligations hereunder shall not be deemed to create a trust or other funded arrangement. Except upon the issuance of Common Stock pursuant to an Award, any rights of a Participant under the Plan shall be those of a general unsecured creditor of the Company, and neither a Participant nor the Participant’s permitted transferees or estate shall have any other interest in any assets of the Company by virtue of the Plan. Notwithstanding any of the foregoing, the Company shall have the right to implement or set aside funds in a grantor trust, subject to the claims of the Company’s creditors or otherwise, to discharge its obligations under the Plan. The Plan is not subject to the U.S. Employee Retirement Income Security Act of 1974, as amended from time to time.</w:t>
      </w:r>
    </w:p>
    <w:p>
      <w:pPr>
        <w:spacing w:after="0" w:line="7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15.13 </w:t>
      </w:r>
      <w:r>
        <w:rPr>
          <w:rFonts w:ascii="Times New Roman" w:cs="Times New Roman" w:eastAsia="Times New Roman" w:hAnsi="Times New Roman"/>
          <w:sz w:val="18"/>
          <w:szCs w:val="18"/>
          <w:i w:val="1"/>
          <w:iCs w:val="1"/>
          <w:color w:val="auto"/>
        </w:rPr>
        <w:t>Other Compensation and Benefit Plans</w:t>
      </w:r>
      <w:r>
        <w:rPr>
          <w:rFonts w:ascii="Times New Roman" w:cs="Times New Roman" w:eastAsia="Times New Roman" w:hAnsi="Times New Roman"/>
          <w:sz w:val="18"/>
          <w:szCs w:val="18"/>
          <w:color w:val="auto"/>
        </w:rPr>
        <w:t>. The adoption of the Plan as amended and restated on the Restatement Effective Date shall not affect any other share incentive or other compensation plans in effect for the Company or any Subsidiary, nor shall the Plan preclude the Company or any Subsidiary from establishing any other forms of share incentive or other compensation or benefit program for employees of the Company or any Subsidiary. The amount of any compensation deemed to be received by a Participant pursuant to an Award shall not constitute includable compensation for purposes of determining the amount of benefits to which a Participant is entitled under any other compensation or benefit plan or program of the Company or a Subsidiary, including, without limitation, under any pension or severance benefits plan, except to the extent specifically provided by the terms of any such plan or required by applicable law.</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68" w:right="459" w:bottom="1440" w:gutter="0" w:footer="0" w:header="0"/>
        </w:sectPr>
      </w:pPr>
    </w:p>
    <w:bookmarkStart w:id="27" w:name="page28"/>
    <w:bookmarkEnd w:id="27"/>
    <w:p>
      <w:pPr>
        <w:jc w:val="both"/>
        <w:ind w:right="80" w:firstLine="440"/>
        <w:spacing w:after="0" w:line="31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15.14 </w:t>
      </w:r>
      <w:r>
        <w:rPr>
          <w:rFonts w:ascii="Times New Roman" w:cs="Times New Roman" w:eastAsia="Times New Roman" w:hAnsi="Times New Roman"/>
          <w:sz w:val="17"/>
          <w:szCs w:val="17"/>
          <w:i w:val="1"/>
          <w:iCs w:val="1"/>
          <w:color w:val="auto"/>
        </w:rPr>
        <w:t>Plan Binding on Transferees</w:t>
      </w:r>
      <w:r>
        <w:rPr>
          <w:rFonts w:ascii="Times New Roman" w:cs="Times New Roman" w:eastAsia="Times New Roman" w:hAnsi="Times New Roman"/>
          <w:sz w:val="17"/>
          <w:szCs w:val="17"/>
          <w:color w:val="auto"/>
        </w:rPr>
        <w:t>. The Plan shall be binding upon the Company, its transferees and assigns, and the Participant, the Participant’s executor, personal representative(s), distributees, administrator, permitted transferees, assignees, beneficiaries, and legatee(s), as applicable.</w:t>
      </w:r>
    </w:p>
    <w:p>
      <w:pPr>
        <w:spacing w:after="0" w:line="27" w:lineRule="exact"/>
        <w:rPr>
          <w:sz w:val="20"/>
          <w:szCs w:val="20"/>
          <w:color w:val="auto"/>
        </w:rPr>
      </w:pPr>
    </w:p>
    <w:p>
      <w:pPr>
        <w:jc w:val="both"/>
        <w:ind w:right="100" w:firstLine="440"/>
        <w:spacing w:after="0" w:line="267" w:lineRule="auto"/>
        <w:rPr>
          <w:sz w:val="20"/>
          <w:szCs w:val="20"/>
          <w:color w:val="auto"/>
        </w:rPr>
      </w:pPr>
      <w:r>
        <w:rPr>
          <w:rFonts w:ascii="Times New Roman" w:cs="Times New Roman" w:eastAsia="Times New Roman" w:hAnsi="Times New Roman"/>
          <w:sz w:val="18"/>
          <w:szCs w:val="18"/>
          <w:color w:val="auto"/>
        </w:rPr>
        <w:t xml:space="preserve">15.15 </w:t>
      </w: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 If any provision of the Plan or any Award Agreement shall be determined to be illegal or unenforceable by any court of law in any jurisdiction, the remaining provisions hereof and thereof shall be severable and enforceable in accordance with their terms, and all provisions shall remain enforceable in any other jurisdiction.</w:t>
      </w:r>
    </w:p>
    <w:p>
      <w:pPr>
        <w:spacing w:after="0" w:line="65"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 xml:space="preserve">15.16 </w:t>
      </w:r>
      <w:r>
        <w:rPr>
          <w:rFonts w:ascii="Times New Roman" w:cs="Times New Roman" w:eastAsia="Times New Roman" w:hAnsi="Times New Roman"/>
          <w:sz w:val="18"/>
          <w:szCs w:val="18"/>
          <w:i w:val="1"/>
          <w:iCs w:val="1"/>
          <w:color w:val="auto"/>
        </w:rPr>
        <w:t>Governing Law; Jurisdiction; Waiver of Jury Trial</w:t>
      </w:r>
      <w:r>
        <w:rPr>
          <w:rFonts w:ascii="Times New Roman" w:cs="Times New Roman" w:eastAsia="Times New Roman" w:hAnsi="Times New Roman"/>
          <w:sz w:val="18"/>
          <w:szCs w:val="18"/>
          <w:color w:val="auto"/>
        </w:rPr>
        <w:t>. The Plan and each Award Agreement and all claims, causes of action or proceedings (whether in contract, in tort, at law or otherwise) that may be based upon, arise out of, or relate to, the Plan or any Award Agreement shall be governed by the internal laws of the State of Delaware, excluding any conflicts or choice-of-law rule or principle that might otherwise refer construction or interpretation of the Plan to the substantive law of another jurisdiction. Each Participant and each party to an Award Agreement agrees that it shall bring all claims, causes of action and proceedings (whether in contract, in tort, at law or otherwise) that may be based upon, arise out of, or be related to, the Plan or any Award Agreement exclusively in the Delaware Court of Chancery or, in the event (but only in the event) that such court does not have subject matter jurisdiction over such claim, cause of action or proceeding, exclusively in the United States District Court for the District of Delaware (the “</w:t>
      </w:r>
      <w:r>
        <w:rPr>
          <w:rFonts w:ascii="Times New Roman" w:cs="Times New Roman" w:eastAsia="Times New Roman" w:hAnsi="Times New Roman"/>
          <w:sz w:val="18"/>
          <w:szCs w:val="18"/>
          <w:i w:val="1"/>
          <w:iCs w:val="1"/>
          <w:color w:val="auto"/>
        </w:rPr>
        <w:t>Chosen Court</w:t>
      </w:r>
      <w:r>
        <w:rPr>
          <w:rFonts w:ascii="Times New Roman" w:cs="Times New Roman" w:eastAsia="Times New Roman" w:hAnsi="Times New Roman"/>
          <w:sz w:val="18"/>
          <w:szCs w:val="18"/>
          <w:color w:val="auto"/>
        </w:rPr>
        <w:t>”), and hereby (i) irrevocably submits to the exclusive jurisdiction of the Chosen Court, (ii) waives any objection to laying venue in any such proceeding in the Chosen Court, (iii) waives any objection that the Chosen Court is an inconvenient forum or does not have jurisdiction over any party and (iv) agrees that service of process upon such party in any such claim or cause of action shall be effective if notice is given in accordance with such Award Agreement.</w:t>
      </w:r>
    </w:p>
    <w:p>
      <w:pPr>
        <w:spacing w:after="0" w:line="84"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15.17 </w:t>
      </w:r>
      <w:r>
        <w:rPr>
          <w:rFonts w:ascii="Times New Roman" w:cs="Times New Roman" w:eastAsia="Times New Roman" w:hAnsi="Times New Roman"/>
          <w:sz w:val="18"/>
          <w:szCs w:val="18"/>
          <w:i w:val="1"/>
          <w:iCs w:val="1"/>
          <w:color w:val="auto"/>
        </w:rPr>
        <w:t>No Fractional Shares</w:t>
      </w:r>
      <w:r>
        <w:rPr>
          <w:rFonts w:ascii="Times New Roman" w:cs="Times New Roman" w:eastAsia="Times New Roman" w:hAnsi="Times New Roman"/>
          <w:sz w:val="18"/>
          <w:szCs w:val="18"/>
          <w:color w:val="auto"/>
        </w:rPr>
        <w:t>. No fractional shares of Common Stock shall be issued or delivered pursuant to the Plan or any Award, and the Committee shall determine (i) whether cash, other securities or other property shall be paid or transferred in lieu of any fractional shares of Common Stock or (ii) whether such fractional shares or any rights thereto shall be canceled, terminated or otherwise eliminated (in the case of this clause (ii), with no consideration paid therefor).</w:t>
      </w:r>
    </w:p>
    <w:p>
      <w:pPr>
        <w:spacing w:after="0" w:line="72"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15.18 </w:t>
      </w:r>
      <w:r>
        <w:rPr>
          <w:rFonts w:ascii="Times New Roman" w:cs="Times New Roman" w:eastAsia="Times New Roman" w:hAnsi="Times New Roman"/>
          <w:sz w:val="18"/>
          <w:szCs w:val="18"/>
          <w:i w:val="1"/>
          <w:iCs w:val="1"/>
          <w:color w:val="auto"/>
        </w:rPr>
        <w:t>No Guarantees Regarding Tax Treatment</w:t>
      </w:r>
      <w:r>
        <w:rPr>
          <w:rFonts w:ascii="Times New Roman" w:cs="Times New Roman" w:eastAsia="Times New Roman" w:hAnsi="Times New Roman"/>
          <w:sz w:val="18"/>
          <w:szCs w:val="18"/>
          <w:color w:val="auto"/>
        </w:rPr>
        <w:t>. Neither the Company nor the Committee make any guarantees to any person regarding the tax treatment of Awards or payments made under the Plan. Neither the Company nor the Committee has any obligation to take any action to prevent the assessment of any tax on any person with respect to any Award under Section 409A of the Code, Section 4999 of the Code, Section 280G of the Code or otherwise and neither the Company nor the Committee shall have any liability to a person with respect thereto.</w:t>
      </w:r>
    </w:p>
    <w:p>
      <w:pPr>
        <w:spacing w:after="0" w:line="7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 xml:space="preserve">15.19 </w:t>
      </w:r>
      <w:r>
        <w:rPr>
          <w:rFonts w:ascii="Times New Roman" w:cs="Times New Roman" w:eastAsia="Times New Roman" w:hAnsi="Times New Roman"/>
          <w:sz w:val="18"/>
          <w:szCs w:val="18"/>
          <w:i w:val="1"/>
          <w:iCs w:val="1"/>
          <w:color w:val="auto"/>
        </w:rPr>
        <w:t>Data Protection</w:t>
      </w:r>
      <w:r>
        <w:rPr>
          <w:rFonts w:ascii="Times New Roman" w:cs="Times New Roman" w:eastAsia="Times New Roman" w:hAnsi="Times New Roman"/>
          <w:sz w:val="18"/>
          <w:szCs w:val="18"/>
          <w:color w:val="auto"/>
        </w:rPr>
        <w:t>. By participating in the Plan, each Participant consents to the collection, processing, transmission and storage by the</w:t>
      </w:r>
    </w:p>
    <w:p>
      <w:pPr>
        <w:spacing w:after="0" w:line="2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Company, its Subsidiaries and any third party administrators of any data of a professional or personal nature for the purposes of administering the Plan.</w:t>
      </w:r>
    </w:p>
    <w:p>
      <w:pPr>
        <w:spacing w:after="0" w:line="108" w:lineRule="exact"/>
        <w:rPr>
          <w:sz w:val="20"/>
          <w:szCs w:val="20"/>
          <w:color w:val="auto"/>
        </w:rPr>
      </w:pPr>
    </w:p>
    <w:p>
      <w:pPr>
        <w:jc w:val="both"/>
        <w:ind w:right="60" w:firstLine="440"/>
        <w:spacing w:after="0" w:line="267" w:lineRule="auto"/>
        <w:rPr>
          <w:sz w:val="20"/>
          <w:szCs w:val="20"/>
          <w:color w:val="auto"/>
        </w:rPr>
      </w:pPr>
      <w:r>
        <w:rPr>
          <w:rFonts w:ascii="Times New Roman" w:cs="Times New Roman" w:eastAsia="Times New Roman" w:hAnsi="Times New Roman"/>
          <w:sz w:val="18"/>
          <w:szCs w:val="18"/>
          <w:color w:val="auto"/>
        </w:rPr>
        <w:t xml:space="preserve">15.20 </w:t>
      </w:r>
      <w:r>
        <w:rPr>
          <w:rFonts w:ascii="Times New Roman" w:cs="Times New Roman" w:eastAsia="Times New Roman" w:hAnsi="Times New Roman"/>
          <w:sz w:val="18"/>
          <w:szCs w:val="18"/>
          <w:i w:val="1"/>
          <w:iCs w:val="1"/>
          <w:color w:val="auto"/>
        </w:rPr>
        <w:t>Awards to Non-U.S. Employees, Non-Employee Directors or Consultants.</w:t>
      </w:r>
      <w:r>
        <w:rPr>
          <w:rFonts w:ascii="Times New Roman" w:cs="Times New Roman" w:eastAsia="Times New Roman" w:hAnsi="Times New Roman"/>
          <w:sz w:val="18"/>
          <w:szCs w:val="18"/>
          <w:color w:val="auto"/>
        </w:rPr>
        <w:t xml:space="preserve"> To comply with the laws in countries other than the United States in which the Company or any of its Subsidiaries or affiliates operates or has employees, Non-Employee Directors, consultants or other personal service providers, the Committee, in its sole discretion, shall have the power and authority to:</w:t>
      </w:r>
    </w:p>
    <w:p>
      <w:pPr>
        <w:spacing w:after="0" w:line="67" w:lineRule="exact"/>
        <w:rPr>
          <w:sz w:val="20"/>
          <w:szCs w:val="20"/>
          <w:color w:val="auto"/>
        </w:rPr>
      </w:pPr>
    </w:p>
    <w:p>
      <w:pPr>
        <w:ind w:left="1240" w:hanging="253"/>
        <w:spacing w:after="0"/>
        <w:tabs>
          <w:tab w:leader="none" w:pos="12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which Subsidiaries or affiliates shall be covered by the Plan;</w:t>
      </w:r>
    </w:p>
    <w:p>
      <w:pPr>
        <w:spacing w:after="0" w:line="117" w:lineRule="exact"/>
        <w:rPr>
          <w:rFonts w:ascii="Times New Roman" w:cs="Times New Roman" w:eastAsia="Times New Roman" w:hAnsi="Times New Roman"/>
          <w:sz w:val="18"/>
          <w:szCs w:val="18"/>
          <w:color w:val="auto"/>
        </w:rPr>
      </w:pPr>
    </w:p>
    <w:p>
      <w:pPr>
        <w:ind w:right="280" w:firstLine="987"/>
        <w:spacing w:after="0" w:line="282" w:lineRule="auto"/>
        <w:tabs>
          <w:tab w:leader="none" w:pos="124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which employees, Non-Employee Directors, consultants or other personal service providers outside the United States are eligible to participate in the Plan;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68" w:right="459" w:bottom="1440" w:gutter="0" w:footer="0" w:header="0"/>
        </w:sectPr>
      </w:pPr>
    </w:p>
    <w:bookmarkStart w:id="28" w:name="page29"/>
    <w:bookmarkEnd w:id="28"/>
    <w:p>
      <w:pPr>
        <w:ind w:right="200" w:firstLine="987"/>
        <w:spacing w:after="0" w:line="282" w:lineRule="auto"/>
        <w:tabs>
          <w:tab w:leader="none" w:pos="123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modify the terms and conditions of any Award granted to employees, Non-Employee Directors, consultants or other personal service providers outside the United States to comply with applicable foreign laws;</w:t>
      </w:r>
    </w:p>
    <w:p>
      <w:pPr>
        <w:spacing w:after="0" w:line="53" w:lineRule="exact"/>
        <w:rPr>
          <w:rFonts w:ascii="Times New Roman" w:cs="Times New Roman" w:eastAsia="Times New Roman" w:hAnsi="Times New Roman"/>
          <w:sz w:val="18"/>
          <w:szCs w:val="18"/>
          <w:color w:val="auto"/>
        </w:rPr>
      </w:pPr>
    </w:p>
    <w:p>
      <w:pPr>
        <w:ind w:right="520" w:firstLine="987"/>
        <w:spacing w:after="0" w:line="282" w:lineRule="auto"/>
        <w:tabs>
          <w:tab w:leader="none" w:pos="124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before or after an Award is made, that it deems advisable to obtain approval or comply with any necessary local government regulatory exemptions or approvals; and</w:t>
      </w:r>
    </w:p>
    <w:p>
      <w:pPr>
        <w:spacing w:after="0" w:line="5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subplans and modify exercise procedures and other terms and procedures, to the extent such actions may be necessary 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advisable.</w:t>
      </w:r>
    </w:p>
    <w:p>
      <w:pPr>
        <w:spacing w:after="0" w:line="207"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Any subplans and modifications to Plan terms and procedures established under this Section 15.20 by the Committee shall be attached to this Plan document as appendices.</w:t>
      </w:r>
    </w:p>
    <w:p>
      <w:pPr>
        <w:spacing w:after="0" w:line="54" w:lineRule="exact"/>
        <w:rPr>
          <w:sz w:val="20"/>
          <w:szCs w:val="20"/>
          <w:color w:val="auto"/>
        </w:rPr>
      </w:pPr>
    </w:p>
    <w:p>
      <w:pPr>
        <w:ind w:left="700" w:hanging="264"/>
        <w:spacing w:after="0"/>
        <w:tabs>
          <w:tab w:leader="none" w:pos="7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Amendment and Termination; Stockholder Approval</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16.1 </w:t>
      </w:r>
      <w:r>
        <w:rPr>
          <w:rFonts w:ascii="Times New Roman" w:cs="Times New Roman" w:eastAsia="Times New Roman" w:hAnsi="Times New Roman"/>
          <w:sz w:val="18"/>
          <w:szCs w:val="18"/>
          <w:i w:val="1"/>
          <w:iCs w:val="1"/>
          <w:color w:val="auto"/>
        </w:rPr>
        <w:t>Term</w:t>
      </w:r>
      <w:r>
        <w:rPr>
          <w:rFonts w:ascii="Times New Roman" w:cs="Times New Roman" w:eastAsia="Times New Roman" w:hAnsi="Times New Roman"/>
          <w:sz w:val="18"/>
          <w:szCs w:val="18"/>
          <w:color w:val="auto"/>
        </w:rPr>
        <w:t>. The Plan was originally adopted by the Board and approved by the stockholders on June 24, 2015 (the “</w:t>
      </w:r>
      <w:r>
        <w:rPr>
          <w:rFonts w:ascii="Times New Roman" w:cs="Times New Roman" w:eastAsia="Times New Roman" w:hAnsi="Times New Roman"/>
          <w:sz w:val="18"/>
          <w:szCs w:val="18"/>
          <w:i w:val="1"/>
          <w:iCs w:val="1"/>
          <w:color w:val="auto"/>
        </w:rPr>
        <w:t>Original Effective Date</w:t>
      </w:r>
      <w:r>
        <w:rPr>
          <w:rFonts w:ascii="Times New Roman" w:cs="Times New Roman" w:eastAsia="Times New Roman" w:hAnsi="Times New Roman"/>
          <w:sz w:val="18"/>
          <w:szCs w:val="18"/>
          <w:color w:val="auto"/>
        </w:rPr>
        <w:t>”) as the “Lantheus Holdings, Inc. 2015 Equity Incentive Plan.” The Plan was amended from time to time after the Original Effective Date pursuant to the terms of Section 16.2 as in effect on the Original Effective Date. This amendment and restatement to the Plan, which in part renames the Plan as the “Lantheus Holdings, Inc. 2026 Equity Incentive Plan,” was approved by the Board and became effective on March 18, 2026 (the “</w:t>
      </w:r>
      <w:r>
        <w:rPr>
          <w:rFonts w:ascii="Times New Roman" w:cs="Times New Roman" w:eastAsia="Times New Roman" w:hAnsi="Times New Roman"/>
          <w:sz w:val="18"/>
          <w:szCs w:val="18"/>
          <w:i w:val="1"/>
          <w:iCs w:val="1"/>
          <w:color w:val="auto"/>
        </w:rPr>
        <w:t>Restatement 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Date</w:t>
      </w:r>
      <w:r>
        <w:rPr>
          <w:rFonts w:ascii="Times New Roman" w:cs="Times New Roman" w:eastAsia="Times New Roman" w:hAnsi="Times New Roman"/>
          <w:sz w:val="18"/>
          <w:szCs w:val="18"/>
          <w:color w:val="auto"/>
        </w:rPr>
        <w:t>”), contingent on approval by the stockholders of the Company as required by applicable law.</w:t>
      </w:r>
    </w:p>
    <w:p>
      <w:pPr>
        <w:spacing w:after="0" w:line="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16.2 </w:t>
      </w:r>
      <w:r>
        <w:rPr>
          <w:rFonts w:ascii="Times New Roman" w:cs="Times New Roman" w:eastAsia="Times New Roman" w:hAnsi="Times New Roman"/>
          <w:sz w:val="18"/>
          <w:szCs w:val="18"/>
          <w:i w:val="1"/>
          <w:iCs w:val="1"/>
          <w:color w:val="auto"/>
        </w:rPr>
        <w:t>Amendment and Termination</w:t>
      </w:r>
      <w:r>
        <w:rPr>
          <w:rFonts w:ascii="Times New Roman" w:cs="Times New Roman" w:eastAsia="Times New Roman" w:hAnsi="Times New Roman"/>
          <w:sz w:val="18"/>
          <w:szCs w:val="18"/>
          <w:color w:val="auto"/>
        </w:rPr>
        <w:t>. The Committee may from time to time and in any respect, amend, modify, suspend or terminate the Plan;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that, except as provided in Section 15.8, Section 15.20 or as otherwise determined by the Committee as it deems necessary to comply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laws, no amendment, modification, suspension or termination of the Plan shall adversely affect any Award theretofore granted without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 of the Participant or the permitted transferee of the Award; and provided, further, that the adoption by the Committee of any increase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maximum number of shares of Common Stock reserved for issuance under the Plan shall be deemed the adoption of a new plan for purposes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6.7(e). The Committee may seek the approval of any amendment, modification, suspension or termination by the Company’s stockholders to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extent it deems necessary or advisable in its discretion for purposes of compliance with Section 422 of the Code, the listing requirements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NASDAQ Global Market or other exchange or securities market or for any other purpose.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1."/>
      <w:numFmt w:val="decimal"/>
      <w:start w:val="1"/>
    </w:lvl>
  </w:abstractNum>
  <w:abstractNum w:abstractNumId="2">
    <w:nsid w:val="25E45D32"/>
    <w:multiLevelType w:val="hybridMultilevel"/>
    <w:lvl w:ilvl="0">
      <w:lvlJc w:val="left"/>
      <w:lvlText w:val="(%1)"/>
      <w:numFmt w:val="lowerRoman"/>
      <w:start w:val="1"/>
    </w:lvl>
  </w:abstractNum>
  <w:abstractNum w:abstractNumId="3">
    <w:nsid w:val="519B500D"/>
    <w:multiLevelType w:val="hybridMultilevel"/>
    <w:lvl w:ilvl="0">
      <w:lvlJc w:val="left"/>
      <w:lvlText w:val="%1."/>
      <w:numFmt w:val="decimal"/>
      <w:start w:val="3"/>
    </w:lvl>
  </w:abstractNum>
  <w:abstractNum w:abstractNumId="4">
    <w:nsid w:val="431BD7B7"/>
    <w:multiLevelType w:val="hybridMultilevel"/>
    <w:lvl w:ilvl="0">
      <w:lvlJc w:val="left"/>
      <w:lvlText w:val="(%1)"/>
      <w:numFmt w:val="lowerRoman"/>
      <w:start w:val="1"/>
    </w:lvl>
  </w:abstractNum>
  <w:abstractNum w:abstractNumId="5">
    <w:nsid w:val="3F2DBA31"/>
    <w:multiLevelType w:val="hybridMultilevel"/>
    <w:lvl w:ilvl="0">
      <w:lvlJc w:val="left"/>
      <w:lvlText w:val="(%1)"/>
      <w:numFmt w:val="lowerRoman"/>
      <w:start w:val="12"/>
    </w:lvl>
  </w:abstractNum>
  <w:abstractNum w:abstractNumId="6">
    <w:nsid w:val="7C83E458"/>
    <w:multiLevelType w:val="hybridMultilevel"/>
    <w:lvl w:ilvl="0">
      <w:lvlJc w:val="left"/>
      <w:lvlText w:val="%1."/>
      <w:numFmt w:val="decimal"/>
      <w:start w:val="4"/>
    </w:lvl>
  </w:abstractNum>
  <w:abstractNum w:abstractNumId="7">
    <w:nsid w:val="257130A3"/>
    <w:multiLevelType w:val="hybridMultilevel"/>
    <w:lvl w:ilvl="0">
      <w:lvlJc w:val="left"/>
      <w:lvlText w:val="(%1)"/>
      <w:numFmt w:val="lowerRoman"/>
      <w:start w:val="6"/>
    </w:lvl>
    <w:lvl w:ilvl="1">
      <w:lvlJc w:val="left"/>
      <w:lvlText w:val="%2."/>
      <w:numFmt w:val="decimal"/>
      <w:start w:val="5"/>
    </w:lvl>
  </w:abstractNum>
  <w:abstractNum w:abstractNumId="8">
    <w:nsid w:val="62BBD95A"/>
    <w:multiLevelType w:val="hybridMultilevel"/>
    <w:lvl w:ilvl="0">
      <w:lvlJc w:val="left"/>
      <w:lvlText w:val="%1."/>
      <w:numFmt w:val="decimal"/>
      <w:start w:val="6"/>
    </w:lvl>
  </w:abstractNum>
  <w:abstractNum w:abstractNumId="9">
    <w:nsid w:val="436C6125"/>
    <w:multiLevelType w:val="hybridMultilevel"/>
    <w:lvl w:ilvl="0">
      <w:lvlJc w:val="left"/>
      <w:lvlText w:val="(%1)"/>
      <w:numFmt w:val="lowerLetter"/>
      <w:start w:val="1"/>
    </w:lvl>
  </w:abstractNum>
  <w:abstractNum w:abstractNumId="10">
    <w:nsid w:val="628C895D"/>
    <w:multiLevelType w:val="hybridMultilevel"/>
    <w:lvl w:ilvl="0">
      <w:lvlJc w:val="left"/>
      <w:lvlText w:val="%1"/>
      <w:numFmt w:val="lowerLetter"/>
      <w:start w:val="1"/>
    </w:lvl>
    <w:lvl w:ilvl="1">
      <w:lvlJc w:val="left"/>
      <w:lvlText w:val="(%2)"/>
      <w:numFmt w:val="lowerLetter"/>
      <w:start w:val="4"/>
    </w:lvl>
  </w:abstractNum>
  <w:abstractNum w:abstractNumId="11">
    <w:nsid w:val="333AB105"/>
    <w:multiLevelType w:val="hybridMultilevel"/>
    <w:lvl w:ilvl="0">
      <w:lvlJc w:val="left"/>
      <w:lvlText w:val="(%1)"/>
      <w:numFmt w:val="lowerLetter"/>
      <w:start w:val="35"/>
    </w:lvl>
    <w:lvl w:ilvl="1">
      <w:lvlJc w:val="left"/>
      <w:lvlText w:val="(%2)"/>
      <w:numFmt w:val="lowerLetter"/>
      <w:start w:val="5"/>
    </w:lvl>
  </w:abstractNum>
  <w:abstractNum w:abstractNumId="12">
    <w:nsid w:val="721DA317"/>
    <w:multiLevelType w:val="hybridMultilevel"/>
    <w:lvl w:ilvl="0">
      <w:lvlJc w:val="left"/>
      <w:lvlText w:val="%1."/>
      <w:numFmt w:val="decimal"/>
      <w:start w:val="7"/>
    </w:lvl>
  </w:abstractNum>
  <w:abstractNum w:abstractNumId="13">
    <w:nsid w:val="2443A858"/>
    <w:multiLevelType w:val="hybridMultilevel"/>
    <w:lvl w:ilvl="0">
      <w:lvlJc w:val="left"/>
      <w:lvlText w:val="%1."/>
      <w:numFmt w:val="decimal"/>
      <w:start w:val="8"/>
    </w:lvl>
  </w:abstractNum>
  <w:abstractNum w:abstractNumId="14">
    <w:nsid w:val="2D1D5AE9"/>
    <w:multiLevelType w:val="hybridMultilevel"/>
    <w:lvl w:ilvl="0">
      <w:lvlJc w:val="left"/>
      <w:lvlText w:val="%1."/>
      <w:numFmt w:val="decimal"/>
      <w:start w:val="9"/>
    </w:lvl>
  </w:abstractNum>
  <w:abstractNum w:abstractNumId="15">
    <w:nsid w:val="6763845E"/>
    <w:multiLevelType w:val="hybridMultilevel"/>
    <w:lvl w:ilvl="0">
      <w:lvlJc w:val="left"/>
      <w:lvlText w:val="%1."/>
      <w:numFmt w:val="decimal"/>
      <w:start w:val="10"/>
    </w:lvl>
  </w:abstractNum>
  <w:abstractNum w:abstractNumId="16">
    <w:nsid w:val="75A2A8D4"/>
    <w:multiLevelType w:val="hybridMultilevel"/>
    <w:lvl w:ilvl="0">
      <w:lvlJc w:val="left"/>
      <w:lvlText w:val="(%1)"/>
      <w:numFmt w:val="lowerRoman"/>
      <w:start w:val="16"/>
    </w:lvl>
  </w:abstractNum>
  <w:abstractNum w:abstractNumId="17">
    <w:nsid w:val="8EDBDAB"/>
    <w:multiLevelType w:val="hybridMultilevel"/>
    <w:lvl w:ilvl="0">
      <w:lvlJc w:val="left"/>
      <w:lvlText w:val="%1."/>
      <w:numFmt w:val="decimal"/>
      <w:start w:val="11"/>
    </w:lvl>
  </w:abstractNum>
  <w:abstractNum w:abstractNumId="18">
    <w:nsid w:val="79838CB2"/>
    <w:multiLevelType w:val="hybridMultilevel"/>
    <w:lvl w:ilvl="0">
      <w:lvlJc w:val="left"/>
      <w:lvlText w:val="%1."/>
      <w:numFmt w:val="decimal"/>
      <w:start w:val="12"/>
    </w:lvl>
  </w:abstractNum>
  <w:abstractNum w:abstractNumId="19">
    <w:nsid w:val="4353D0CD"/>
    <w:multiLevelType w:val="hybridMultilevel"/>
    <w:lvl w:ilvl="0">
      <w:lvlJc w:val="left"/>
      <w:lvlText w:val="(%1)"/>
      <w:numFmt w:val="lowerLetter"/>
      <w:start w:val="1"/>
    </w:lvl>
    <w:lvl w:ilvl="1">
      <w:lvlJc w:val="left"/>
      <w:lvlText w:val="(%2)"/>
      <w:numFmt w:val="lowerRoman"/>
      <w:start w:val="1"/>
    </w:lvl>
  </w:abstractNum>
  <w:abstractNum w:abstractNumId="20">
    <w:nsid w:val="B03E0C6"/>
    <w:multiLevelType w:val="hybridMultilevel"/>
    <w:lvl w:ilvl="0">
      <w:lvlJc w:val="left"/>
      <w:lvlText w:val="(%1)"/>
      <w:numFmt w:val="lowerLetter"/>
      <w:start w:val="1"/>
    </w:lvl>
  </w:abstractNum>
  <w:abstractNum w:abstractNumId="21">
    <w:nsid w:val="189A769B"/>
    <w:multiLevelType w:val="hybridMultilevel"/>
    <w:lvl w:ilvl="0">
      <w:lvlJc w:val="left"/>
      <w:lvlText w:val="%1."/>
      <w:numFmt w:val="decimal"/>
      <w:start w:val="13"/>
    </w:lvl>
  </w:abstractNum>
  <w:abstractNum w:abstractNumId="22">
    <w:nsid w:val="54E49EB4"/>
    <w:multiLevelType w:val="hybridMultilevel"/>
    <w:lvl w:ilvl="0">
      <w:lvlJc w:val="left"/>
      <w:lvlText w:val="(%1)"/>
      <w:numFmt w:val="lowerLetter"/>
      <w:start w:val="1"/>
    </w:lvl>
  </w:abstractNum>
  <w:abstractNum w:abstractNumId="23">
    <w:nsid w:val="71F32454"/>
    <w:multiLevelType w:val="hybridMultilevel"/>
    <w:lvl w:ilvl="0">
      <w:lvlJc w:val="left"/>
      <w:lvlText w:val="(%1)"/>
      <w:numFmt w:val="lowerLetter"/>
      <w:start w:val="2"/>
    </w:lvl>
    <w:lvl w:ilvl="1">
      <w:lvlJc w:val="left"/>
      <w:lvlText w:val="(%2)"/>
      <w:numFmt w:val="lowerRoman"/>
      <w:start w:val="1"/>
    </w:lvl>
  </w:abstractNum>
  <w:abstractNum w:abstractNumId="24">
    <w:nsid w:val="2CA88611"/>
    <w:multiLevelType w:val="hybridMultilevel"/>
    <w:lvl w:ilvl="0">
      <w:lvlJc w:val="left"/>
      <w:lvlText w:val="%1."/>
      <w:numFmt w:val="decimal"/>
      <w:start w:val="14"/>
    </w:lvl>
    <w:lvl w:ilvl="1">
      <w:lvlJc w:val="left"/>
      <w:lvlText w:val="(%2)"/>
      <w:numFmt w:val="lowerLetter"/>
      <w:start w:val="1"/>
    </w:lvl>
  </w:abstractNum>
  <w:abstractNum w:abstractNumId="25">
    <w:nsid w:val="836C40E"/>
    <w:multiLevelType w:val="hybridMultilevel"/>
    <w:lvl w:ilvl="0">
      <w:lvlJc w:val="left"/>
      <w:lvlText w:val="%1."/>
      <w:numFmt w:val="decimal"/>
      <w:start w:val="15"/>
    </w:lvl>
  </w:abstractNum>
  <w:abstractNum w:abstractNumId="26">
    <w:nsid w:val="2901D82"/>
    <w:multiLevelType w:val="hybridMultilevel"/>
    <w:lvl w:ilvl="0">
      <w:lvlJc w:val="left"/>
      <w:lvlText w:val="(%1)"/>
      <w:numFmt w:val="lowerLetter"/>
      <w:start w:val="1"/>
    </w:lvl>
    <w:lvl w:ilvl="1">
      <w:lvlJc w:val="left"/>
      <w:lvlText w:val="(%2)"/>
      <w:numFmt w:val="lowerLetter"/>
      <w:start w:val="9"/>
    </w:lvl>
  </w:abstractNum>
  <w:abstractNum w:abstractNumId="27">
    <w:nsid w:val="3A95F874"/>
    <w:multiLevelType w:val="hybridMultilevel"/>
    <w:lvl w:ilvl="0">
      <w:lvlJc w:val="left"/>
      <w:lvlText w:val="(%1)"/>
      <w:numFmt w:val="lowerRoman"/>
      <w:start w:val="2"/>
    </w:lvl>
  </w:abstractNum>
  <w:abstractNum w:abstractNumId="28">
    <w:nsid w:val="8138641"/>
    <w:multiLevelType w:val="hybridMultilevel"/>
    <w:lvl w:ilvl="0">
      <w:lvlJc w:val="left"/>
      <w:lvlText w:val="(%1)"/>
      <w:numFmt w:val="lowerLetter"/>
      <w:start w:val="1"/>
    </w:lvl>
  </w:abstractNum>
  <w:abstractNum w:abstractNumId="29">
    <w:nsid w:val="1E7FF521"/>
    <w:multiLevelType w:val="hybridMultilevel"/>
    <w:lvl w:ilvl="0">
      <w:lvlJc w:val="left"/>
      <w:lvlText w:val="(%1)"/>
      <w:numFmt w:val="lowerLetter"/>
      <w:start w:val="3"/>
    </w:lvl>
  </w:abstractNum>
  <w:abstractNum w:abstractNumId="30">
    <w:nsid w:val="7C3DBD3D"/>
    <w:multiLevelType w:val="hybridMultilevel"/>
    <w:lvl w:ilvl="0">
      <w:lvlJc w:val="left"/>
      <w:lvlText w:val="%1."/>
      <w:numFmt w:val="decimal"/>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2026-05-01T15:37:12Z</dcterms:created>
  <dcterms:modified xsi:type="dcterms:W3CDTF">2026-05-01T15:37:12Z</dcterms:modified>
</cp:coreProperties>
</file>