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Heino Mary Anne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LANTHEUS HOLDINGS,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331 TREBLE COVE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Lantheus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LNTH</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30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01/30/2017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&amp; CEO</w:t>
      </w:r>
    </w:p>
    <w:p>
      <w:pPr>
        <w:spacing w:after="0" w:line="443"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580" w:type="dxa"/>
            <w:vAlign w:val="bottom"/>
            <w:tcBorders>
              <w:bottom w:val="single" w:sz="8" w:color="9A9A9A"/>
            </w:tcBorders>
          </w:tcPr>
          <w:p>
            <w:pPr>
              <w:spacing w:after="0"/>
              <w:rPr>
                <w:sz w:val="4"/>
                <w:szCs w:val="4"/>
                <w:color w:val="auto"/>
              </w:rPr>
            </w:pPr>
          </w:p>
        </w:tc>
        <w:tc>
          <w:tcPr>
            <w:tcW w:w="22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2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820" w:type="dxa"/>
            <w:vAlign w:val="bottom"/>
            <w:tcBorders>
              <w:top w:val="single" w:sz="8" w:color="2C2C2C"/>
              <w:bottom w:val="single" w:sz="8" w:color="2C2C2C"/>
            </w:tcBorders>
            <w:gridSpan w:val="7"/>
            <w:vMerge w:val="restart"/>
          </w:tcPr>
          <w:p>
            <w:pPr>
              <w:ind w:left="80"/>
              <w:spacing w:after="0"/>
              <w:rPr>
                <w:sz w:val="20"/>
                <w:szCs w:val="20"/>
                <w:color w:val="auto"/>
              </w:rPr>
            </w:pPr>
            <w:r>
              <w:rPr>
                <w:rFonts w:ascii="Arial" w:cs="Arial" w:eastAsia="Arial" w:hAnsi="Arial"/>
                <w:sz w:val="14"/>
                <w:szCs w:val="14"/>
                <w:color w:val="auto"/>
              </w:rPr>
              <w:t>4. If Amendment, Date of Original Filed (Month/Day/Year)</w:t>
            </w:r>
          </w:p>
        </w:tc>
        <w:tc>
          <w:tcPr>
            <w:tcW w:w="3580" w:type="dxa"/>
            <w:vAlign w:val="bottom"/>
            <w:tcBorders>
              <w:top w:val="single" w:sz="8" w:color="2C2C2C"/>
              <w:bottom w:val="single" w:sz="8" w:color="2C2C2C"/>
            </w:tcBorders>
            <w:gridSpan w:val="7"/>
            <w:vMerge w:val="restart"/>
          </w:tcPr>
          <w:p>
            <w:pPr>
              <w:ind w:left="240"/>
              <w:spacing w:after="0"/>
              <w:rPr>
                <w:sz w:val="20"/>
                <w:szCs w:val="20"/>
                <w:color w:val="auto"/>
              </w:rPr>
            </w:pPr>
            <w:r>
              <w:rPr>
                <w:rFonts w:ascii="Arial" w:cs="Arial" w:eastAsia="Arial" w:hAnsi="Arial"/>
                <w:sz w:val="14"/>
                <w:szCs w:val="14"/>
                <w:color w:val="auto"/>
              </w:rPr>
              <w:t>6. Individual or Joint/Group Filing (Check Applicable</w:t>
            </w: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EEEEEE"/>
          </w:tcPr>
          <w:p>
            <w:pPr>
              <w:spacing w:after="0" w:line="20" w:lineRule="exact"/>
              <w:rPr>
                <w:sz w:val="1"/>
                <w:szCs w:val="1"/>
                <w:color w:val="auto"/>
              </w:rPr>
            </w:pPr>
          </w:p>
        </w:tc>
        <w:tc>
          <w:tcPr>
            <w:tcW w:w="580" w:type="dxa"/>
            <w:vAlign w:val="bottom"/>
            <w:shd w:val="clear" w:color="auto" w:fill="EEEEEE"/>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1080" w:type="dxa"/>
            <w:vAlign w:val="bottom"/>
            <w:shd w:val="clear" w:color="auto" w:fill="EEEEEE"/>
          </w:tcPr>
          <w:p>
            <w:pPr>
              <w:spacing w:after="0" w:line="20" w:lineRule="exact"/>
              <w:rPr>
                <w:sz w:val="1"/>
                <w:szCs w:val="1"/>
                <w:color w:val="auto"/>
              </w:rPr>
            </w:pPr>
          </w:p>
        </w:tc>
        <w:tc>
          <w:tcPr>
            <w:tcW w:w="1260" w:type="dxa"/>
            <w:vAlign w:val="bottom"/>
            <w:tcBorders>
              <w:right w:val="single" w:sz="8" w:color="EEEEEE"/>
            </w:tcBorders>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20" w:type="dxa"/>
            <w:vAlign w:val="bottom"/>
            <w:gridSpan w:val="7"/>
            <w:vMerge w:val="continue"/>
          </w:tcPr>
          <w:p>
            <w:pPr>
              <w:spacing w:after="0" w:line="20" w:lineRule="exact"/>
              <w:rPr>
                <w:sz w:val="1"/>
                <w:szCs w:val="1"/>
                <w:color w:val="auto"/>
              </w:rPr>
            </w:pPr>
          </w:p>
        </w:tc>
        <w:tc>
          <w:tcPr>
            <w:tcW w:w="3580" w:type="dxa"/>
            <w:vAlign w:val="bottom"/>
            <w:gridSpan w:val="7"/>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20" w:type="dxa"/>
            <w:vAlign w:val="bottom"/>
            <w:gridSpan w:val="7"/>
            <w:vMerge w:val="continue"/>
          </w:tcPr>
          <w:p>
            <w:pPr>
              <w:spacing w:after="0"/>
              <w:rPr>
                <w:sz w:val="12"/>
                <w:szCs w:val="12"/>
                <w:color w:val="auto"/>
              </w:rPr>
            </w:pPr>
          </w:p>
        </w:tc>
        <w:tc>
          <w:tcPr>
            <w:tcW w:w="3580" w:type="dxa"/>
            <w:vAlign w:val="bottom"/>
            <w:gridSpan w:val="7"/>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gridSpan w:val="3"/>
            <w:vMerge w:val="restart"/>
          </w:tcPr>
          <w:p>
            <w:pPr>
              <w:ind w:left="24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9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vMerge w:val="restart"/>
          </w:tcPr>
          <w:p>
            <w:pPr>
              <w:spacing w:after="0"/>
              <w:rPr>
                <w:sz w:val="20"/>
                <w:szCs w:val="20"/>
                <w:color w:val="auto"/>
              </w:rPr>
            </w:pPr>
            <w:r>
              <w:rPr>
                <w:rFonts w:ascii="Arial" w:cs="Arial" w:eastAsia="Arial" w:hAnsi="Arial"/>
                <w:sz w:val="18"/>
                <w:szCs w:val="18"/>
                <w:color w:val="0000FF"/>
                <w:w w:val="99"/>
              </w:rPr>
              <w:t>NORTH</w:t>
            </w: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gridSpan w:val="3"/>
            <w:vMerge w:val="continue"/>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vMerge w:val="continue"/>
          </w:tcPr>
          <w:p>
            <w:pPr>
              <w:spacing w:after="0"/>
              <w:rPr>
                <w:sz w:val="21"/>
                <w:szCs w:val="21"/>
                <w:color w:val="auto"/>
              </w:rPr>
            </w:pPr>
          </w:p>
        </w:tc>
        <w:tc>
          <w:tcPr>
            <w:tcW w:w="580" w:type="dxa"/>
            <w:vAlign w:val="bottom"/>
          </w:tcPr>
          <w:p>
            <w:pPr>
              <w:spacing w:after="0"/>
              <w:rPr>
                <w:sz w:val="21"/>
                <w:szCs w:val="21"/>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color w:val="0000FF"/>
              </w:rPr>
              <w:t>MA</w:t>
            </w:r>
          </w:p>
        </w:tc>
        <w:tc>
          <w:tcPr>
            <w:tcW w:w="1260" w:type="dxa"/>
            <w:vAlign w:val="bottom"/>
          </w:tcPr>
          <w:p>
            <w:pPr>
              <w:spacing w:after="0"/>
              <w:rPr>
                <w:sz w:val="20"/>
                <w:szCs w:val="20"/>
                <w:color w:val="auto"/>
              </w:rPr>
            </w:pPr>
            <w:r>
              <w:rPr>
                <w:rFonts w:ascii="Arial" w:cs="Arial" w:eastAsia="Arial" w:hAnsi="Arial"/>
                <w:sz w:val="18"/>
                <w:szCs w:val="18"/>
                <w:color w:val="0000FF"/>
              </w:rPr>
              <w:t>01862</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spacing w:after="0" w:line="176" w:lineRule="exact"/>
              <w:rPr>
                <w:sz w:val="20"/>
                <w:szCs w:val="20"/>
                <w:color w:val="auto"/>
              </w:rPr>
            </w:pPr>
            <w:r>
              <w:rPr>
                <w:rFonts w:ascii="Arial" w:cs="Arial" w:eastAsia="Arial" w:hAnsi="Arial"/>
                <w:sz w:val="18"/>
                <w:szCs w:val="18"/>
                <w:color w:val="0000FF"/>
              </w:rPr>
              <w:t>BILLERICA</w:t>
            </w: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98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2"/>
          </w:tcPr>
          <w:p>
            <w:pPr>
              <w:ind w:left="180"/>
              <w:spacing w:after="0" w:line="102" w:lineRule="exact"/>
              <w:rPr>
                <w:sz w:val="20"/>
                <w:szCs w:val="20"/>
                <w:color w:val="auto"/>
              </w:rPr>
            </w:pPr>
            <w:r>
              <w:rPr>
                <w:rFonts w:ascii="Arial" w:cs="Arial" w:eastAsia="Arial" w:hAnsi="Arial"/>
                <w:sz w:val="11"/>
                <w:szCs w:val="11"/>
                <w:color w:val="auto"/>
              </w:rPr>
              <w:t>Person</w:t>
            </w:r>
          </w:p>
        </w:tc>
        <w:tc>
          <w:tcPr>
            <w:tcW w:w="9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(City)</w:t>
            </w:r>
          </w:p>
        </w:tc>
        <w:tc>
          <w:tcPr>
            <w:tcW w:w="58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640" w:type="dxa"/>
            <w:vAlign w:val="bottom"/>
            <w:tcBorders>
              <w:bottom w:val="single" w:sz="8" w:color="2C2C2C"/>
            </w:tcBorders>
            <w:gridSpan w:val="4"/>
          </w:tcPr>
          <w:p>
            <w:pPr>
              <w:spacing w:after="0"/>
              <w:rPr>
                <w:sz w:val="11"/>
                <w:szCs w:val="11"/>
                <w:color w:val="auto"/>
              </w:rPr>
            </w:pPr>
          </w:p>
        </w:tc>
        <w:tc>
          <w:tcPr>
            <w:tcW w:w="252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120" w:type="dxa"/>
            <w:vAlign w:val="bottom"/>
            <w:tcBorders>
              <w:top w:val="single" w:sz="8" w:color="2C2C2C"/>
            </w:tcBorders>
            <w:gridSpan w:val="15"/>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01/30/2017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8"/>
              </w:rPr>
              <w:t>7,632</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8.85</w:t>
            </w:r>
          </w:p>
        </w:tc>
        <w:tc>
          <w:tcPr>
            <w:tcW w:w="126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508,418</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jc w:val="center"/>
              <w:ind w:left="86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40" w:type="dxa"/>
            <w:vAlign w:val="bottom"/>
            <w:gridSpan w:val="11"/>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transaction reported on this Form 4 represents the disposition of shares withheld by the Company to satisfy withholding tax liabilities of the Reporting Person associated with the initial vesting of restricted stock previously granted and reported on a previously filed Form 4.</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Michael P. Duffy, attorney-</w:t>
            </w:r>
          </w:p>
        </w:tc>
        <w:tc>
          <w:tcPr>
            <w:tcW w:w="10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02/01/2017</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10676" TargetMode="External"/><Relationship Id="rId13" Type="http://schemas.openxmlformats.org/officeDocument/2006/relationships/hyperlink" Target="http://www.sec.gov/cgi-bin/browse-edgar?action=getcompany&amp;CIK=00015210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2019-12-04T02:22:52Z</dcterms:created>
  <dcterms:modified xsi:type="dcterms:W3CDTF">2019-12-04T02:22:52Z</dcterms:modified>
</cp:coreProperties>
</file>