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705ddefa14a.htm"/>
      <w:bookmarkStart w:id="1" w:name="ksd168705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Schedule 14A relates solely to preliminary communications made prior to furnishing security holders of Lantheus Holdings, Inc. (“</w:t>
      </w:r>
      <w:r>
        <w:rPr>
          <w:rFonts w:ascii="Times New Roman" w:hAnsi="Times New Roman"/>
          <w:sz w:val="20"/>
          <w:u w:val="single"/>
        </w:rPr>
        <w:t>Lantheus</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with a proxy statement related to a proposed transaction in which Coco Merger Sub Inc. (“</w:t>
      </w:r>
      <w:r>
        <w:rPr>
          <w:rFonts w:ascii="Times New Roman" w:hAnsi="Times New Roman"/>
          <w:sz w:val="20"/>
          <w:u w:val="single"/>
        </w:rPr>
        <w:t>Merger Sub</w:t>
      </w:r>
      <w:r>
        <w:rPr>
          <w:rFonts w:ascii="Times New Roman" w:hAnsi="Times New Roman"/>
          <w:sz w:val="20"/>
        </w:rPr>
        <w:t>”), a wholly owned subsidiary of Curium US Holdings LLC (“</w:t>
      </w:r>
      <w:r>
        <w:rPr>
          <w:rFonts w:ascii="Times New Roman" w:hAnsi="Times New Roman"/>
          <w:sz w:val="20"/>
          <w:u w:val="single"/>
        </w:rPr>
        <w:t>Parent</w:t>
      </w:r>
      <w:r>
        <w:rPr>
          <w:rFonts w:ascii="Times New Roman" w:hAnsi="Times New Roman"/>
          <w:sz w:val="20"/>
        </w:rPr>
        <w:t>”), will be merged with and into the Company, with the Company being the surviving corporation and continuing as a wholly owned subsidiary of Parent (the “</w:t>
      </w:r>
      <w:r>
        <w:rPr>
          <w:rFonts w:ascii="Times New Roman" w:hAnsi="Times New Roman"/>
          <w:sz w:val="20"/>
          <w:u w:val="single"/>
        </w:rPr>
        <w:t>Merger</w:t>
      </w:r>
      <w:r>
        <w:rPr>
          <w:rFonts w:ascii="Times New Roman" w:hAnsi="Times New Roman"/>
          <w:sz w:val="20"/>
        </w:rPr>
        <w:t>”), upon the terms and subject to the conditions set forth in the Agreement and Plan of Merger, dated August 3, 2026, among the Company, Parent, and Merger Sub (the “</w:t>
      </w:r>
      <w:r>
        <w:rPr>
          <w:rFonts w:ascii="Times New Roman" w:hAnsi="Times New Roman"/>
          <w:sz w:val="20"/>
          <w:u w:val="single"/>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Schedule 14A filing consists of the following documents relating to the Merger and the other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Exhibit 99.1: An email from the Company’s CEO to its vendors and suppliers on August 13, 2026. </w:t>
      </w:r>
    </w:p>
    <w:p>
      <w:pPr>
        <w:pStyle w:val="TextBody"/>
        <w:bidi w:val="0"/>
        <w:spacing w:before="240" w:after="0"/>
        <w:jc w:val="center"/>
        <w:rPr>
          <w:rFonts w:ascii="Times New Roman" w:hAnsi="Times New Roman"/>
          <w:b/>
          <w:sz w:val="20"/>
        </w:rPr>
      </w:pPr>
      <w:r>
        <w:rPr>
          <w:rFonts w:ascii="Times New Roman" w:hAnsi="Times New Roman"/>
          <w:b/>
          <w:sz w:val="20"/>
        </w:rPr>
        <w:t xml:space="preserve">*  *  *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the Company by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coverage and payment, including transitional pass-through payment status, for PYLARIFY TruVu to have payers add Healthcare Common Procedure Coding System (“HCPCS”) coding to their systems on a timely basis,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which could be impacted by unforeseen expenses related to integration activities, the potential for unforeseen liabilities within that business,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including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resolving certain unresolved facility inspection-related conditions identified in the Complete Response Letter issued by the FDA on June 26, 2026, and to successfully commercialize LNTH-2501 if approved; the Company’s ability to obtain final FDA approval for PNT2003, which received FDA tentative approval earlier this year, to successfully defend the favorable District Court ruling invalidating all patents asserted by ADACAP, which is currently on appeal before the Court of Appeals for the Federal Circuit, and the timing, execution and success of the launch and commercialization of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timing, execution, and success of the Company’s strategic program to simplify and streamline its operations so it can focus mainly on its radiodiagnostic business and pursue value-maximizing alternatives for its radiotherapeutic assets;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timing and outcome of alleged stockholder actions filed against the Company; the effect that changes to management, including the recent turnover in the Company’s leadership and senior management team, could have on its business; the Company’s ability and the ability of Parent to complete the transactions contemplated by the Merger Agreement, including the parties’ ability to satisfy the closing conditions in the agreement; the expected time frame for completing the proposed acquisition of the Company by Parent; about the benefits sought to be achieved by the proposed acquisition; the potential effects of the proposed acquisition on the Company and Parent; the possibility of any termination of the Merger Agreement;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0" w:after="0"/>
        <w:jc w:val="right"/>
        <w:rPr>
          <w:rFonts w:ascii="Times New Roman" w:hAnsi="Times New Roman"/>
          <w:b/>
          <w:sz w:val="20"/>
        </w:rPr>
      </w:pPr>
      <w:bookmarkStart w:id="2" w:name="d168705dex991.htm"/>
      <w:bookmarkStart w:id="3" w:name="ksd16870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859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390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Valued Supplier, </w:t>
      </w:r>
    </w:p>
    <w:p>
      <w:pPr>
        <w:pStyle w:val="TextBody"/>
        <w:bidi w:val="0"/>
        <w:spacing w:before="240" w:after="0"/>
        <w:jc w:val="left"/>
        <w:rPr>
          <w:rFonts w:ascii="Times New Roman" w:hAnsi="Times New Roman"/>
          <w:sz w:val="20"/>
        </w:rPr>
      </w:pPr>
      <w:r>
        <w:rPr>
          <w:rFonts w:ascii="Times New Roman" w:hAnsi="Times New Roman"/>
          <w:sz w:val="20"/>
        </w:rPr>
        <w:t>Recently we announced that Lantheus has signed a definitive agreement to be acquired by a wholly owned subsidiary of Curium, a leading global radiopharmaceutical company. You can read the full press release </w:t>
      </w:r>
      <w:r>
        <w:rPr>
          <w:rFonts w:ascii="Times New Roman" w:hAnsi="Times New Roman"/>
          <w:b/>
          <w:sz w:val="20"/>
          <w:u w:val="single"/>
        </w:rPr>
        <w:t>here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Curium has proven expertise in the development, manufacturing and supply of radiopharmaceuticals that improve the way cancer is diagnosed and treated. They operate one of the world’s most extensive nuclear medicine manufacturing and distribution networks with a global footprint extending to more than 70 countries, over 3,800 employees, and more than 80 manufacturing sites globally. </w:t>
      </w:r>
    </w:p>
    <w:p>
      <w:pPr>
        <w:pStyle w:val="TextBody"/>
        <w:bidi w:val="0"/>
        <w:spacing w:before="240" w:after="0"/>
        <w:jc w:val="left"/>
        <w:rPr>
          <w:rFonts w:ascii="Times New Roman" w:hAnsi="Times New Roman"/>
          <w:sz w:val="20"/>
        </w:rPr>
      </w:pPr>
      <w:r>
        <w:rPr>
          <w:rFonts w:ascii="Times New Roman" w:hAnsi="Times New Roman"/>
          <w:sz w:val="20"/>
        </w:rPr>
        <w:t>This transaction brings together two pioneers with complementary strengths and a shared passion for nuclear medicine. Together, Curium and Lantheus have the potential to create a global radiopharmaceutical leader spanning the full nuclear medicine value chain from isotope production and manufacturing to diagnostic imaging and targeted radionuclide therapy, delivering nuclear medicine solutions to patients around the world.</w:t>
      </w:r>
    </w:p>
    <w:p>
      <w:pPr>
        <w:pStyle w:val="TextBody"/>
        <w:bidi w:val="0"/>
        <w:spacing w:before="240" w:after="0"/>
        <w:jc w:val="left"/>
        <w:rPr>
          <w:rFonts w:ascii="Times New Roman" w:hAnsi="Times New Roman"/>
          <w:sz w:val="20"/>
        </w:rPr>
      </w:pPr>
      <w:r>
        <w:rPr>
          <w:rFonts w:ascii="Times New Roman" w:hAnsi="Times New Roman"/>
          <w:sz w:val="20"/>
        </w:rPr>
        <w:t xml:space="preserve">Importantly, this announcement does not change anything about our work together today. Until the transaction closes, which is currently expected in the first half of 2027, Lantheus will continue to operate as an independent company with the same focus and priorities. Your existing account team and day-to-day contacts remain the same, and you should expect no disruption to supply, service, or ongoing initiatives during this period. </w:t>
      </w:r>
    </w:p>
    <w:p>
      <w:pPr>
        <w:pStyle w:val="TextBody"/>
        <w:bidi w:val="0"/>
        <w:spacing w:before="240" w:after="0"/>
        <w:jc w:val="left"/>
        <w:rPr>
          <w:rFonts w:ascii="Times New Roman" w:hAnsi="Times New Roman"/>
          <w:sz w:val="20"/>
        </w:rPr>
      </w:pPr>
      <w:r>
        <w:rPr>
          <w:rFonts w:ascii="Times New Roman" w:hAnsi="Times New Roman"/>
          <w:sz w:val="20"/>
        </w:rPr>
        <w:t xml:space="preserve">Over time after closing, the combined company will bring together complementary capabilities, broader infrastructure, and expanded resources, creating new opportunities to serve customers and patients. We look forward to building on our relationship for many years to come.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support. Please don’t hesitate to reach out to your usual point of contact if you have any questions.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Mary Anne Heino </w:t>
      </w:r>
    </w:p>
    <w:p>
      <w:pPr>
        <w:pStyle w:val="TextBody"/>
        <w:bidi w:val="0"/>
        <w:spacing w:before="240" w:after="0"/>
        <w:jc w:val="left"/>
        <w:rPr>
          <w:rFonts w:ascii="Times New Roman" w:hAnsi="Times New Roman"/>
          <w:sz w:val="20"/>
        </w:rPr>
      </w:pPr>
      <w:r>
        <w:rPr>
          <w:rFonts w:ascii="Times New Roman" w:hAnsi="Times New Roman"/>
          <w:sz w:val="20"/>
        </w:rPr>
        <w:t xml:space="preserve">CEO </w:t>
      </w:r>
    </w:p>
    <w:p>
      <w:pPr>
        <w:pStyle w:val="TextBody"/>
        <w:bidi w:val="0"/>
        <w:spacing w:before="240" w:after="0"/>
        <w:jc w:val="left"/>
        <w:rPr>
          <w:rFonts w:ascii="Times New Roman" w:hAnsi="Times New Roman"/>
          <w:sz w:val="20"/>
        </w:rPr>
      </w:pPr>
      <w:r>
        <w:rPr>
          <w:rFonts w:ascii="Times New Roman" w:hAnsi="Times New Roman"/>
          <w:sz w:val="20"/>
        </w:rPr>
        <w:t xml:space="preserve">Lantheus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Lantheus Holdings, Inc. (the “Company”) by Curium US Holdings LLC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t>
      </w:r>
      <w:r>
        <w:rPr>
          <w:rFonts w:ascii="Times New Roman" w:hAnsi="Times New Roman"/>
          <w:sz w:val="20"/>
          <w:u w:val="single"/>
        </w:rPr>
        <w:t>www.sec.gov</w:t>
      </w:r>
      <w:r>
        <w:rPr>
          <w:rFonts w:ascii="Times New Roman" w:hAnsi="Times New Roman"/>
          <w:sz w:val="20"/>
        </w:rPr>
        <w:t xml:space="preserve">. The Company makes available free of charge at its website at </w:t>
      </w:r>
      <w:r>
        <w:rPr>
          <w:rFonts w:ascii="Times New Roman" w:hAnsi="Times New Roman"/>
          <w:sz w:val="20"/>
          <w:u w:val="single"/>
        </w:rPr>
        <w:t>https://investor.lantheus.com/</w:t>
      </w:r>
      <w:r>
        <w:rPr>
          <w:rFonts w:ascii="Times New Roman" w:hAnsi="Times New Roman"/>
          <w:sz w:val="20"/>
        </w:rPr>
        <w:t xml:space="preserve">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t>
      </w:r>
      <w:r>
        <w:rPr>
          <w:rFonts w:ascii="Times New Roman" w:hAnsi="Times New Roman"/>
          <w:sz w:val="20"/>
          <w:u w:val="single"/>
        </w:rPr>
        <w:t>www.sec.gov</w:t>
      </w:r>
      <w:r>
        <w:rPr>
          <w:rFonts w:ascii="Times New Roman" w:hAnsi="Times New Roman"/>
          <w:sz w:val="20"/>
        </w:rPr>
        <w:t xml:space="preserve"> and the Company’s website at </w:t>
      </w:r>
      <w:r>
        <w:rPr>
          <w:rFonts w:ascii="Times New Roman" w:hAnsi="Times New Roman"/>
          <w:sz w:val="20"/>
          <w:u w:val="single"/>
        </w:rPr>
        <w:t>https://investor.lantheus.com/</w:t>
      </w:r>
      <w:r>
        <w:rPr>
          <w:rFonts w:ascii="Times New Roman" w:hAnsi="Times New Roman"/>
          <w:sz w:val="20"/>
        </w:rPr>
        <w:t xml:space="preserve">. The contents of the websites referenced herein are not deemed to be incorporated by reference into the proxy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4231</Words>
  <Characters>24589</Characters>
  <CharactersWithSpaces>28833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