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213995</wp:posOffset>
            </wp:positionV>
            <wp:extent cx="69951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257175</wp:posOffset>
            </wp:positionV>
            <wp:extent cx="69951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6"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SCHEDULE 14A</w:t>
      </w:r>
    </w:p>
    <w:p>
      <w:pPr>
        <w:spacing w:after="0" w:line="226"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Proxy Statement Pursuant to Section 14(a) of the</w:t>
      </w:r>
    </w:p>
    <w:p>
      <w:pPr>
        <w:spacing w:after="0" w:line="4"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Securities Exchange Act of 1934</w:t>
      </w:r>
    </w:p>
    <w:p>
      <w:pPr>
        <w:jc w:val="center"/>
        <w:ind w:right="-219"/>
        <w:spacing w:after="0"/>
        <w:tabs>
          <w:tab w:leader="none" w:pos="180" w:val="left"/>
        </w:tabs>
        <w:rPr>
          <w:sz w:val="20"/>
          <w:szCs w:val="20"/>
          <w:color w:val="auto"/>
        </w:rPr>
      </w:pPr>
      <w:r>
        <w:rPr>
          <w:rFonts w:ascii="Arial" w:cs="Arial" w:eastAsia="Arial" w:hAnsi="Arial"/>
          <w:sz w:val="22"/>
          <w:szCs w:val="22"/>
          <w:b w:val="1"/>
          <w:bCs w:val="1"/>
          <w:color w:val="auto"/>
        </w:rPr>
        <w:t>(Amendment No.</w:t>
        <w:tab/>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218440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7" w:lineRule="exact"/>
        <w:rPr>
          <w:sz w:val="24"/>
          <w:szCs w:val="24"/>
          <w:color w:val="auto"/>
        </w:rPr>
      </w:pPr>
    </w:p>
    <w:p>
      <w:pPr>
        <w:ind w:left="120"/>
        <w:spacing w:after="0" w:line="207" w:lineRule="exact"/>
        <w:tabs>
          <w:tab w:leader="none" w:pos="326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ind w:left="120"/>
        <w:spacing w:after="0"/>
        <w:rPr>
          <w:sz w:val="20"/>
          <w:szCs w:val="20"/>
          <w:color w:val="auto"/>
        </w:rPr>
      </w:pPr>
      <w:r>
        <w:rPr>
          <w:rFonts w:ascii="Arial" w:cs="Arial" w:eastAsia="Arial" w:hAnsi="Arial"/>
          <w:sz w:val="18"/>
          <w:szCs w:val="18"/>
          <w:color w:val="auto"/>
        </w:rPr>
        <w:t>Check the appropriate box:</w:t>
      </w:r>
    </w:p>
    <w:p>
      <w:pPr>
        <w:spacing w:after="0" w:line="131" w:lineRule="exact"/>
        <w:rPr>
          <w:sz w:val="24"/>
          <w:szCs w:val="24"/>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113" w:lineRule="exact"/>
        <w:rPr>
          <w:rFonts w:ascii="MS PGothic" w:cs="MS PGothic" w:eastAsia="MS PGothic" w:hAnsi="MS PGothic"/>
          <w:sz w:val="18"/>
          <w:szCs w:val="18"/>
          <w:color w:val="auto"/>
        </w:rPr>
      </w:pPr>
    </w:p>
    <w:p>
      <w:pPr>
        <w:ind w:left="660" w:hanging="544"/>
        <w:spacing w:after="0"/>
        <w:tabs>
          <w:tab w:leader="none" w:pos="6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121" w:lineRule="exact"/>
        <w:rPr>
          <w:sz w:val="24"/>
          <w:szCs w:val="24"/>
          <w:color w:val="auto"/>
        </w:rPr>
      </w:pPr>
    </w:p>
    <w:p>
      <w:pPr>
        <w:ind w:left="660" w:hanging="544"/>
        <w:spacing w:after="0"/>
        <w:tabs>
          <w:tab w:leader="none" w:pos="6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117" w:lineRule="exact"/>
        <w:rPr>
          <w:sz w:val="24"/>
          <w:szCs w:val="24"/>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117" w:lineRule="exact"/>
        <w:rPr>
          <w:rFonts w:ascii="MS PGothic" w:cs="MS PGothic" w:eastAsia="MS PGothic" w:hAnsi="MS PGothic"/>
          <w:sz w:val="18"/>
          <w:szCs w:val="18"/>
          <w:color w:val="auto"/>
        </w:rPr>
      </w:pPr>
    </w:p>
    <w:p>
      <w:pPr>
        <w:ind w:left="660" w:hanging="544"/>
        <w:spacing w:after="0"/>
        <w:tabs>
          <w:tab w:leader="none" w:pos="6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300" w:lineRule="exact"/>
        <w:rPr>
          <w:sz w:val="24"/>
          <w:szCs w:val="24"/>
          <w:color w:val="auto"/>
        </w:rPr>
      </w:pPr>
    </w:p>
    <w:p>
      <w:pPr>
        <w:jc w:val="center"/>
        <w:ind w:right="-219"/>
        <w:spacing w:after="0"/>
        <w:rPr>
          <w:sz w:val="20"/>
          <w:szCs w:val="20"/>
          <w:color w:val="auto"/>
        </w:rPr>
      </w:pPr>
      <w:r>
        <w:rPr>
          <w:rFonts w:ascii="Arial" w:cs="Arial" w:eastAsia="Arial" w:hAnsi="Arial"/>
          <w:sz w:val="40"/>
          <w:szCs w:val="40"/>
          <w:b w:val="1"/>
          <w:bCs w:val="1"/>
          <w:color w:val="auto"/>
        </w:rPr>
        <w:t>LANTHEUS HOLDINGS, INC.</w:t>
      </w:r>
    </w:p>
    <w:p>
      <w:pPr>
        <w:spacing w:after="0" w:line="35" w:lineRule="exact"/>
        <w:rPr>
          <w:sz w:val="24"/>
          <w:szCs w:val="24"/>
          <w:color w:val="auto"/>
        </w:rPr>
      </w:pPr>
    </w:p>
    <w:p>
      <w:pPr>
        <w:jc w:val="center"/>
        <w:ind w:right="-2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349" w:lineRule="exact"/>
        <w:rPr>
          <w:sz w:val="24"/>
          <w:szCs w:val="24"/>
          <w:color w:val="auto"/>
        </w:rPr>
      </w:pPr>
    </w:p>
    <w:p>
      <w:pPr>
        <w:jc w:val="center"/>
        <w:ind w:right="-219"/>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320" w:lineRule="exact"/>
        <w:rPr>
          <w:sz w:val="24"/>
          <w:szCs w:val="24"/>
          <w:color w:val="auto"/>
        </w:rPr>
      </w:pPr>
    </w:p>
    <w:p>
      <w:pPr>
        <w:ind w:left="120"/>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680" w:hanging="564"/>
        <w:spacing w:after="0"/>
        <w:tabs>
          <w:tab w:leader="none" w:pos="68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line="277" w:lineRule="auto"/>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200" w:lineRule="exact"/>
        <w:rPr>
          <w:rFonts w:ascii="Arial" w:cs="Arial" w:eastAsia="Arial" w:hAnsi="Arial"/>
          <w:sz w:val="18"/>
          <w:szCs w:val="18"/>
          <w:color w:val="auto"/>
        </w:rPr>
      </w:pPr>
    </w:p>
    <w:p>
      <w:pPr>
        <w:spacing w:after="0" w:line="240"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19" w:lineRule="exact"/>
        <w:rPr>
          <w:rFonts w:ascii="Arial" w:cs="Arial" w:eastAsia="Arial" w:hAnsi="Arial"/>
          <w:sz w:val="18"/>
          <w:szCs w:val="18"/>
          <w:color w:val="auto"/>
        </w:rPr>
      </w:pPr>
    </w:p>
    <w:p>
      <w:pPr>
        <w:ind w:left="680" w:hanging="564"/>
        <w:spacing w:after="0"/>
        <w:tabs>
          <w:tab w:leader="none" w:pos="68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333" w:lineRule="exact"/>
        <w:rPr>
          <w:rFonts w:ascii="MS PGothic" w:cs="MS PGothic" w:eastAsia="MS PGothic" w:hAnsi="MS PGothic"/>
          <w:sz w:val="18"/>
          <w:szCs w:val="18"/>
          <w:color w:val="auto"/>
        </w:rPr>
      </w:pPr>
    </w:p>
    <w:p>
      <w:pPr>
        <w:ind w:left="680" w:right="180" w:hanging="564"/>
        <w:spacing w:after="0" w:line="308" w:lineRule="auto"/>
        <w:tabs>
          <w:tab w:leader="none" w:pos="68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254" w:lineRule="exact"/>
        <w:rPr>
          <w:rFonts w:ascii="MS PGothic" w:cs="MS PGothic" w:eastAsia="MS PGothic" w:hAnsi="MS PGothic"/>
          <w:sz w:val="17"/>
          <w:szCs w:val="17"/>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95" w:lineRule="exact"/>
        <w:rPr>
          <w:rFonts w:ascii="Arial" w:cs="Arial" w:eastAsia="Arial" w:hAnsi="Arial"/>
          <w:sz w:val="18"/>
          <w:szCs w:val="18"/>
          <w:color w:val="auto"/>
        </w:rPr>
      </w:pPr>
    </w:p>
    <w:p>
      <w:pPr>
        <w:ind w:left="1220" w:hanging="537"/>
        <w:spacing w:after="0"/>
        <w:tabs>
          <w:tab w:leader="none" w:pos="122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776605</wp:posOffset>
            </wp:positionH>
            <wp:positionV relativeFrom="paragraph">
              <wp:posOffset>-3533775</wp:posOffset>
            </wp:positionV>
            <wp:extent cx="6292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-3088005</wp:posOffset>
            </wp:positionV>
            <wp:extent cx="62922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-2505075</wp:posOffset>
            </wp:positionV>
            <wp:extent cx="62922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-2059305</wp:posOffset>
            </wp:positionV>
            <wp:extent cx="629221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-1613535</wp:posOffset>
            </wp:positionV>
            <wp:extent cx="629221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-139065</wp:posOffset>
            </wp:positionV>
            <wp:extent cx="62922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292215" cy="8890"/>
                    </a:xfrm>
                    <a:prstGeom prst="rect">
                      <a:avLst/>
                    </a:prstGeom>
                    <a:noFill/>
                  </pic:spPr>
                </pic:pic>
              </a:graphicData>
            </a:graphic>
          </wp:anchor>
        </w:drawing>
        <w:drawing>
          <wp:anchor simplePos="0" relativeHeight="251657728" behindDoc="1" locked="0" layoutInCell="0" allowOverlap="1">
            <wp:simplePos x="0" y="0"/>
            <wp:positionH relativeFrom="column">
              <wp:posOffset>776605</wp:posOffset>
            </wp:positionH>
            <wp:positionV relativeFrom="paragraph">
              <wp:posOffset>306070</wp:posOffset>
            </wp:positionV>
            <wp:extent cx="62922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ectPr>
          <w:pgSz w:w="11900" w:h="16838" w:orient="portrait"/>
          <w:cols w:equalWidth="0" w:num="1">
            <w:col w:w="11020"/>
          </w:cols>
          <w:pgMar w:left="320" w:top="230" w:right="559" w:bottom="106" w:gutter="0" w:footer="0" w:header="0"/>
        </w:sectPr>
      </w:pPr>
    </w:p>
    <w:bookmarkStart w:id="1" w:name="page2"/>
    <w:bookmarkEnd w:id="1"/>
    <w:p>
      <w:pPr>
        <w:ind w:left="537" w:hanging="537"/>
        <w:spacing w:after="0"/>
        <w:tabs>
          <w:tab w:leader="none" w:pos="537" w:val="left"/>
        </w:tabs>
        <w:numPr>
          <w:ilvl w:val="0"/>
          <w:numId w:val="6"/>
        </w:numPr>
        <w:rPr>
          <w:rFonts w:ascii="Arial" w:cs="Arial" w:eastAsia="Arial" w:hAnsi="Arial"/>
          <w:sz w:val="17"/>
          <w:szCs w:val="17"/>
          <w:color w:val="auto"/>
        </w:rPr>
      </w:pPr>
      <w:r>
        <w:rPr>
          <w:rFonts w:ascii="Arial" w:cs="Arial" w:eastAsia="Arial" w:hAnsi="Arial"/>
          <w:sz w:val="17"/>
          <w:szCs w:val="17"/>
          <w:color w:val="auto"/>
        </w:rPr>
        <w:t>Filing Party:</w:t>
      </w:r>
    </w:p>
    <w:p>
      <w:pPr>
        <w:spacing w:after="0" w:line="200" w:lineRule="exact"/>
        <w:rPr>
          <w:rFonts w:ascii="Arial" w:cs="Arial" w:eastAsia="Arial" w:hAnsi="Arial"/>
          <w:sz w:val="17"/>
          <w:szCs w:val="17"/>
          <w:color w:val="auto"/>
        </w:rPr>
      </w:pPr>
    </w:p>
    <w:p>
      <w:pPr>
        <w:spacing w:after="0" w:line="306" w:lineRule="exact"/>
        <w:rPr>
          <w:rFonts w:ascii="Arial" w:cs="Arial" w:eastAsia="Arial" w:hAnsi="Arial"/>
          <w:sz w:val="17"/>
          <w:szCs w:val="17"/>
          <w:color w:val="auto"/>
        </w:rPr>
      </w:pPr>
    </w:p>
    <w:p>
      <w:pPr>
        <w:ind w:left="537" w:hanging="537"/>
        <w:spacing w:after="0"/>
        <w:tabs>
          <w:tab w:leader="none" w:pos="537" w:val="left"/>
        </w:tabs>
        <w:numPr>
          <w:ilvl w:val="0"/>
          <w:numId w:val="6"/>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342900</wp:posOffset>
            </wp:positionH>
            <wp:positionV relativeFrom="paragraph">
              <wp:posOffset>-139065</wp:posOffset>
            </wp:positionV>
            <wp:extent cx="629221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342900</wp:posOffset>
            </wp:positionH>
            <wp:positionV relativeFrom="paragraph">
              <wp:posOffset>306070</wp:posOffset>
            </wp:positionV>
            <wp:extent cx="629221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469265</wp:posOffset>
            </wp:positionV>
            <wp:extent cx="69951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-359410</wp:posOffset>
            </wp:positionH>
            <wp:positionV relativeFrom="paragraph">
              <wp:posOffset>511810</wp:posOffset>
            </wp:positionV>
            <wp:extent cx="69951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9456"/>
          </w:cols>
          <w:pgMar w:left="1003" w:top="139" w:right="1440"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205740</wp:posOffset>
            </wp:positionV>
            <wp:extent cx="3600450" cy="10115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60045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ind w:left="120"/>
        <w:spacing w:after="0"/>
        <w:rPr>
          <w:sz w:val="20"/>
          <w:szCs w:val="20"/>
          <w:color w:val="auto"/>
        </w:rPr>
      </w:pPr>
      <w:r>
        <w:rPr>
          <w:rFonts w:ascii="Arial" w:cs="Arial" w:eastAsia="Arial" w:hAnsi="Arial"/>
          <w:sz w:val="18"/>
          <w:szCs w:val="18"/>
          <w:color w:val="auto"/>
        </w:rPr>
        <w:t>March 12, 2020</w:t>
      </w:r>
    </w:p>
    <w:p>
      <w:pPr>
        <w:spacing w:after="0" w:line="22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To Our Stockholders:</w:t>
      </w:r>
    </w:p>
    <w:p>
      <w:pPr>
        <w:spacing w:after="0" w:line="225" w:lineRule="exact"/>
        <w:rPr>
          <w:sz w:val="20"/>
          <w:szCs w:val="20"/>
          <w:color w:val="auto"/>
        </w:rPr>
      </w:pPr>
    </w:p>
    <w:p>
      <w:pPr>
        <w:ind w:left="120" w:firstLine="440"/>
        <w:spacing w:after="0" w:line="308" w:lineRule="auto"/>
        <w:rPr>
          <w:sz w:val="20"/>
          <w:szCs w:val="20"/>
          <w:color w:val="auto"/>
        </w:rPr>
      </w:pPr>
      <w:r>
        <w:rPr>
          <w:rFonts w:ascii="Arial" w:cs="Arial" w:eastAsia="Arial" w:hAnsi="Arial"/>
          <w:sz w:val="17"/>
          <w:szCs w:val="17"/>
          <w:color w:val="auto"/>
        </w:rPr>
        <w:t>We cordially invite you to attend Lantheus Holdings, Inc.’s 2020 Annual Meeting of Stockholders, to be held on Thursday, April 23, 2020 at 11:00 a.m. (Eastern Time) at the Boston Marriott Burlington, located at One Burlington Mall Road, Burlington, Massachusetts 01803.</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Notice of Internet Availability of Proxy Materials and the proxy statement that follow describe the business to be conducted at the meeting.</w:t>
      </w:r>
    </w:p>
    <w:p>
      <w:pPr>
        <w:spacing w:after="0" w:line="248"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On behalf of the Board of Directors, thank you for your continued investment in our company.</w:t>
      </w:r>
    </w:p>
    <w:p>
      <w:pPr>
        <w:spacing w:after="0" w:line="170" w:lineRule="exact"/>
        <w:rPr>
          <w:sz w:val="20"/>
          <w:szCs w:val="20"/>
          <w:color w:val="auto"/>
        </w:rPr>
      </w:pPr>
    </w:p>
    <w:p>
      <w:pPr>
        <w:ind w:left="12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168910</wp:posOffset>
            </wp:positionV>
            <wp:extent cx="1268730" cy="3346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68730" cy="334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Brian Markison</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Chairman of the Board of Directors</w:t>
      </w:r>
    </w:p>
    <w:p>
      <w:pPr>
        <w:sectPr>
          <w:pgSz w:w="11900" w:h="16838" w:orient="portrait"/>
          <w:cols w:equalWidth="0" w:num="1">
            <w:col w:w="11120"/>
          </w:cols>
          <w:pgMar w:left="320" w:top="459" w:right="4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205740</wp:posOffset>
            </wp:positionV>
            <wp:extent cx="3600450" cy="10115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60045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NOTICE OF ANNUAL MEETING OF STOCKHOLDERS</w:t>
      </w:r>
    </w:p>
    <w:p>
      <w:pPr>
        <w:sectPr>
          <w:pgSz w:w="11900" w:h="16838" w:orient="portrait"/>
          <w:cols w:equalWidth="0" w:num="1">
            <w:col w:w="11060"/>
          </w:cols>
          <w:pgMar w:left="320" w:top="459" w:right="519" w:bottom="1440" w:gutter="0" w:footer="0" w:header="0"/>
        </w:sectPr>
      </w:pPr>
    </w:p>
    <w:p>
      <w:pPr>
        <w:spacing w:after="0" w:line="256" w:lineRule="exact"/>
        <w:rPr>
          <w:sz w:val="20"/>
          <w:szCs w:val="20"/>
          <w:color w:val="auto"/>
        </w:rPr>
      </w:pPr>
    </w:p>
    <w:p>
      <w:pPr>
        <w:ind w:left="1000"/>
        <w:spacing w:after="0"/>
        <w:rPr>
          <w:sz w:val="20"/>
          <w:szCs w:val="20"/>
          <w:color w:val="auto"/>
        </w:rPr>
      </w:pPr>
      <w:r>
        <w:rPr>
          <w:rFonts w:ascii="Arial" w:cs="Arial" w:eastAsia="Arial" w:hAnsi="Arial"/>
          <w:sz w:val="16"/>
          <w:szCs w:val="16"/>
          <w:color w:val="auto"/>
        </w:rPr>
        <w:t>Meeting Date:</w:t>
      </w:r>
    </w:p>
    <w:p>
      <w:pPr>
        <w:spacing w:after="0" w:line="46"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Time:</w:t>
      </w:r>
    </w:p>
    <w:p>
      <w:pPr>
        <w:spacing w:after="0" w:line="9" w:lineRule="exact"/>
        <w:rPr>
          <w:sz w:val="20"/>
          <w:szCs w:val="20"/>
          <w:color w:val="auto"/>
        </w:rPr>
      </w:pPr>
    </w:p>
    <w:p>
      <w:pPr>
        <w:ind w:left="1000"/>
        <w:spacing w:after="0"/>
        <w:rPr>
          <w:sz w:val="20"/>
          <w:szCs w:val="20"/>
          <w:color w:val="auto"/>
        </w:rPr>
      </w:pPr>
      <w:r>
        <w:rPr>
          <w:rFonts w:ascii="Arial" w:cs="Arial" w:eastAsia="Arial" w:hAnsi="Arial"/>
          <w:sz w:val="18"/>
          <w:szCs w:val="18"/>
          <w:color w:val="auto"/>
        </w:rPr>
        <w:t>Place:</w:t>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color w:val="auto"/>
        </w:rPr>
        <w:t>Thursday, April 23, 2020</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11:00 a.m. (Eastern Time)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Boston Marriott Burlington,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located at One Burlington Mall Road, Burlington, Massachusetts 01803</w:t>
      </w:r>
    </w:p>
    <w:p>
      <w:pPr>
        <w:spacing w:after="0" w:line="200" w:lineRule="exact"/>
        <w:rPr>
          <w:sz w:val="20"/>
          <w:szCs w:val="20"/>
          <w:color w:val="auto"/>
        </w:rPr>
      </w:pPr>
    </w:p>
    <w:p>
      <w:pPr>
        <w:sectPr>
          <w:pgSz w:w="11900" w:h="16838" w:orient="portrait"/>
          <w:cols w:equalWidth="0" w:num="2">
            <w:col w:w="2320" w:space="720"/>
            <w:col w:w="8020"/>
          </w:cols>
          <w:pgMar w:left="320" w:top="459" w:right="519" w:bottom="1440" w:gutter="0" w:footer="0" w:header="0"/>
          <w:type w:val="continuous"/>
        </w:sectPr>
      </w:pPr>
    </w:p>
    <w:p>
      <w:pPr>
        <w:spacing w:after="0" w:line="47" w:lineRule="exact"/>
        <w:rPr>
          <w:sz w:val="20"/>
          <w:szCs w:val="20"/>
          <w:color w:val="auto"/>
        </w:rPr>
      </w:pPr>
    </w:p>
    <w:p>
      <w:pPr>
        <w:ind w:left="560"/>
        <w:spacing w:after="0"/>
        <w:rPr>
          <w:sz w:val="20"/>
          <w:szCs w:val="20"/>
          <w:color w:val="auto"/>
        </w:rPr>
      </w:pPr>
      <w:r>
        <w:rPr>
          <w:rFonts w:ascii="Arial" w:cs="Arial" w:eastAsia="Arial" w:hAnsi="Arial"/>
          <w:sz w:val="16"/>
          <w:szCs w:val="16"/>
          <w:color w:val="auto"/>
        </w:rPr>
        <w:t>We are holding our 2020 Annual Meeting of Stockholders for the following purposes, which are described in more detail in the proxy statement:</w:t>
      </w:r>
    </w:p>
    <w:p>
      <w:pPr>
        <w:spacing w:after="0" w:line="154" w:lineRule="exact"/>
        <w:rPr>
          <w:sz w:val="20"/>
          <w:szCs w:val="20"/>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elect two Class II directors to our Board of Directors;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compensation paid to our named executive officers;</w:t>
      </w:r>
    </w:p>
    <w:p>
      <w:pPr>
        <w:spacing w:after="0" w:line="130" w:lineRule="exact"/>
        <w:rPr>
          <w:rFonts w:ascii="Arial" w:cs="Arial" w:eastAsia="Arial" w:hAnsi="Arial"/>
          <w:sz w:val="18"/>
          <w:szCs w:val="18"/>
          <w:color w:val="auto"/>
        </w:rPr>
      </w:pPr>
    </w:p>
    <w:p>
      <w:pPr>
        <w:ind w:left="1080" w:hanging="532"/>
        <w:spacing w:after="0"/>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on an advisory basis, the frequency of future “say on pay” votes; and</w:t>
      </w:r>
    </w:p>
    <w:p>
      <w:pPr>
        <w:spacing w:after="0" w:line="130" w:lineRule="exact"/>
        <w:rPr>
          <w:rFonts w:ascii="Arial" w:cs="Arial" w:eastAsia="Arial" w:hAnsi="Arial"/>
          <w:sz w:val="18"/>
          <w:szCs w:val="18"/>
          <w:color w:val="auto"/>
        </w:rPr>
      </w:pPr>
    </w:p>
    <w:p>
      <w:pPr>
        <w:ind w:left="1080" w:right="520" w:hanging="532"/>
        <w:spacing w:after="0" w:line="277" w:lineRule="auto"/>
        <w:tabs>
          <w:tab w:leader="none" w:pos="10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ratify the appointment of Deloitte &amp; Touche LLP as our independent registered public accounting firm for the fiscal year ending December 31, 2020.</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At the meeting, we will also transact any other business as may properly come before the meeting or any adjournment or postponement thereof.</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Only stockholders of record as of the close of business on February 24, 2020 will be entitled to attend and vote at the meeting.</w:t>
      </w:r>
    </w:p>
    <w:p>
      <w:pPr>
        <w:spacing w:after="0" w:line="211"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We are pleased to take advantage of the Securities and Exchange Commission rules that allow companies to furnish their proxy materials over the Internet. We are sending to our stockholders a Notice of Internet Availability of Proxy Materials (the “</w:t>
      </w:r>
      <w:r>
        <w:rPr>
          <w:rFonts w:ascii="Arial" w:cs="Arial" w:eastAsia="Arial" w:hAnsi="Arial"/>
          <w:sz w:val="18"/>
          <w:szCs w:val="18"/>
          <w:b w:val="1"/>
          <w:bCs w:val="1"/>
          <w:i w:val="1"/>
          <w:iCs w:val="1"/>
          <w:color w:val="auto"/>
        </w:rPr>
        <w:t>Notice</w:t>
      </w:r>
      <w:r>
        <w:rPr>
          <w:rFonts w:ascii="Arial" w:cs="Arial" w:eastAsia="Arial" w:hAnsi="Arial"/>
          <w:sz w:val="18"/>
          <w:szCs w:val="18"/>
          <w:color w:val="auto"/>
        </w:rPr>
        <w:t>”) instead of paper copies of our proxy materials and our 2019 Annual Report on Form 10-K. The Notice contains instructions on how to access those documents and how to cast your vote via the Internet. The Notice also contains instructions on how to request a paper copy of our proxy materials and our Annual Report. This process allows us to provide our stockholders with the information they need on a timelier basis, while lowering the costs of printing and distributing our proxy materials and reducing the environmental impact.</w:t>
      </w:r>
    </w:p>
    <w:p>
      <w:pPr>
        <w:spacing w:after="0" w:line="192"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Your vote is important. We encourage you to vote by proxy in advance of the meeting, whether or not you plan to attend the meeting. The proxy statement includes instructions on how to vote, including by Internet and telephone. If you hold your shares through a brokerage firm, bank, broker-dealer or other similar organization, please follow their instructions.</w:t>
      </w:r>
    </w:p>
    <w:p>
      <w:pPr>
        <w:spacing w:after="0" w:line="184"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By order of the Board of Directors,</w:t>
      </w:r>
    </w:p>
    <w:p>
      <w:pPr>
        <w:spacing w:after="0" w:line="225"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Daniel M. Niedzwiecki</w:t>
      </w:r>
    </w:p>
    <w:p>
      <w:pPr>
        <w:spacing w:after="0" w:line="225" w:lineRule="exact"/>
        <w:rPr>
          <w:sz w:val="20"/>
          <w:szCs w:val="20"/>
          <w:color w:val="auto"/>
        </w:rPr>
      </w:pPr>
    </w:p>
    <w:p>
      <w:pPr>
        <w:ind w:left="5960"/>
        <w:spacing w:after="0"/>
        <w:rPr>
          <w:sz w:val="20"/>
          <w:szCs w:val="20"/>
          <w:color w:val="auto"/>
        </w:rPr>
      </w:pPr>
      <w:r>
        <w:rPr>
          <w:rFonts w:ascii="Arial" w:cs="Arial" w:eastAsia="Arial" w:hAnsi="Arial"/>
          <w:sz w:val="17"/>
          <w:szCs w:val="17"/>
          <w:i w:val="1"/>
          <w:iCs w:val="1"/>
          <w:color w:val="auto"/>
        </w:rPr>
        <w:t>Vice President, Deputy General Counsel and Corporate Secretary</w:t>
      </w:r>
    </w:p>
    <w:p>
      <w:pPr>
        <w:spacing w:after="0" w:line="237" w:lineRule="exact"/>
        <w:rPr>
          <w:sz w:val="20"/>
          <w:szCs w:val="20"/>
          <w:color w:val="auto"/>
        </w:rPr>
      </w:pPr>
    </w:p>
    <w:p>
      <w:pPr>
        <w:ind w:left="6080"/>
        <w:spacing w:after="0"/>
        <w:rPr>
          <w:sz w:val="20"/>
          <w:szCs w:val="20"/>
          <w:color w:val="auto"/>
        </w:rPr>
      </w:pPr>
      <w:r>
        <w:rPr>
          <w:rFonts w:ascii="Arial" w:cs="Arial" w:eastAsia="Arial" w:hAnsi="Arial"/>
          <w:sz w:val="18"/>
          <w:szCs w:val="18"/>
          <w:color w:val="auto"/>
        </w:rPr>
        <w:t>March 12, 2020</w:t>
      </w:r>
    </w:p>
    <w:p>
      <w:pPr>
        <w:spacing w:after="0" w:line="221"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Important Notice Regarding the Availability of Proxy Materials for the Annual Meeting of</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Stockholders to be held on April 23, 2020.</w:t>
      </w:r>
    </w:p>
    <w:p>
      <w:pPr>
        <w:spacing w:after="0" w:line="211" w:lineRule="exact"/>
        <w:rPr>
          <w:sz w:val="20"/>
          <w:szCs w:val="20"/>
          <w:color w:val="auto"/>
        </w:rPr>
      </w:pPr>
    </w:p>
    <w:p>
      <w:pPr>
        <w:ind w:left="1500"/>
        <w:spacing w:after="0"/>
        <w:rPr>
          <w:sz w:val="20"/>
          <w:szCs w:val="20"/>
          <w:color w:val="auto"/>
        </w:rPr>
      </w:pPr>
      <w:r>
        <w:rPr>
          <w:rFonts w:ascii="Arial" w:cs="Arial" w:eastAsia="Arial" w:hAnsi="Arial"/>
          <w:sz w:val="18"/>
          <w:szCs w:val="18"/>
          <w:color w:val="auto"/>
        </w:rPr>
        <w:t>The Lantheus Holdings, Inc. Proxy Statement and Annual Report are available at http://www.proxydocs.com/lnth.</w:t>
      </w:r>
    </w:p>
    <w:p>
      <w:pPr>
        <w:sectPr>
          <w:pgSz w:w="11900" w:h="16838" w:orient="portrait"/>
          <w:cols w:equalWidth="0" w:num="1">
            <w:col w:w="11060"/>
          </w:cols>
          <w:pgMar w:left="320" w:top="459" w:right="519" w:bottom="1440" w:gutter="0" w:footer="0" w:header="0"/>
          <w:type w:val="continuous"/>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40" w:type="dxa"/>
            <w:vAlign w:val="bottom"/>
            <w:gridSpan w:val="14"/>
          </w:tcPr>
          <w:p>
            <w:pPr>
              <w:spacing w:after="0"/>
              <w:rPr>
                <w:sz w:val="20"/>
                <w:szCs w:val="20"/>
                <w:color w:val="auto"/>
              </w:rPr>
            </w:pPr>
            <w:r>
              <w:rPr>
                <w:rFonts w:ascii="Arial" w:cs="Arial" w:eastAsia="Arial" w:hAnsi="Arial"/>
                <w:sz w:val="18"/>
                <w:szCs w:val="18"/>
                <w:b w:val="1"/>
                <w:bCs w:val="1"/>
                <w:color w:val="auto"/>
              </w:rPr>
              <w:t>TABLE OF CONTENTS</w:t>
            </w:r>
          </w:p>
        </w:tc>
        <w:tc>
          <w:tcPr>
            <w:tcW w:w="380" w:type="dxa"/>
            <w:vAlign w:val="bottom"/>
          </w:tcPr>
          <w:p>
            <w:pPr>
              <w:spacing w:after="0"/>
              <w:rPr>
                <w:sz w:val="20"/>
                <w:szCs w:val="20"/>
                <w:color w:val="auto"/>
              </w:rPr>
            </w:pPr>
          </w:p>
        </w:tc>
      </w:tr>
      <w:tr>
        <w:trPr>
          <w:trHeight w:val="418"/>
        </w:trPr>
        <w:tc>
          <w:tcPr>
            <w:tcW w:w="2260" w:type="dxa"/>
            <w:vAlign w:val="bottom"/>
            <w:tcBorders>
              <w:bottom w:val="single" w:sz="8" w:color="0000EE"/>
            </w:tcBorders>
            <w:gridSpan w:val="9"/>
          </w:tcPr>
          <w:p>
            <w:pPr>
              <w:spacing w:after="0"/>
              <w:rPr>
                <w:rFonts w:ascii="Arial" w:cs="Arial" w:eastAsia="Arial" w:hAnsi="Arial"/>
                <w:sz w:val="18"/>
                <w:szCs w:val="18"/>
                <w:b w:val="1"/>
                <w:bCs w:val="1"/>
                <w:color w:val="0000EE"/>
              </w:rPr>
            </w:pPr>
            <w:hyperlink w:anchor="page6">
              <w:r>
                <w:rPr>
                  <w:rFonts w:ascii="Arial" w:cs="Arial" w:eastAsia="Arial" w:hAnsi="Arial"/>
                  <w:sz w:val="18"/>
                  <w:szCs w:val="18"/>
                  <w:b w:val="1"/>
                  <w:bCs w:val="1"/>
                  <w:color w:val="0000EE"/>
                </w:rPr>
                <w:t>GENERAL INFORMATION</w:t>
              </w:r>
            </w:hyperlink>
          </w:p>
        </w:tc>
        <w:tc>
          <w:tcPr>
            <w:tcW w:w="8320" w:type="dxa"/>
            <w:vAlign w:val="bottom"/>
            <w:gridSpan w:val="30"/>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8"/>
                <w:szCs w:val="18"/>
                <w:b w:val="1"/>
                <w:bCs w:val="1"/>
                <w:color w:val="auto"/>
              </w:rPr>
              <w:t>1</w:t>
            </w:r>
          </w:p>
        </w:tc>
      </w:tr>
      <w:tr>
        <w:trPr>
          <w:trHeight w:val="196"/>
        </w:trPr>
        <w:tc>
          <w:tcPr>
            <w:tcW w:w="5260" w:type="dxa"/>
            <w:vAlign w:val="bottom"/>
            <w:tcBorders>
              <w:bottom w:val="single" w:sz="8" w:color="0000EE"/>
            </w:tcBorders>
            <w:gridSpan w:val="31"/>
          </w:tcPr>
          <w:p>
            <w:pPr>
              <w:spacing w:after="0" w:line="196" w:lineRule="exact"/>
              <w:rPr>
                <w:rFonts w:ascii="Arial" w:cs="Arial" w:eastAsia="Arial" w:hAnsi="Arial"/>
                <w:sz w:val="18"/>
                <w:szCs w:val="18"/>
                <w:b w:val="1"/>
                <w:bCs w:val="1"/>
                <w:color w:val="0000EE"/>
                <w:w w:val="99"/>
              </w:rPr>
            </w:pPr>
            <w:hyperlink w:anchor="page7">
              <w:r>
                <w:rPr>
                  <w:rFonts w:ascii="Arial" w:cs="Arial" w:eastAsia="Arial" w:hAnsi="Arial"/>
                  <w:sz w:val="18"/>
                  <w:szCs w:val="18"/>
                  <w:b w:val="1"/>
                  <w:bCs w:val="1"/>
                  <w:color w:val="0000EE"/>
                  <w:w w:val="99"/>
                </w:rPr>
                <w:t>QUESTIONS AND ANSWERS ABOUT THE ANNUAL MEETING</w:t>
              </w:r>
            </w:hyperlink>
          </w:p>
        </w:tc>
        <w:tc>
          <w:tcPr>
            <w:tcW w:w="5320" w:type="dxa"/>
            <w:vAlign w:val="bottom"/>
            <w:gridSpan w:val="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w:t>
            </w:r>
          </w:p>
        </w:tc>
      </w:tr>
      <w:tr>
        <w:trPr>
          <w:trHeight w:val="196"/>
        </w:trPr>
        <w:tc>
          <w:tcPr>
            <w:tcW w:w="3580" w:type="dxa"/>
            <w:vAlign w:val="bottom"/>
            <w:tcBorders>
              <w:bottom w:val="single" w:sz="8" w:color="0000EE"/>
            </w:tcBorders>
            <w:gridSpan w:val="19"/>
          </w:tcPr>
          <w:p>
            <w:pPr>
              <w:spacing w:after="0" w:line="196" w:lineRule="exact"/>
              <w:rPr>
                <w:rFonts w:ascii="Arial" w:cs="Arial" w:eastAsia="Arial" w:hAnsi="Arial"/>
                <w:sz w:val="18"/>
                <w:szCs w:val="18"/>
                <w:b w:val="1"/>
                <w:bCs w:val="1"/>
                <w:color w:val="0000EE"/>
                <w:w w:val="99"/>
              </w:rPr>
            </w:pPr>
            <w:hyperlink w:anchor="page12">
              <w:r>
                <w:rPr>
                  <w:rFonts w:ascii="Arial" w:cs="Arial" w:eastAsia="Arial" w:hAnsi="Arial"/>
                  <w:sz w:val="18"/>
                  <w:szCs w:val="18"/>
                  <w:b w:val="1"/>
                  <w:bCs w:val="1"/>
                  <w:color w:val="0000EE"/>
                  <w:w w:val="99"/>
                </w:rPr>
                <w:t>PROPOSAL 1: ELECTION OF DIRECTORS</w:t>
              </w:r>
            </w:hyperlink>
          </w:p>
        </w:tc>
        <w:tc>
          <w:tcPr>
            <w:tcW w:w="700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7</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V</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EQUIRED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M</w:t>
              </w:r>
              <w:r>
                <w:rPr>
                  <w:rFonts w:ascii="Arial" w:cs="Arial" w:eastAsia="Arial" w:hAnsi="Arial"/>
                  <w:sz w:val="14"/>
                  <w:szCs w:val="14"/>
                  <w:color w:val="0000EE"/>
                </w:rPr>
                <w:t>AJORITY</w:t>
              </w:r>
              <w:r>
                <w:rPr>
                  <w:rFonts w:ascii="Arial" w:cs="Arial" w:eastAsia="Arial" w:hAnsi="Arial"/>
                  <w:sz w:val="18"/>
                  <w:szCs w:val="18"/>
                  <w:color w:val="0000EE"/>
                </w:rPr>
                <w:t xml:space="preserve"> V</w:t>
              </w:r>
              <w:r>
                <w:rPr>
                  <w:rFonts w:ascii="Arial" w:cs="Arial" w:eastAsia="Arial" w:hAnsi="Arial"/>
                  <w:sz w:val="14"/>
                  <w:szCs w:val="14"/>
                  <w:color w:val="0000EE"/>
                </w:rPr>
                <w:t>OTING</w:t>
              </w:r>
              <w:r>
                <w:rPr>
                  <w:rFonts w:ascii="Arial" w:cs="Arial" w:eastAsia="Arial" w:hAnsi="Arial"/>
                  <w:sz w:val="18"/>
                  <w:szCs w:val="18"/>
                  <w:color w:val="0000EE"/>
                </w:rPr>
                <w:t xml:space="preserve"> P</w:t>
              </w:r>
              <w:r>
                <w:rPr>
                  <w:rFonts w:ascii="Arial" w:cs="Arial" w:eastAsia="Arial" w:hAnsi="Arial"/>
                  <w:sz w:val="14"/>
                  <w:szCs w:val="14"/>
                  <w:color w:val="0000EE"/>
                </w:rPr>
                <w:t>OLICY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R</w:t>
              </w:r>
              <w:r>
                <w:rPr>
                  <w:rFonts w:ascii="Arial" w:cs="Arial" w:eastAsia="Arial" w:hAnsi="Arial"/>
                  <w:sz w:val="14"/>
                  <w:szCs w:val="14"/>
                  <w:color w:val="0000EE"/>
                </w:rPr>
                <w:t>ECOMMENDATION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7</w:t>
            </w: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2480" w:type="dxa"/>
            <w:vAlign w:val="bottom"/>
            <w:tcBorders>
              <w:bottom w:val="single" w:sz="8" w:color="0000EE"/>
            </w:tcBorders>
            <w:gridSpan w:val="11"/>
          </w:tcPr>
          <w:p>
            <w:pPr>
              <w:spacing w:after="0" w:line="196" w:lineRule="exact"/>
              <w:rPr>
                <w:rFonts w:ascii="Arial" w:cs="Arial" w:eastAsia="Arial" w:hAnsi="Arial"/>
                <w:sz w:val="18"/>
                <w:szCs w:val="18"/>
                <w:b w:val="1"/>
                <w:bCs w:val="1"/>
                <w:color w:val="0000EE"/>
                <w:w w:val="98"/>
              </w:rPr>
            </w:pPr>
            <w:hyperlink w:anchor="page13">
              <w:r>
                <w:rPr>
                  <w:rFonts w:ascii="Arial" w:cs="Arial" w:eastAsia="Arial" w:hAnsi="Arial"/>
                  <w:sz w:val="18"/>
                  <w:szCs w:val="18"/>
                  <w:b w:val="1"/>
                  <w:bCs w:val="1"/>
                  <w:color w:val="0000EE"/>
                  <w:w w:val="98"/>
                </w:rPr>
                <w:t>CORPORATE GOVERNANCE</w:t>
              </w:r>
            </w:hyperlink>
          </w:p>
        </w:tc>
        <w:tc>
          <w:tcPr>
            <w:tcW w:w="8100" w:type="dxa"/>
            <w:vAlign w:val="bottom"/>
            <w:gridSpan w:val="2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8</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13">
              <w:r>
                <w:rPr>
                  <w:rFonts w:ascii="Arial" w:cs="Arial" w:eastAsia="Arial" w:hAnsi="Arial"/>
                  <w:sz w:val="18"/>
                  <w:szCs w:val="18"/>
                  <w:color w:val="0000EE"/>
                </w:rPr>
                <w:t>E</w:t>
              </w:r>
              <w:r>
                <w:rPr>
                  <w:rFonts w:ascii="Arial" w:cs="Arial" w:eastAsia="Arial" w:hAnsi="Arial"/>
                  <w:sz w:val="14"/>
                  <w:szCs w:val="14"/>
                  <w:color w:val="0000EE"/>
                </w:rPr>
                <w:t>XECUTIVE</w:t>
              </w:r>
              <w:r>
                <w:rPr>
                  <w:rFonts w:ascii="Arial" w:cs="Arial" w:eastAsia="Arial" w:hAnsi="Arial"/>
                  <w:sz w:val="18"/>
                  <w:szCs w:val="18"/>
                  <w:color w:val="0000EE"/>
                </w:rPr>
                <w:t xml:space="preserve"> O</w:t>
              </w:r>
              <w:r>
                <w:rPr>
                  <w:rFonts w:ascii="Arial" w:cs="Arial" w:eastAsia="Arial" w:hAnsi="Arial"/>
                  <w:sz w:val="14"/>
                  <w:szCs w:val="14"/>
                  <w:color w:val="0000EE"/>
                </w:rPr>
                <w:t>FFICERS AND</w:t>
              </w:r>
              <w:r>
                <w:rPr>
                  <w:rFonts w:ascii="Arial" w:cs="Arial" w:eastAsia="Arial" w:hAnsi="Arial"/>
                  <w:sz w:val="18"/>
                  <w:szCs w:val="18"/>
                  <w:color w:val="0000EE"/>
                </w:rPr>
                <w:t xml:space="preserve"> D</w:t>
              </w:r>
              <w:r>
                <w:rPr>
                  <w:rFonts w:ascii="Arial" w:cs="Arial" w:eastAsia="Arial" w:hAnsi="Arial"/>
                  <w:sz w:val="14"/>
                  <w:szCs w:val="14"/>
                  <w:color w:val="0000EE"/>
                </w:rPr>
                <w:t>IRECTORS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r>
      <w:tr>
        <w:trPr>
          <w:trHeight w:val="20"/>
        </w:trPr>
        <w:tc>
          <w:tcPr>
            <w:tcW w:w="360" w:type="dxa"/>
            <w:vAlign w:val="bottom"/>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80" w:type="dxa"/>
            <w:vAlign w:val="bottom"/>
            <w:gridSpan w:val="3"/>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 AND</w:t>
              </w:r>
              <w:r>
                <w:rPr>
                  <w:rFonts w:ascii="Arial" w:cs="Arial" w:eastAsia="Arial" w:hAnsi="Arial"/>
                  <w:sz w:val="18"/>
                  <w:szCs w:val="18"/>
                  <w:color w:val="0000EE"/>
                </w:rPr>
                <w:t xml:space="preserve"> C</w:t>
              </w:r>
              <w:r>
                <w:rPr>
                  <w:rFonts w:ascii="Arial" w:cs="Arial" w:eastAsia="Arial" w:hAnsi="Arial"/>
                  <w:sz w:val="14"/>
                  <w:szCs w:val="14"/>
                  <w:color w:val="0000EE"/>
                </w:rPr>
                <w:t>OMMITTEES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13</w:t>
            </w:r>
          </w:p>
        </w:tc>
      </w:tr>
      <w:tr>
        <w:trPr>
          <w:trHeight w:val="196"/>
        </w:trPr>
        <w:tc>
          <w:tcPr>
            <w:tcW w:w="360" w:type="dxa"/>
            <w:vAlign w:val="bottom"/>
          </w:tcPr>
          <w:p>
            <w:pPr>
              <w:spacing w:after="0"/>
              <w:rPr>
                <w:sz w:val="17"/>
                <w:szCs w:val="17"/>
                <w:color w:val="auto"/>
              </w:rPr>
            </w:pPr>
          </w:p>
        </w:tc>
        <w:tc>
          <w:tcPr>
            <w:tcW w:w="272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xml:space="preserve"> C</w:t>
              </w:r>
              <w:r>
                <w:rPr>
                  <w:rFonts w:ascii="Arial" w:cs="Arial" w:eastAsia="Arial" w:hAnsi="Arial"/>
                  <w:sz w:val="14"/>
                  <w:szCs w:val="14"/>
                  <w:color w:val="0000EE"/>
                </w:rPr>
                <w:t>OMMITTEES</w:t>
              </w:r>
            </w:hyperlink>
          </w:p>
        </w:tc>
        <w:tc>
          <w:tcPr>
            <w:tcW w:w="360" w:type="dxa"/>
            <w:vAlign w:val="bottom"/>
            <w:tcBorders>
              <w:top w:val="single" w:sz="8" w:color="0000EE"/>
            </w:tcBorders>
            <w:gridSpan w:val="2"/>
          </w:tcPr>
          <w:p>
            <w:pPr>
              <w:spacing w:after="0"/>
              <w:rPr>
                <w:sz w:val="17"/>
                <w:szCs w:val="17"/>
                <w:color w:val="auto"/>
              </w:rPr>
            </w:pPr>
          </w:p>
        </w:tc>
        <w:tc>
          <w:tcPr>
            <w:tcW w:w="7140" w:type="dxa"/>
            <w:vAlign w:val="bottom"/>
            <w:gridSpan w:val="2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r>
      <w:tr>
        <w:trPr>
          <w:trHeight w:val="196"/>
        </w:trPr>
        <w:tc>
          <w:tcPr>
            <w:tcW w:w="360" w:type="dxa"/>
            <w:vAlign w:val="bottom"/>
          </w:tcPr>
          <w:p>
            <w:pPr>
              <w:spacing w:after="0"/>
              <w:rPr>
                <w:sz w:val="17"/>
                <w:szCs w:val="17"/>
                <w:color w:val="auto"/>
              </w:rPr>
            </w:pPr>
          </w:p>
        </w:tc>
        <w:tc>
          <w:tcPr>
            <w:tcW w:w="1260" w:type="dxa"/>
            <w:vAlign w:val="bottom"/>
            <w:tcBorders>
              <w:bottom w:val="single" w:sz="8" w:color="0000EE"/>
            </w:tcBorders>
            <w:gridSpan w:val="5"/>
          </w:tcPr>
          <w:p>
            <w:pPr>
              <w:spacing w:after="0" w:line="196" w:lineRule="exact"/>
              <w:rPr>
                <w:rFonts w:ascii="Arial" w:cs="Arial" w:eastAsia="Arial" w:hAnsi="Arial"/>
                <w:sz w:val="18"/>
                <w:szCs w:val="18"/>
                <w:color w:val="0000EE"/>
                <w:w w:val="98"/>
              </w:rPr>
            </w:pPr>
            <w:hyperlink w:anchor="page22">
              <w:r>
                <w:rPr>
                  <w:rFonts w:ascii="Arial" w:cs="Arial" w:eastAsia="Arial" w:hAnsi="Arial"/>
                  <w:sz w:val="18"/>
                  <w:szCs w:val="18"/>
                  <w:color w:val="0000EE"/>
                  <w:w w:val="98"/>
                </w:rPr>
                <w:t>C</w:t>
              </w:r>
              <w:r>
                <w:rPr>
                  <w:rFonts w:ascii="Arial" w:cs="Arial" w:eastAsia="Arial" w:hAnsi="Arial"/>
                  <w:sz w:val="14"/>
                  <w:szCs w:val="14"/>
                  <w:color w:val="0000EE"/>
                  <w:w w:val="98"/>
                </w:rPr>
                <w:t>ODE OF</w:t>
              </w:r>
              <w:r>
                <w:rPr>
                  <w:rFonts w:ascii="Arial" w:cs="Arial" w:eastAsia="Arial" w:hAnsi="Arial"/>
                  <w:sz w:val="18"/>
                  <w:szCs w:val="18"/>
                  <w:color w:val="0000EE"/>
                  <w:w w:val="98"/>
                </w:rPr>
                <w:t xml:space="preserve"> E</w:t>
              </w:r>
              <w:r>
                <w:rPr>
                  <w:rFonts w:ascii="Arial" w:cs="Arial" w:eastAsia="Arial" w:hAnsi="Arial"/>
                  <w:sz w:val="14"/>
                  <w:szCs w:val="14"/>
                  <w:color w:val="0000EE"/>
                  <w:w w:val="98"/>
                </w:rPr>
                <w:t>THICS</w:t>
              </w:r>
            </w:hyperlink>
          </w:p>
        </w:tc>
        <w:tc>
          <w:tcPr>
            <w:tcW w:w="8960" w:type="dxa"/>
            <w:vAlign w:val="bottom"/>
            <w:gridSpan w:val="3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C</w:t>
              </w:r>
              <w:r>
                <w:rPr>
                  <w:rFonts w:ascii="Arial" w:cs="Arial" w:eastAsia="Arial" w:hAnsi="Arial"/>
                  <w:sz w:val="14"/>
                  <w:szCs w:val="14"/>
                  <w:color w:val="0000EE"/>
                </w:rPr>
                <w:t>OMPENSATION</w:t>
              </w:r>
              <w:r>
                <w:rPr>
                  <w:rFonts w:ascii="Arial" w:cs="Arial" w:eastAsia="Arial" w:hAnsi="Arial"/>
                  <w:sz w:val="18"/>
                  <w:szCs w:val="18"/>
                  <w:color w:val="0000EE"/>
                </w:rPr>
                <w:t xml:space="preserve"> C</w:t>
              </w:r>
              <w:r>
                <w:rPr>
                  <w:rFonts w:ascii="Arial" w:cs="Arial" w:eastAsia="Arial" w:hAnsi="Arial"/>
                  <w:sz w:val="14"/>
                  <w:szCs w:val="14"/>
                  <w:color w:val="0000EE"/>
                </w:rPr>
                <w:t>OMMITTEE</w:t>
              </w:r>
              <w:r>
                <w:rPr>
                  <w:rFonts w:ascii="Arial" w:cs="Arial" w:eastAsia="Arial" w:hAnsi="Arial"/>
                  <w:sz w:val="18"/>
                  <w:szCs w:val="18"/>
                  <w:color w:val="0000EE"/>
                </w:rPr>
                <w:t xml:space="preserve"> I</w:t>
              </w:r>
              <w:r>
                <w:rPr>
                  <w:rFonts w:ascii="Arial" w:cs="Arial" w:eastAsia="Arial" w:hAnsi="Arial"/>
                  <w:sz w:val="14"/>
                  <w:szCs w:val="14"/>
                  <w:color w:val="0000EE"/>
                </w:rPr>
                <w:t>NTERLOCKS AND</w:t>
              </w:r>
              <w:r>
                <w:rPr>
                  <w:rFonts w:ascii="Arial" w:cs="Arial" w:eastAsia="Arial" w:hAnsi="Arial"/>
                  <w:sz w:val="18"/>
                  <w:szCs w:val="18"/>
                  <w:color w:val="0000EE"/>
                </w:rPr>
                <w:t xml:space="preserve"> I</w:t>
              </w:r>
              <w:r>
                <w:rPr>
                  <w:rFonts w:ascii="Arial" w:cs="Arial" w:eastAsia="Arial" w:hAnsi="Arial"/>
                  <w:sz w:val="14"/>
                  <w:szCs w:val="14"/>
                  <w:color w:val="0000EE"/>
                </w:rPr>
                <w:t>NSIDER</w:t>
              </w:r>
              <w:r>
                <w:rPr>
                  <w:rFonts w:ascii="Arial" w:cs="Arial" w:eastAsia="Arial" w:hAnsi="Arial"/>
                  <w:sz w:val="18"/>
                  <w:szCs w:val="18"/>
                  <w:color w:val="0000EE"/>
                </w:rPr>
                <w:t xml:space="preserve"> P</w:t>
              </w:r>
              <w:r>
                <w:rPr>
                  <w:rFonts w:ascii="Arial" w:cs="Arial" w:eastAsia="Arial" w:hAnsi="Arial"/>
                  <w:sz w:val="14"/>
                  <w:szCs w:val="14"/>
                  <w:color w:val="0000EE"/>
                </w:rPr>
                <w:t>ARTICIPATION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4080" w:type="dxa"/>
            <w:vAlign w:val="bottom"/>
            <w:tcBorders>
              <w:top w:val="single" w:sz="8" w:color="0000EE"/>
              <w:bottom w:val="single" w:sz="8" w:color="0000EE"/>
            </w:tcBorders>
            <w:gridSpan w:val="23"/>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 AND</w:t>
              </w:r>
              <w:r>
                <w:rPr>
                  <w:rFonts w:ascii="Arial" w:cs="Arial" w:eastAsia="Arial" w:hAnsi="Arial"/>
                  <w:sz w:val="18"/>
                  <w:szCs w:val="18"/>
                  <w:color w:val="0000EE"/>
                </w:rPr>
                <w:t xml:space="preserve"> C</w:t>
              </w:r>
              <w:r>
                <w:rPr>
                  <w:rFonts w:ascii="Arial" w:cs="Arial" w:eastAsia="Arial" w:hAnsi="Arial"/>
                  <w:sz w:val="14"/>
                  <w:szCs w:val="14"/>
                  <w:color w:val="0000EE"/>
                </w:rPr>
                <w:t>OMMITTEE</w:t>
              </w:r>
              <w:r>
                <w:rPr>
                  <w:rFonts w:ascii="Arial" w:cs="Arial" w:eastAsia="Arial" w:hAnsi="Arial"/>
                  <w:sz w:val="18"/>
                  <w:szCs w:val="18"/>
                  <w:color w:val="0000EE"/>
                </w:rPr>
                <w:t xml:space="preserve"> E</w:t>
              </w:r>
              <w:r>
                <w:rPr>
                  <w:rFonts w:ascii="Arial" w:cs="Arial" w:eastAsia="Arial" w:hAnsi="Arial"/>
                  <w:sz w:val="14"/>
                  <w:szCs w:val="14"/>
                  <w:color w:val="0000EE"/>
                </w:rPr>
                <w:t>VALUATIONS</w:t>
              </w:r>
            </w:hyperlink>
          </w:p>
        </w:tc>
        <w:tc>
          <w:tcPr>
            <w:tcW w:w="1200" w:type="dxa"/>
            <w:vAlign w:val="bottom"/>
            <w:tcBorders>
              <w:top w:val="single" w:sz="8" w:color="0000EE"/>
            </w:tcBorders>
            <w:gridSpan w:val="8"/>
          </w:tcPr>
          <w:p>
            <w:pPr>
              <w:spacing w:after="0"/>
              <w:rPr>
                <w:sz w:val="17"/>
                <w:szCs w:val="17"/>
                <w:color w:val="auto"/>
              </w:rPr>
            </w:pPr>
          </w:p>
        </w:tc>
        <w:tc>
          <w:tcPr>
            <w:tcW w:w="4940" w:type="dxa"/>
            <w:vAlign w:val="bottom"/>
            <w:gridSpan w:val="7"/>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640" w:type="dxa"/>
            <w:vAlign w:val="bottom"/>
            <w:tcBorders>
              <w:bottom w:val="single" w:sz="8" w:color="0000EE"/>
            </w:tcBorders>
            <w:gridSpan w:val="7"/>
          </w:tcPr>
          <w:p>
            <w:pPr>
              <w:spacing w:after="0" w:line="196" w:lineRule="exact"/>
              <w:rPr>
                <w:rFonts w:ascii="Arial" w:cs="Arial" w:eastAsia="Arial" w:hAnsi="Arial"/>
                <w:sz w:val="18"/>
                <w:szCs w:val="18"/>
                <w:color w:val="0000EE"/>
              </w:rPr>
            </w:pPr>
            <w:hyperlink w:anchor="page22">
              <w:r>
                <w:rPr>
                  <w:rFonts w:ascii="Arial" w:cs="Arial" w:eastAsia="Arial" w:hAnsi="Arial"/>
                  <w:sz w:val="18"/>
                  <w:szCs w:val="18"/>
                  <w:color w:val="0000EE"/>
                </w:rPr>
                <w:t>B</w:t>
              </w:r>
              <w:r>
                <w:rPr>
                  <w:rFonts w:ascii="Arial" w:cs="Arial" w:eastAsia="Arial" w:hAnsi="Arial"/>
                  <w:sz w:val="14"/>
                  <w:szCs w:val="14"/>
                  <w:color w:val="0000EE"/>
                </w:rPr>
                <w:t>OARD</w:t>
              </w:r>
              <w:r>
                <w:rPr>
                  <w:rFonts w:ascii="Arial" w:cs="Arial" w:eastAsia="Arial" w:hAnsi="Arial"/>
                  <w:sz w:val="18"/>
                  <w:szCs w:val="18"/>
                  <w:color w:val="0000EE"/>
                </w:rPr>
                <w:t xml:space="preserve"> C</w:t>
              </w:r>
              <w:r>
                <w:rPr>
                  <w:rFonts w:ascii="Arial" w:cs="Arial" w:eastAsia="Arial" w:hAnsi="Arial"/>
                  <w:sz w:val="14"/>
                  <w:szCs w:val="14"/>
                  <w:color w:val="0000EE"/>
                </w:rPr>
                <w:t>OMPOSITION</w:t>
              </w:r>
            </w:hyperlink>
          </w:p>
        </w:tc>
        <w:tc>
          <w:tcPr>
            <w:tcW w:w="8580" w:type="dxa"/>
            <w:vAlign w:val="bottom"/>
            <w:gridSpan w:val="3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D</w:t>
              </w:r>
              <w:r>
                <w:rPr>
                  <w:rFonts w:ascii="Arial" w:cs="Arial" w:eastAsia="Arial" w:hAnsi="Arial"/>
                  <w:sz w:val="14"/>
                  <w:szCs w:val="14"/>
                  <w:color w:val="0000EE"/>
                </w:rPr>
                <w:t>IRECTOR</w:t>
              </w:r>
              <w:r>
                <w:rPr>
                  <w:rFonts w:ascii="Arial" w:cs="Arial" w:eastAsia="Arial" w:hAnsi="Arial"/>
                  <w:sz w:val="18"/>
                  <w:szCs w:val="18"/>
                  <w:color w:val="0000EE"/>
                </w:rPr>
                <w:t xml:space="preserve"> N</w:t>
              </w:r>
              <w:r>
                <w:rPr>
                  <w:rFonts w:ascii="Arial" w:cs="Arial" w:eastAsia="Arial" w:hAnsi="Arial"/>
                  <w:sz w:val="14"/>
                  <w:szCs w:val="14"/>
                  <w:color w:val="0000EE"/>
                </w:rPr>
                <w:t>OMINATION</w:t>
              </w:r>
              <w:r>
                <w:rPr>
                  <w:rFonts w:ascii="Arial" w:cs="Arial" w:eastAsia="Arial" w:hAnsi="Arial"/>
                  <w:sz w:val="18"/>
                  <w:szCs w:val="18"/>
                  <w:color w:val="0000EE"/>
                </w:rPr>
                <w:t xml:space="preserve"> P</w:t>
              </w:r>
              <w:r>
                <w:rPr>
                  <w:rFonts w:ascii="Arial" w:cs="Arial" w:eastAsia="Arial" w:hAnsi="Arial"/>
                  <w:sz w:val="14"/>
                  <w:szCs w:val="14"/>
                  <w:color w:val="0000EE"/>
                </w:rPr>
                <w:t>ROCESS AND</w:t>
              </w:r>
              <w:r>
                <w:rPr>
                  <w:rFonts w:ascii="Arial" w:cs="Arial" w:eastAsia="Arial" w:hAnsi="Arial"/>
                  <w:sz w:val="18"/>
                  <w:szCs w:val="18"/>
                  <w:color w:val="0000EE"/>
                </w:rPr>
                <w:t xml:space="preserve"> D</w:t>
              </w:r>
              <w:r>
                <w:rPr>
                  <w:rFonts w:ascii="Arial" w:cs="Arial" w:eastAsia="Arial" w:hAnsi="Arial"/>
                  <w:sz w:val="14"/>
                  <w:szCs w:val="14"/>
                  <w:color w:val="0000EE"/>
                </w:rPr>
                <w:t>IVERSITY</w:t>
              </w:r>
              <w:r>
                <w:rPr>
                  <w:rFonts w:ascii="Arial" w:cs="Arial" w:eastAsia="Arial" w:hAnsi="Arial"/>
                  <w:sz w:val="18"/>
                  <w:szCs w:val="18"/>
                  <w:color w:val="0000EE"/>
                </w:rPr>
                <w:t xml:space="preserve"> P</w:t>
              </w:r>
              <w:r>
                <w:rPr>
                  <w:rFonts w:ascii="Arial" w:cs="Arial" w:eastAsia="Arial" w:hAnsi="Arial"/>
                  <w:sz w:val="14"/>
                  <w:szCs w:val="14"/>
                  <w:color w:val="0000EE"/>
                </w:rPr>
                <w:t>OLICY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360" w:type="dxa"/>
            <w:vAlign w:val="bottom"/>
          </w:tcPr>
          <w:p>
            <w:pPr>
              <w:spacing w:after="0"/>
              <w:rPr>
                <w:sz w:val="17"/>
                <w:szCs w:val="17"/>
                <w:color w:val="auto"/>
              </w:rPr>
            </w:pPr>
          </w:p>
        </w:tc>
        <w:tc>
          <w:tcPr>
            <w:tcW w:w="3800" w:type="dxa"/>
            <w:vAlign w:val="bottom"/>
            <w:tcBorders>
              <w:top w:val="single" w:sz="8" w:color="0000EE"/>
              <w:bottom w:val="single" w:sz="8" w:color="0000EE"/>
            </w:tcBorders>
            <w:gridSpan w:val="2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C</w:t>
              </w:r>
              <w:r>
                <w:rPr>
                  <w:rFonts w:ascii="Arial" w:cs="Arial" w:eastAsia="Arial" w:hAnsi="Arial"/>
                  <w:sz w:val="14"/>
                  <w:szCs w:val="14"/>
                  <w:color w:val="0000EE"/>
                </w:rPr>
                <w:t>OMMUNICATION WITH THE</w:t>
              </w:r>
              <w:r>
                <w:rPr>
                  <w:rFonts w:ascii="Arial" w:cs="Arial" w:eastAsia="Arial" w:hAnsi="Arial"/>
                  <w:sz w:val="18"/>
                  <w:szCs w:val="18"/>
                  <w:color w:val="0000EE"/>
                </w:rPr>
                <w:t xml:space="preserve"> 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hyperlink>
          </w:p>
        </w:tc>
        <w:tc>
          <w:tcPr>
            <w:tcW w:w="520" w:type="dxa"/>
            <w:vAlign w:val="bottom"/>
            <w:tcBorders>
              <w:top w:val="single" w:sz="8" w:color="0000EE"/>
            </w:tcBorders>
            <w:gridSpan w:val="5"/>
          </w:tcPr>
          <w:p>
            <w:pPr>
              <w:spacing w:after="0"/>
              <w:rPr>
                <w:sz w:val="17"/>
                <w:szCs w:val="17"/>
                <w:color w:val="auto"/>
              </w:rPr>
            </w:pPr>
          </w:p>
        </w:tc>
        <w:tc>
          <w:tcPr>
            <w:tcW w:w="5900" w:type="dxa"/>
            <w:vAlign w:val="bottom"/>
            <w:gridSpan w:val="1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r>
      <w:tr>
        <w:trPr>
          <w:trHeight w:val="196"/>
        </w:trPr>
        <w:tc>
          <w:tcPr>
            <w:tcW w:w="10580" w:type="dxa"/>
            <w:vAlign w:val="bottom"/>
            <w:gridSpan w:val="39"/>
          </w:tcPr>
          <w:p>
            <w:pPr>
              <w:spacing w:after="0" w:line="196" w:lineRule="exact"/>
              <w:rPr>
                <w:rFonts w:ascii="Arial" w:cs="Arial" w:eastAsia="Arial" w:hAnsi="Arial"/>
                <w:sz w:val="18"/>
                <w:szCs w:val="18"/>
                <w:b w:val="1"/>
                <w:bCs w:val="1"/>
                <w:color w:val="0000EE"/>
              </w:rPr>
            </w:pPr>
            <w:hyperlink w:anchor="page24">
              <w:r>
                <w:rPr>
                  <w:rFonts w:ascii="Arial" w:cs="Arial" w:eastAsia="Arial" w:hAnsi="Arial"/>
                  <w:sz w:val="18"/>
                  <w:szCs w:val="18"/>
                  <w:b w:val="1"/>
                  <w:bCs w:val="1"/>
                  <w:color w:val="0000EE"/>
                </w:rPr>
                <w:t>DIRECTOR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19</w:t>
            </w:r>
          </w:p>
        </w:tc>
      </w:tr>
      <w:tr>
        <w:trPr>
          <w:trHeight w:val="20"/>
        </w:trPr>
        <w:tc>
          <w:tcPr>
            <w:tcW w:w="920" w:type="dxa"/>
            <w:vAlign w:val="bottom"/>
            <w:gridSpan w:val="2"/>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gridSpan w:val="3"/>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39"/>
          </w:tcPr>
          <w:p>
            <w:pPr>
              <w:spacing w:after="0" w:line="196" w:lineRule="exact"/>
              <w:rPr>
                <w:rFonts w:ascii="Arial" w:cs="Arial" w:eastAsia="Arial" w:hAnsi="Arial"/>
                <w:sz w:val="18"/>
                <w:szCs w:val="18"/>
                <w:b w:val="1"/>
                <w:bCs w:val="1"/>
                <w:color w:val="0000EE"/>
              </w:rPr>
            </w:pPr>
            <w:hyperlink w:anchor="page26">
              <w:r>
                <w:rPr>
                  <w:rFonts w:ascii="Arial" w:cs="Arial" w:eastAsia="Arial" w:hAnsi="Arial"/>
                  <w:sz w:val="18"/>
                  <w:szCs w:val="18"/>
                  <w:b w:val="1"/>
                  <w:bCs w:val="1"/>
                  <w:color w:val="0000EE"/>
                </w:rPr>
                <w:t>CORPORATE RESPONSIBILITY</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21</w:t>
            </w:r>
          </w:p>
        </w:tc>
      </w:tr>
      <w:tr>
        <w:trPr>
          <w:trHeight w:val="196"/>
        </w:trPr>
        <w:tc>
          <w:tcPr>
            <w:tcW w:w="360" w:type="dxa"/>
            <w:vAlign w:val="bottom"/>
            <w:tcBorders>
              <w:top w:val="single" w:sz="8" w:color="0000EE"/>
            </w:tcBorders>
          </w:tcPr>
          <w:p>
            <w:pPr>
              <w:spacing w:after="0"/>
              <w:rPr>
                <w:sz w:val="17"/>
                <w:szCs w:val="17"/>
                <w:color w:val="auto"/>
              </w:rPr>
            </w:pPr>
          </w:p>
        </w:tc>
        <w:tc>
          <w:tcPr>
            <w:tcW w:w="2340" w:type="dxa"/>
            <w:vAlign w:val="bottom"/>
            <w:tcBorders>
              <w:top w:val="single" w:sz="8" w:color="0000EE"/>
            </w:tcBorders>
            <w:gridSpan w:val="13"/>
          </w:tcPr>
          <w:p>
            <w:pPr>
              <w:spacing w:after="0" w:line="196" w:lineRule="exact"/>
              <w:rPr>
                <w:rFonts w:ascii="Arial" w:cs="Arial" w:eastAsia="Arial" w:hAnsi="Arial"/>
                <w:sz w:val="18"/>
                <w:szCs w:val="18"/>
                <w:color w:val="0000EE"/>
              </w:rPr>
            </w:pPr>
            <w:hyperlink w:anchor="page26">
              <w:r>
                <w:rPr>
                  <w:rFonts w:ascii="Arial" w:cs="Arial" w:eastAsia="Arial" w:hAnsi="Arial"/>
                  <w:sz w:val="18"/>
                  <w:szCs w:val="18"/>
                  <w:color w:val="0000EE"/>
                </w:rPr>
                <w:t>E</w:t>
              </w:r>
              <w:r>
                <w:rPr>
                  <w:rFonts w:ascii="Arial" w:cs="Arial" w:eastAsia="Arial" w:hAnsi="Arial"/>
                  <w:sz w:val="14"/>
                  <w:szCs w:val="14"/>
                  <w:color w:val="0000EE"/>
                </w:rPr>
                <w:t>NVIRONMENTAL</w:t>
              </w:r>
            </w:hyperlink>
          </w:p>
        </w:tc>
        <w:tc>
          <w:tcPr>
            <w:tcW w:w="7880" w:type="dxa"/>
            <w:vAlign w:val="bottom"/>
            <w:gridSpan w:val="2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5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9"/>
              </w:rPr>
            </w:pPr>
            <w:hyperlink w:anchor="page26">
              <w:r>
                <w:rPr>
                  <w:rFonts w:ascii="Arial" w:cs="Arial" w:eastAsia="Arial" w:hAnsi="Arial"/>
                  <w:sz w:val="18"/>
                  <w:szCs w:val="18"/>
                  <w:color w:val="0000EE"/>
                  <w:w w:val="99"/>
                </w:rPr>
                <w:t>S</w:t>
              </w:r>
              <w:r>
                <w:rPr>
                  <w:rFonts w:ascii="Arial" w:cs="Arial" w:eastAsia="Arial" w:hAnsi="Arial"/>
                  <w:sz w:val="14"/>
                  <w:szCs w:val="14"/>
                  <w:color w:val="0000EE"/>
                  <w:w w:val="99"/>
                </w:rPr>
                <w:t>OCIAL</w:t>
              </w:r>
            </w:hyperlink>
          </w:p>
        </w:tc>
        <w:tc>
          <w:tcPr>
            <w:tcW w:w="740" w:type="dxa"/>
            <w:vAlign w:val="bottom"/>
            <w:tcBorders>
              <w:top w:val="single" w:sz="8" w:color="0000EE"/>
            </w:tcBorders>
            <w:gridSpan w:val="5"/>
          </w:tcPr>
          <w:p>
            <w:pPr>
              <w:spacing w:after="0"/>
              <w:rPr>
                <w:sz w:val="17"/>
                <w:szCs w:val="17"/>
                <w:color w:val="auto"/>
              </w:rPr>
            </w:pPr>
          </w:p>
        </w:tc>
        <w:tc>
          <w:tcPr>
            <w:tcW w:w="8920" w:type="dxa"/>
            <w:vAlign w:val="bottom"/>
            <w:gridSpan w:val="32"/>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r>
      <w:tr>
        <w:trPr>
          <w:trHeight w:val="196"/>
        </w:trPr>
        <w:tc>
          <w:tcPr>
            <w:tcW w:w="36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rPr>
            </w:pPr>
            <w:hyperlink w:anchor="page27">
              <w:r>
                <w:rPr>
                  <w:rFonts w:ascii="Arial" w:cs="Arial" w:eastAsia="Arial" w:hAnsi="Arial"/>
                  <w:sz w:val="18"/>
                  <w:szCs w:val="18"/>
                  <w:color w:val="0000EE"/>
                </w:rPr>
                <w:t>G</w:t>
              </w:r>
              <w:r>
                <w:rPr>
                  <w:rFonts w:ascii="Arial" w:cs="Arial" w:eastAsia="Arial" w:hAnsi="Arial"/>
                  <w:sz w:val="14"/>
                  <w:szCs w:val="14"/>
                  <w:color w:val="0000EE"/>
                </w:rPr>
                <w:t>OVERNANCE</w:t>
              </w:r>
            </w:hyperlink>
          </w:p>
        </w:tc>
        <w:tc>
          <w:tcPr>
            <w:tcW w:w="9160" w:type="dxa"/>
            <w:vAlign w:val="bottom"/>
            <w:gridSpan w:val="3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r>
      <w:tr>
        <w:trPr>
          <w:trHeight w:val="196"/>
        </w:trPr>
        <w:tc>
          <w:tcPr>
            <w:tcW w:w="5680" w:type="dxa"/>
            <w:vAlign w:val="bottom"/>
            <w:tcBorders>
              <w:bottom w:val="single" w:sz="8" w:color="0000EE"/>
            </w:tcBorders>
            <w:gridSpan w:val="33"/>
          </w:tcPr>
          <w:p>
            <w:pPr>
              <w:spacing w:after="0" w:line="196" w:lineRule="exact"/>
              <w:rPr>
                <w:rFonts w:ascii="Arial" w:cs="Arial" w:eastAsia="Arial" w:hAnsi="Arial"/>
                <w:sz w:val="18"/>
                <w:szCs w:val="18"/>
                <w:b w:val="1"/>
                <w:bCs w:val="1"/>
                <w:color w:val="0000EE"/>
                <w:w w:val="99"/>
              </w:rPr>
            </w:pPr>
            <w:hyperlink w:anchor="page29">
              <w:r>
                <w:rPr>
                  <w:rFonts w:ascii="Arial" w:cs="Arial" w:eastAsia="Arial" w:hAnsi="Arial"/>
                  <w:sz w:val="18"/>
                  <w:szCs w:val="18"/>
                  <w:b w:val="1"/>
                  <w:bCs w:val="1"/>
                  <w:color w:val="0000EE"/>
                  <w:w w:val="99"/>
                </w:rPr>
                <w:t>PROPOSAL 2: ADVISORY VOTE ON EXECUTIVE COMPENSATION</w:t>
              </w:r>
            </w:hyperlink>
          </w:p>
        </w:tc>
        <w:tc>
          <w:tcPr>
            <w:tcW w:w="4900" w:type="dxa"/>
            <w:vAlign w:val="bottom"/>
            <w:gridSpan w:val="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24</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V</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EQUIRED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R</w:t>
              </w:r>
              <w:r>
                <w:rPr>
                  <w:rFonts w:ascii="Arial" w:cs="Arial" w:eastAsia="Arial" w:hAnsi="Arial"/>
                  <w:sz w:val="14"/>
                  <w:szCs w:val="14"/>
                  <w:color w:val="0000EE"/>
                </w:rPr>
                <w:t>ECOMMENDATION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24</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380" w:type="dxa"/>
            <w:vAlign w:val="bottom"/>
            <w:tcBorders>
              <w:bottom w:val="single" w:sz="8" w:color="0000EE"/>
            </w:tcBorders>
            <w:gridSpan w:val="38"/>
          </w:tcPr>
          <w:p>
            <w:pPr>
              <w:spacing w:after="0" w:line="196" w:lineRule="exact"/>
              <w:rPr>
                <w:rFonts w:ascii="Arial" w:cs="Arial" w:eastAsia="Arial" w:hAnsi="Arial"/>
                <w:sz w:val="18"/>
                <w:szCs w:val="18"/>
                <w:b w:val="1"/>
                <w:bCs w:val="1"/>
                <w:color w:val="0000EE"/>
              </w:rPr>
            </w:pPr>
            <w:hyperlink w:anchor="page30">
              <w:r>
                <w:rPr>
                  <w:rFonts w:ascii="Arial" w:cs="Arial" w:eastAsia="Arial" w:hAnsi="Arial"/>
                  <w:sz w:val="18"/>
                  <w:szCs w:val="18"/>
                  <w:b w:val="1"/>
                  <w:bCs w:val="1"/>
                  <w:color w:val="0000EE"/>
                </w:rPr>
                <w:t>PROPOSAL 3: ADVISORY VOTE ON FREQUENCY OF NAMED EXECUTIVE OFFICER COMPENSATION ADVISORY VOTES</w:t>
              </w:r>
            </w:hyperlink>
          </w:p>
        </w:tc>
        <w:tc>
          <w:tcPr>
            <w:tcW w:w="200" w:type="dxa"/>
            <w:vAlign w:val="bottom"/>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25</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V</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EQUIRED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R</w:t>
              </w:r>
              <w:r>
                <w:rPr>
                  <w:rFonts w:ascii="Arial" w:cs="Arial" w:eastAsia="Arial" w:hAnsi="Arial"/>
                  <w:sz w:val="14"/>
                  <w:szCs w:val="14"/>
                  <w:color w:val="0000EE"/>
                </w:rPr>
                <w:t>ECOMMENDATION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00" w:type="dxa"/>
            <w:vAlign w:val="bottom"/>
            <w:gridSpan w:val="4"/>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39"/>
          </w:tcPr>
          <w:p>
            <w:pPr>
              <w:spacing w:after="0" w:line="196" w:lineRule="exact"/>
              <w:rPr>
                <w:rFonts w:ascii="Arial" w:cs="Arial" w:eastAsia="Arial" w:hAnsi="Arial"/>
                <w:sz w:val="18"/>
                <w:szCs w:val="18"/>
                <w:b w:val="1"/>
                <w:bCs w:val="1"/>
                <w:color w:val="0000EE"/>
              </w:rPr>
            </w:pPr>
            <w:hyperlink w:anchor="page31">
              <w:r>
                <w:rPr>
                  <w:rFonts w:ascii="Arial" w:cs="Arial" w:eastAsia="Arial" w:hAnsi="Arial"/>
                  <w:sz w:val="18"/>
                  <w:szCs w:val="18"/>
                  <w:b w:val="1"/>
                  <w:bCs w:val="1"/>
                  <w:color w:val="0000EE"/>
                </w:rPr>
                <w:t>EXECUTIVE COMPENSATION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26</w:t>
            </w:r>
          </w:p>
        </w:tc>
      </w:tr>
      <w:tr>
        <w:trPr>
          <w:trHeight w:val="20"/>
        </w:trPr>
        <w:tc>
          <w:tcPr>
            <w:tcW w:w="360" w:type="dxa"/>
            <w:vAlign w:val="bottom"/>
            <w:shd w:val="clear" w:color="auto" w:fill="0000EE"/>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w:t>
              </w:r>
              <w:r>
                <w:rPr>
                  <w:rFonts w:ascii="Arial" w:cs="Arial" w:eastAsia="Arial" w:hAnsi="Arial"/>
                  <w:sz w:val="14"/>
                  <w:szCs w:val="14"/>
                  <w:color w:val="0000EE"/>
                </w:rPr>
                <w:t>OMPENSATION</w:t>
              </w:r>
              <w:r>
                <w:rPr>
                  <w:rFonts w:ascii="Arial" w:cs="Arial" w:eastAsia="Arial" w:hAnsi="Arial"/>
                  <w:sz w:val="18"/>
                  <w:szCs w:val="18"/>
                  <w:color w:val="0000EE"/>
                </w:rPr>
                <w:t xml:space="preserve"> D</w:t>
              </w:r>
              <w:r>
                <w:rPr>
                  <w:rFonts w:ascii="Arial" w:cs="Arial" w:eastAsia="Arial" w:hAnsi="Arial"/>
                  <w:sz w:val="14"/>
                  <w:szCs w:val="14"/>
                  <w:color w:val="0000EE"/>
                </w:rPr>
                <w:t>ISCUSSION AND</w:t>
              </w:r>
              <w:r>
                <w:rPr>
                  <w:rFonts w:ascii="Arial" w:cs="Arial" w:eastAsia="Arial" w:hAnsi="Arial"/>
                  <w:sz w:val="18"/>
                  <w:szCs w:val="18"/>
                  <w:color w:val="0000EE"/>
                </w:rPr>
                <w:t xml:space="preserve"> A</w:t>
              </w:r>
              <w:r>
                <w:rPr>
                  <w:rFonts w:ascii="Arial" w:cs="Arial" w:eastAsia="Arial" w:hAnsi="Arial"/>
                  <w:sz w:val="14"/>
                  <w:szCs w:val="14"/>
                  <w:color w:val="0000EE"/>
                </w:rPr>
                <w:t>NALYSIS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76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5660" w:type="dxa"/>
            <w:vAlign w:val="bottom"/>
            <w:tcBorders>
              <w:bottom w:val="single" w:sz="8" w:color="0000EE"/>
            </w:tcBorders>
            <w:gridSpan w:val="34"/>
          </w:tcPr>
          <w:p>
            <w:pPr>
              <w:spacing w:after="0" w:line="196" w:lineRule="exact"/>
              <w:rPr>
                <w:rFonts w:ascii="Arial" w:cs="Arial" w:eastAsia="Arial" w:hAnsi="Arial"/>
                <w:sz w:val="18"/>
                <w:szCs w:val="18"/>
                <w:color w:val="0000EE"/>
                <w:w w:val="98"/>
              </w:rPr>
            </w:pPr>
            <w:hyperlink w:anchor="page51">
              <w:r>
                <w:rPr>
                  <w:rFonts w:ascii="Arial" w:cs="Arial" w:eastAsia="Arial" w:hAnsi="Arial"/>
                  <w:sz w:val="18"/>
                  <w:szCs w:val="18"/>
                  <w:color w:val="0000EE"/>
                  <w:w w:val="98"/>
                </w:rPr>
                <w:t>S</w:t>
              </w:r>
              <w:r>
                <w:rPr>
                  <w:rFonts w:ascii="Arial" w:cs="Arial" w:eastAsia="Arial" w:hAnsi="Arial"/>
                  <w:sz w:val="14"/>
                  <w:szCs w:val="14"/>
                  <w:color w:val="0000EE"/>
                  <w:w w:val="98"/>
                </w:rPr>
                <w:t>UMMARY</w:t>
              </w:r>
              <w:r>
                <w:rPr>
                  <w:rFonts w:ascii="Arial" w:cs="Arial" w:eastAsia="Arial" w:hAnsi="Arial"/>
                  <w:sz w:val="18"/>
                  <w:szCs w:val="18"/>
                  <w:color w:val="0000EE"/>
                  <w:w w:val="98"/>
                </w:rPr>
                <w:t xml:space="preserve"> C</w:t>
              </w:r>
              <w:r>
                <w:rPr>
                  <w:rFonts w:ascii="Arial" w:cs="Arial" w:eastAsia="Arial" w:hAnsi="Arial"/>
                  <w:sz w:val="14"/>
                  <w:szCs w:val="14"/>
                  <w:color w:val="0000EE"/>
                  <w:w w:val="98"/>
                </w:rPr>
                <w:t>OMPENSATION</w:t>
              </w:r>
              <w:r>
                <w:rPr>
                  <w:rFonts w:ascii="Arial" w:cs="Arial" w:eastAsia="Arial" w:hAnsi="Arial"/>
                  <w:sz w:val="18"/>
                  <w:szCs w:val="18"/>
                  <w:color w:val="0000EE"/>
                  <w:w w:val="98"/>
                </w:rPr>
                <w:t xml:space="preserve"> T</w:t>
              </w:r>
              <w:r>
                <w:rPr>
                  <w:rFonts w:ascii="Arial" w:cs="Arial" w:eastAsia="Arial" w:hAnsi="Arial"/>
                  <w:sz w:val="14"/>
                  <w:szCs w:val="14"/>
                  <w:color w:val="0000EE"/>
                  <w:w w:val="98"/>
                </w:rPr>
                <w:t>ABLE</w:t>
              </w:r>
              <w:r>
                <w:rPr>
                  <w:rFonts w:ascii="Arial" w:cs="Arial" w:eastAsia="Arial" w:hAnsi="Arial"/>
                  <w:sz w:val="18"/>
                  <w:szCs w:val="18"/>
                  <w:color w:val="0000EE"/>
                  <w:w w:val="98"/>
                </w:rPr>
                <w:t xml:space="preserve"> F</w:t>
              </w:r>
              <w:r>
                <w:rPr>
                  <w:rFonts w:ascii="Arial" w:cs="Arial" w:eastAsia="Arial" w:hAnsi="Arial"/>
                  <w:sz w:val="14"/>
                  <w:szCs w:val="14"/>
                  <w:color w:val="0000EE"/>
                  <w:w w:val="98"/>
                </w:rPr>
                <w:t>OR</w:t>
              </w:r>
              <w:r>
                <w:rPr>
                  <w:rFonts w:ascii="Arial" w:cs="Arial" w:eastAsia="Arial" w:hAnsi="Arial"/>
                  <w:sz w:val="18"/>
                  <w:szCs w:val="18"/>
                  <w:color w:val="0000EE"/>
                  <w:w w:val="98"/>
                </w:rPr>
                <w:t xml:space="preserve"> F</w:t>
              </w:r>
              <w:r>
                <w:rPr>
                  <w:rFonts w:ascii="Arial" w:cs="Arial" w:eastAsia="Arial" w:hAnsi="Arial"/>
                  <w:sz w:val="14"/>
                  <w:szCs w:val="14"/>
                  <w:color w:val="0000EE"/>
                  <w:w w:val="98"/>
                </w:rPr>
                <w:t>ISCAL</w:t>
              </w:r>
              <w:r>
                <w:rPr>
                  <w:rFonts w:ascii="Arial" w:cs="Arial" w:eastAsia="Arial" w:hAnsi="Arial"/>
                  <w:sz w:val="18"/>
                  <w:szCs w:val="18"/>
                  <w:color w:val="0000EE"/>
                  <w:w w:val="98"/>
                </w:rPr>
                <w:t xml:space="preserve"> Y</w:t>
              </w:r>
              <w:r>
                <w:rPr>
                  <w:rFonts w:ascii="Arial" w:cs="Arial" w:eastAsia="Arial" w:hAnsi="Arial"/>
                  <w:sz w:val="14"/>
                  <w:szCs w:val="14"/>
                  <w:color w:val="0000EE"/>
                  <w:w w:val="98"/>
                </w:rPr>
                <w:t>EARS</w:t>
              </w:r>
              <w:r>
                <w:rPr>
                  <w:rFonts w:ascii="Arial" w:cs="Arial" w:eastAsia="Arial" w:hAnsi="Arial"/>
                  <w:sz w:val="18"/>
                  <w:szCs w:val="18"/>
                  <w:color w:val="0000EE"/>
                  <w:w w:val="98"/>
                </w:rPr>
                <w:t xml:space="preserve"> 2019, 2018 </w:t>
              </w:r>
              <w:r>
                <w:rPr>
                  <w:rFonts w:ascii="Arial" w:cs="Arial" w:eastAsia="Arial" w:hAnsi="Arial"/>
                  <w:sz w:val="14"/>
                  <w:szCs w:val="14"/>
                  <w:color w:val="0000EE"/>
                  <w:w w:val="98"/>
                </w:rPr>
                <w:t>AND</w:t>
              </w:r>
              <w:r>
                <w:rPr>
                  <w:rFonts w:ascii="Arial" w:cs="Arial" w:eastAsia="Arial" w:hAnsi="Arial"/>
                  <w:sz w:val="18"/>
                  <w:szCs w:val="18"/>
                  <w:color w:val="0000EE"/>
                  <w:w w:val="98"/>
                </w:rPr>
                <w:t xml:space="preserve"> 2017</w:t>
              </w:r>
            </w:hyperlink>
          </w:p>
        </w:tc>
        <w:tc>
          <w:tcPr>
            <w:tcW w:w="4560" w:type="dxa"/>
            <w:vAlign w:val="bottom"/>
            <w:gridSpan w:val="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46</w:t>
            </w:r>
          </w:p>
        </w:tc>
      </w:tr>
      <w:tr>
        <w:trPr>
          <w:trHeight w:val="196"/>
        </w:trPr>
        <w:tc>
          <w:tcPr>
            <w:tcW w:w="360" w:type="dxa"/>
            <w:vAlign w:val="bottom"/>
          </w:tcPr>
          <w:p>
            <w:pPr>
              <w:spacing w:after="0"/>
              <w:rPr>
                <w:sz w:val="17"/>
                <w:szCs w:val="17"/>
                <w:color w:val="auto"/>
              </w:rPr>
            </w:pPr>
          </w:p>
        </w:tc>
        <w:tc>
          <w:tcPr>
            <w:tcW w:w="3880" w:type="dxa"/>
            <w:vAlign w:val="bottom"/>
            <w:tcBorders>
              <w:bottom w:val="single" w:sz="8" w:color="0000EE"/>
            </w:tcBorders>
            <w:gridSpan w:val="22"/>
          </w:tcPr>
          <w:p>
            <w:pPr>
              <w:spacing w:after="0" w:line="196" w:lineRule="exact"/>
              <w:rPr>
                <w:rFonts w:ascii="Arial" w:cs="Arial" w:eastAsia="Arial" w:hAnsi="Arial"/>
                <w:sz w:val="18"/>
                <w:szCs w:val="18"/>
                <w:color w:val="0000EE"/>
                <w:w w:val="99"/>
              </w:rPr>
            </w:pPr>
            <w:hyperlink w:anchor="page53">
              <w:r>
                <w:rPr>
                  <w:rFonts w:ascii="Arial" w:cs="Arial" w:eastAsia="Arial" w:hAnsi="Arial"/>
                  <w:sz w:val="18"/>
                  <w:szCs w:val="18"/>
                  <w:color w:val="0000EE"/>
                  <w:w w:val="99"/>
                </w:rPr>
                <w:t>G</w:t>
              </w:r>
              <w:r>
                <w:rPr>
                  <w:rFonts w:ascii="Arial" w:cs="Arial" w:eastAsia="Arial" w:hAnsi="Arial"/>
                  <w:sz w:val="14"/>
                  <w:szCs w:val="14"/>
                  <w:color w:val="0000EE"/>
                  <w:w w:val="99"/>
                </w:rPr>
                <w:t>RANTS OF</w:t>
              </w:r>
              <w:r>
                <w:rPr>
                  <w:rFonts w:ascii="Arial" w:cs="Arial" w:eastAsia="Arial" w:hAnsi="Arial"/>
                  <w:sz w:val="18"/>
                  <w:szCs w:val="18"/>
                  <w:color w:val="0000EE"/>
                  <w:w w:val="99"/>
                </w:rPr>
                <w:t xml:space="preserve"> P</w:t>
              </w:r>
              <w:r>
                <w:rPr>
                  <w:rFonts w:ascii="Arial" w:cs="Arial" w:eastAsia="Arial" w:hAnsi="Arial"/>
                  <w:sz w:val="14"/>
                  <w:szCs w:val="14"/>
                  <w:color w:val="0000EE"/>
                  <w:w w:val="99"/>
                </w:rPr>
                <w:t>LAN</w:t>
              </w:r>
              <w:r>
                <w:rPr>
                  <w:rFonts w:ascii="Arial" w:cs="Arial" w:eastAsia="Arial" w:hAnsi="Arial"/>
                  <w:sz w:val="18"/>
                  <w:szCs w:val="18"/>
                  <w:color w:val="0000EE"/>
                  <w:w w:val="99"/>
                </w:rPr>
                <w:t>-</w:t>
              </w:r>
              <w:r>
                <w:rPr>
                  <w:rFonts w:ascii="Arial" w:cs="Arial" w:eastAsia="Arial" w:hAnsi="Arial"/>
                  <w:sz w:val="14"/>
                  <w:szCs w:val="14"/>
                  <w:color w:val="0000EE"/>
                  <w:w w:val="99"/>
                </w:rPr>
                <w:t>BASED</w:t>
              </w:r>
              <w:r>
                <w:rPr>
                  <w:rFonts w:ascii="Arial" w:cs="Arial" w:eastAsia="Arial" w:hAnsi="Arial"/>
                  <w:sz w:val="18"/>
                  <w:szCs w:val="18"/>
                  <w:color w:val="0000EE"/>
                  <w:w w:val="99"/>
                </w:rPr>
                <w:t xml:space="preserve"> A</w:t>
              </w:r>
              <w:r>
                <w:rPr>
                  <w:rFonts w:ascii="Arial" w:cs="Arial" w:eastAsia="Arial" w:hAnsi="Arial"/>
                  <w:sz w:val="14"/>
                  <w:szCs w:val="14"/>
                  <w:color w:val="0000EE"/>
                  <w:w w:val="99"/>
                </w:rPr>
                <w:t>WARDS FOR</w:t>
              </w:r>
              <w:r>
                <w:rPr>
                  <w:rFonts w:ascii="Arial" w:cs="Arial" w:eastAsia="Arial" w:hAnsi="Arial"/>
                  <w:sz w:val="18"/>
                  <w:szCs w:val="18"/>
                  <w:color w:val="0000EE"/>
                  <w:w w:val="99"/>
                </w:rPr>
                <w:t xml:space="preserve"> F</w:t>
              </w:r>
              <w:r>
                <w:rPr>
                  <w:rFonts w:ascii="Arial" w:cs="Arial" w:eastAsia="Arial" w:hAnsi="Arial"/>
                  <w:sz w:val="14"/>
                  <w:szCs w:val="14"/>
                  <w:color w:val="0000EE"/>
                  <w:w w:val="99"/>
                </w:rPr>
                <w:t>ISCAL</w:t>
              </w:r>
              <w:r>
                <w:rPr>
                  <w:rFonts w:ascii="Arial" w:cs="Arial" w:eastAsia="Arial" w:hAnsi="Arial"/>
                  <w:sz w:val="18"/>
                  <w:szCs w:val="18"/>
                  <w:color w:val="0000EE"/>
                  <w:w w:val="99"/>
                </w:rPr>
                <w:t xml:space="preserve"> 2019</w:t>
              </w:r>
            </w:hyperlink>
          </w:p>
        </w:tc>
        <w:tc>
          <w:tcPr>
            <w:tcW w:w="6340" w:type="dxa"/>
            <w:vAlign w:val="bottom"/>
            <w:gridSpan w:val="1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48</w:t>
            </w:r>
          </w:p>
        </w:tc>
      </w:tr>
      <w:tr>
        <w:trPr>
          <w:trHeight w:val="196"/>
        </w:trPr>
        <w:tc>
          <w:tcPr>
            <w:tcW w:w="360" w:type="dxa"/>
            <w:vAlign w:val="bottom"/>
          </w:tcPr>
          <w:p>
            <w:pPr>
              <w:spacing w:after="0"/>
              <w:rPr>
                <w:sz w:val="17"/>
                <w:szCs w:val="17"/>
                <w:color w:val="auto"/>
              </w:rPr>
            </w:pPr>
          </w:p>
        </w:tc>
        <w:tc>
          <w:tcPr>
            <w:tcW w:w="4180" w:type="dxa"/>
            <w:vAlign w:val="bottom"/>
            <w:tcBorders>
              <w:bottom w:val="single" w:sz="8" w:color="0000EE"/>
            </w:tcBorders>
            <w:gridSpan w:val="24"/>
          </w:tcPr>
          <w:p>
            <w:pPr>
              <w:spacing w:after="0" w:line="196" w:lineRule="exact"/>
              <w:rPr>
                <w:rFonts w:ascii="Arial" w:cs="Arial" w:eastAsia="Arial" w:hAnsi="Arial"/>
                <w:sz w:val="18"/>
                <w:szCs w:val="18"/>
                <w:color w:val="0000EE"/>
                <w:w w:val="99"/>
              </w:rPr>
            </w:pPr>
            <w:hyperlink w:anchor="page54">
              <w:r>
                <w:rPr>
                  <w:rFonts w:ascii="Arial" w:cs="Arial" w:eastAsia="Arial" w:hAnsi="Arial"/>
                  <w:sz w:val="18"/>
                  <w:szCs w:val="18"/>
                  <w:color w:val="0000EE"/>
                  <w:w w:val="99"/>
                </w:rPr>
                <w:t>O</w:t>
              </w:r>
              <w:r>
                <w:rPr>
                  <w:rFonts w:ascii="Arial" w:cs="Arial" w:eastAsia="Arial" w:hAnsi="Arial"/>
                  <w:sz w:val="14"/>
                  <w:szCs w:val="14"/>
                  <w:color w:val="0000EE"/>
                  <w:w w:val="99"/>
                </w:rPr>
                <w:t>UTSTANDING</w:t>
              </w:r>
              <w:r>
                <w:rPr>
                  <w:rFonts w:ascii="Arial" w:cs="Arial" w:eastAsia="Arial" w:hAnsi="Arial"/>
                  <w:sz w:val="18"/>
                  <w:szCs w:val="18"/>
                  <w:color w:val="0000EE"/>
                  <w:w w:val="99"/>
                </w:rPr>
                <w:t xml:space="preserve"> E</w:t>
              </w:r>
              <w:r>
                <w:rPr>
                  <w:rFonts w:ascii="Arial" w:cs="Arial" w:eastAsia="Arial" w:hAnsi="Arial"/>
                  <w:sz w:val="14"/>
                  <w:szCs w:val="14"/>
                  <w:color w:val="0000EE"/>
                  <w:w w:val="99"/>
                </w:rPr>
                <w:t>QUITY</w:t>
              </w:r>
              <w:r>
                <w:rPr>
                  <w:rFonts w:ascii="Arial" w:cs="Arial" w:eastAsia="Arial" w:hAnsi="Arial"/>
                  <w:sz w:val="18"/>
                  <w:szCs w:val="18"/>
                  <w:color w:val="0000EE"/>
                  <w:w w:val="99"/>
                </w:rPr>
                <w:t xml:space="preserve"> A</w:t>
              </w:r>
              <w:r>
                <w:rPr>
                  <w:rFonts w:ascii="Arial" w:cs="Arial" w:eastAsia="Arial" w:hAnsi="Arial"/>
                  <w:sz w:val="14"/>
                  <w:szCs w:val="14"/>
                  <w:color w:val="0000EE"/>
                  <w:w w:val="99"/>
                </w:rPr>
                <w:t>WARDS AT</w:t>
              </w:r>
              <w:r>
                <w:rPr>
                  <w:rFonts w:ascii="Arial" w:cs="Arial" w:eastAsia="Arial" w:hAnsi="Arial"/>
                  <w:sz w:val="18"/>
                  <w:szCs w:val="18"/>
                  <w:color w:val="0000EE"/>
                  <w:w w:val="99"/>
                </w:rPr>
                <w:t xml:space="preserve"> D</w:t>
              </w:r>
              <w:r>
                <w:rPr>
                  <w:rFonts w:ascii="Arial" w:cs="Arial" w:eastAsia="Arial" w:hAnsi="Arial"/>
                  <w:sz w:val="14"/>
                  <w:szCs w:val="14"/>
                  <w:color w:val="0000EE"/>
                  <w:w w:val="99"/>
                </w:rPr>
                <w:t>ECEMBER</w:t>
              </w:r>
              <w:r>
                <w:rPr>
                  <w:rFonts w:ascii="Arial" w:cs="Arial" w:eastAsia="Arial" w:hAnsi="Arial"/>
                  <w:sz w:val="18"/>
                  <w:szCs w:val="18"/>
                  <w:color w:val="0000EE"/>
                  <w:w w:val="99"/>
                </w:rPr>
                <w:t xml:space="preserve"> 31, 2019</w:t>
              </w:r>
            </w:hyperlink>
          </w:p>
        </w:tc>
        <w:tc>
          <w:tcPr>
            <w:tcW w:w="6040" w:type="dxa"/>
            <w:vAlign w:val="bottom"/>
            <w:gridSpan w:val="14"/>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49</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56">
              <w:r>
                <w:rPr>
                  <w:rFonts w:ascii="Arial" w:cs="Arial" w:eastAsia="Arial" w:hAnsi="Arial"/>
                  <w:sz w:val="18"/>
                  <w:szCs w:val="18"/>
                  <w:color w:val="0000EE"/>
                </w:rPr>
                <w:t>O</w:t>
              </w:r>
              <w:r>
                <w:rPr>
                  <w:rFonts w:ascii="Arial" w:cs="Arial" w:eastAsia="Arial" w:hAnsi="Arial"/>
                  <w:sz w:val="14"/>
                  <w:szCs w:val="14"/>
                  <w:color w:val="0000EE"/>
                </w:rPr>
                <w:t>PTION</w:t>
              </w:r>
              <w:r>
                <w:rPr>
                  <w:rFonts w:ascii="Arial" w:cs="Arial" w:eastAsia="Arial" w:hAnsi="Arial"/>
                  <w:sz w:val="18"/>
                  <w:szCs w:val="18"/>
                  <w:color w:val="0000EE"/>
                </w:rPr>
                <w:t xml:space="preserve"> E</w:t>
              </w:r>
              <w:r>
                <w:rPr>
                  <w:rFonts w:ascii="Arial" w:cs="Arial" w:eastAsia="Arial" w:hAnsi="Arial"/>
                  <w:sz w:val="14"/>
                  <w:szCs w:val="14"/>
                  <w:color w:val="0000EE"/>
                </w:rPr>
                <w:t>XERCISES AND</w:t>
              </w:r>
              <w:r>
                <w:rPr>
                  <w:rFonts w:ascii="Arial" w:cs="Arial" w:eastAsia="Arial" w:hAnsi="Arial"/>
                  <w:sz w:val="18"/>
                  <w:szCs w:val="18"/>
                  <w:color w:val="0000EE"/>
                </w:rPr>
                <w:t xml:space="preserve"> S</w:t>
              </w:r>
              <w:r>
                <w:rPr>
                  <w:rFonts w:ascii="Arial" w:cs="Arial" w:eastAsia="Arial" w:hAnsi="Arial"/>
                  <w:sz w:val="14"/>
                  <w:szCs w:val="14"/>
                  <w:color w:val="0000EE"/>
                </w:rPr>
                <w:t>TOCK</w:t>
              </w:r>
              <w:r>
                <w:rPr>
                  <w:rFonts w:ascii="Arial" w:cs="Arial" w:eastAsia="Arial" w:hAnsi="Arial"/>
                  <w:sz w:val="18"/>
                  <w:szCs w:val="18"/>
                  <w:color w:val="0000EE"/>
                </w:rPr>
                <w:t xml:space="preserve"> V</w:t>
              </w:r>
              <w:r>
                <w:rPr>
                  <w:rFonts w:ascii="Arial" w:cs="Arial" w:eastAsia="Arial" w:hAnsi="Arial"/>
                  <w:sz w:val="14"/>
                  <w:szCs w:val="14"/>
                  <w:color w:val="0000EE"/>
                </w:rPr>
                <w:t>ESTED FOR</w:t>
              </w:r>
              <w:r>
                <w:rPr>
                  <w:rFonts w:ascii="Arial" w:cs="Arial" w:eastAsia="Arial" w:hAnsi="Arial"/>
                  <w:sz w:val="18"/>
                  <w:szCs w:val="18"/>
                  <w:color w:val="0000EE"/>
                </w:rPr>
                <w:t xml:space="preserve"> F</w:t>
              </w:r>
              <w:r>
                <w:rPr>
                  <w:rFonts w:ascii="Arial" w:cs="Arial" w:eastAsia="Arial" w:hAnsi="Arial"/>
                  <w:sz w:val="14"/>
                  <w:szCs w:val="14"/>
                  <w:color w:val="0000EE"/>
                </w:rPr>
                <w:t>ISCAL</w:t>
              </w:r>
              <w:r>
                <w:rPr>
                  <w:rFonts w:ascii="Arial" w:cs="Arial" w:eastAsia="Arial" w:hAnsi="Arial"/>
                  <w:sz w:val="18"/>
                  <w:szCs w:val="18"/>
                  <w:color w:val="0000EE"/>
                </w:rPr>
                <w:t xml:space="preserve"> 2019</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51</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940" w:type="dxa"/>
            <w:vAlign w:val="bottom"/>
            <w:gridSpan w:val="5"/>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gridSpan w:val="4"/>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57">
              <w:r>
                <w:rPr>
                  <w:rFonts w:ascii="Arial" w:cs="Arial" w:eastAsia="Arial" w:hAnsi="Arial"/>
                  <w:sz w:val="18"/>
                  <w:szCs w:val="18"/>
                  <w:color w:val="0000EE"/>
                </w:rPr>
                <w:t>E</w:t>
              </w:r>
              <w:r>
                <w:rPr>
                  <w:rFonts w:ascii="Arial" w:cs="Arial" w:eastAsia="Arial" w:hAnsi="Arial"/>
                  <w:sz w:val="14"/>
                  <w:szCs w:val="14"/>
                  <w:color w:val="0000EE"/>
                </w:rPr>
                <w:t>MPLOYMENT</w:t>
              </w:r>
              <w:r>
                <w:rPr>
                  <w:rFonts w:ascii="Arial" w:cs="Arial" w:eastAsia="Arial" w:hAnsi="Arial"/>
                  <w:sz w:val="18"/>
                  <w:szCs w:val="18"/>
                  <w:color w:val="0000EE"/>
                </w:rPr>
                <w:t xml:space="preserve"> A</w:t>
              </w:r>
              <w:r>
                <w:rPr>
                  <w:rFonts w:ascii="Arial" w:cs="Arial" w:eastAsia="Arial" w:hAnsi="Arial"/>
                  <w:sz w:val="14"/>
                  <w:szCs w:val="14"/>
                  <w:color w:val="0000EE"/>
                </w:rPr>
                <w:t>GREEMENTS</w:t>
              </w:r>
              <w:r>
                <w:rPr>
                  <w:rFonts w:ascii="Arial" w:cs="Arial" w:eastAsia="Arial" w:hAnsi="Arial"/>
                  <w:sz w:val="18"/>
                  <w:szCs w:val="18"/>
                  <w:color w:val="0000EE"/>
                </w:rPr>
                <w:t>; S</w:t>
              </w:r>
              <w:r>
                <w:rPr>
                  <w:rFonts w:ascii="Arial" w:cs="Arial" w:eastAsia="Arial" w:hAnsi="Arial"/>
                  <w:sz w:val="14"/>
                  <w:szCs w:val="14"/>
                  <w:color w:val="0000EE"/>
                </w:rPr>
                <w:t>EVERANCE AND</w:t>
              </w:r>
              <w:r>
                <w:rPr>
                  <w:rFonts w:ascii="Arial" w:cs="Arial" w:eastAsia="Arial" w:hAnsi="Arial"/>
                  <w:sz w:val="18"/>
                  <w:szCs w:val="18"/>
                  <w:color w:val="0000EE"/>
                </w:rPr>
                <w:t xml:space="preserve"> P</w:t>
              </w:r>
              <w:r>
                <w:rPr>
                  <w:rFonts w:ascii="Arial" w:cs="Arial" w:eastAsia="Arial" w:hAnsi="Arial"/>
                  <w:sz w:val="14"/>
                  <w:szCs w:val="14"/>
                  <w:color w:val="0000EE"/>
                </w:rPr>
                <w:t>OTENTIAL</w:t>
              </w:r>
              <w:r>
                <w:rPr>
                  <w:rFonts w:ascii="Arial" w:cs="Arial" w:eastAsia="Arial" w:hAnsi="Arial"/>
                  <w:sz w:val="18"/>
                  <w:szCs w:val="18"/>
                  <w:color w:val="0000EE"/>
                </w:rPr>
                <w:t xml:space="preserve"> P</w:t>
              </w:r>
              <w:r>
                <w:rPr>
                  <w:rFonts w:ascii="Arial" w:cs="Arial" w:eastAsia="Arial" w:hAnsi="Arial"/>
                  <w:sz w:val="14"/>
                  <w:szCs w:val="14"/>
                  <w:color w:val="0000EE"/>
                </w:rPr>
                <w:t>AYMENTS</w:t>
              </w:r>
              <w:r>
                <w:rPr>
                  <w:rFonts w:ascii="Arial" w:cs="Arial" w:eastAsia="Arial" w:hAnsi="Arial"/>
                  <w:sz w:val="18"/>
                  <w:szCs w:val="18"/>
                  <w:color w:val="0000EE"/>
                </w:rPr>
                <w:t xml:space="preserve"> U</w:t>
              </w:r>
              <w:r>
                <w:rPr>
                  <w:rFonts w:ascii="Arial" w:cs="Arial" w:eastAsia="Arial" w:hAnsi="Arial"/>
                  <w:sz w:val="14"/>
                  <w:szCs w:val="14"/>
                  <w:color w:val="0000EE"/>
                </w:rPr>
                <w:t>PON</w:t>
              </w:r>
              <w:r>
                <w:rPr>
                  <w:rFonts w:ascii="Arial" w:cs="Arial" w:eastAsia="Arial" w:hAnsi="Arial"/>
                  <w:sz w:val="18"/>
                  <w:szCs w:val="18"/>
                  <w:color w:val="0000EE"/>
                </w:rPr>
                <w:t xml:space="preserve"> T</w:t>
              </w:r>
              <w:r>
                <w:rPr>
                  <w:rFonts w:ascii="Arial" w:cs="Arial" w:eastAsia="Arial" w:hAnsi="Arial"/>
                  <w:sz w:val="14"/>
                  <w:szCs w:val="14"/>
                  <w:color w:val="0000EE"/>
                </w:rPr>
                <w:t>ERMINATION OR</w:t>
              </w:r>
              <w:r>
                <w:rPr>
                  <w:rFonts w:ascii="Arial" w:cs="Arial" w:eastAsia="Arial" w:hAnsi="Arial"/>
                  <w:sz w:val="18"/>
                  <w:szCs w:val="18"/>
                  <w:color w:val="0000EE"/>
                </w:rPr>
                <w:t xml:space="preserve"> C</w:t>
              </w:r>
              <w:r>
                <w:rPr>
                  <w:rFonts w:ascii="Arial" w:cs="Arial" w:eastAsia="Arial" w:hAnsi="Arial"/>
                  <w:sz w:val="14"/>
                  <w:szCs w:val="14"/>
                  <w:color w:val="0000EE"/>
                </w:rPr>
                <w:t>HANGE OF</w:t>
              </w:r>
              <w:r>
                <w:rPr>
                  <w:rFonts w:ascii="Arial" w:cs="Arial" w:eastAsia="Arial" w:hAnsi="Arial"/>
                  <w:sz w:val="18"/>
                  <w:szCs w:val="18"/>
                  <w:color w:val="0000EE"/>
                </w:rPr>
                <w:t xml:space="preserve"> C</w:t>
              </w:r>
              <w:r>
                <w:rPr>
                  <w:rFonts w:ascii="Arial" w:cs="Arial" w:eastAsia="Arial" w:hAnsi="Arial"/>
                  <w:sz w:val="14"/>
                  <w:szCs w:val="14"/>
                  <w:color w:val="0000EE"/>
                </w:rPr>
                <w:t>ONTROL</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52</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40" w:type="dxa"/>
            <w:vAlign w:val="bottom"/>
            <w:gridSpan w:val="6"/>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820" w:type="dxa"/>
            <w:vAlign w:val="bottom"/>
            <w:gridSpan w:val="4"/>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320" w:type="dxa"/>
            <w:vAlign w:val="bottom"/>
            <w:shd w:val="clear" w:color="auto" w:fill="0000EE"/>
          </w:tcPr>
          <w:p>
            <w:pPr>
              <w:spacing w:after="0" w:line="20" w:lineRule="exact"/>
              <w:rPr>
                <w:sz w:val="1"/>
                <w:szCs w:val="1"/>
                <w:color w:val="auto"/>
              </w:rPr>
            </w:pPr>
          </w:p>
        </w:tc>
        <w:tc>
          <w:tcPr>
            <w:tcW w:w="14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10580" w:type="dxa"/>
            <w:vAlign w:val="bottom"/>
            <w:gridSpan w:val="39"/>
          </w:tcPr>
          <w:p>
            <w:pPr>
              <w:spacing w:after="0" w:line="196" w:lineRule="exact"/>
              <w:rPr>
                <w:rFonts w:ascii="Arial" w:cs="Arial" w:eastAsia="Arial" w:hAnsi="Arial"/>
                <w:sz w:val="18"/>
                <w:szCs w:val="18"/>
                <w:b w:val="1"/>
                <w:bCs w:val="1"/>
                <w:color w:val="0000EE"/>
              </w:rPr>
            </w:pPr>
            <w:hyperlink w:anchor="page60">
              <w:r>
                <w:rPr>
                  <w:rFonts w:ascii="Arial" w:cs="Arial" w:eastAsia="Arial" w:hAnsi="Arial"/>
                  <w:sz w:val="18"/>
                  <w:szCs w:val="18"/>
                  <w:b w:val="1"/>
                  <w:bCs w:val="1"/>
                  <w:color w:val="0000EE"/>
                </w:rPr>
                <w:t>STOCK OWNERSHIP OF CERTAIN BENEFICIAL OWNERS AND MANAGEMENT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55</w:t>
            </w:r>
          </w:p>
        </w:tc>
      </w:tr>
      <w:tr>
        <w:trPr>
          <w:trHeight w:val="196"/>
        </w:trPr>
        <w:tc>
          <w:tcPr>
            <w:tcW w:w="6780" w:type="dxa"/>
            <w:vAlign w:val="bottom"/>
            <w:tcBorders>
              <w:top w:val="single" w:sz="8" w:color="0000EE"/>
            </w:tcBorders>
            <w:gridSpan w:val="36"/>
          </w:tcPr>
          <w:p>
            <w:pPr>
              <w:spacing w:after="0" w:line="196" w:lineRule="exact"/>
              <w:rPr>
                <w:rFonts w:ascii="Arial" w:cs="Arial" w:eastAsia="Arial" w:hAnsi="Arial"/>
                <w:sz w:val="18"/>
                <w:szCs w:val="18"/>
                <w:b w:val="1"/>
                <w:bCs w:val="1"/>
                <w:color w:val="0000EE"/>
              </w:rPr>
            </w:pPr>
            <w:hyperlink w:anchor="page62">
              <w:r>
                <w:rPr>
                  <w:rFonts w:ascii="Arial" w:cs="Arial" w:eastAsia="Arial" w:hAnsi="Arial"/>
                  <w:sz w:val="18"/>
                  <w:szCs w:val="18"/>
                  <w:b w:val="1"/>
                  <w:bCs w:val="1"/>
                  <w:color w:val="0000EE"/>
                </w:rPr>
                <w:t>CERTAIN RELATIONSHIPS AND RELATED PERSON TRANSACTIONS</w:t>
              </w:r>
            </w:hyperlink>
          </w:p>
        </w:tc>
        <w:tc>
          <w:tcPr>
            <w:tcW w:w="3800" w:type="dxa"/>
            <w:vAlign w:val="bottom"/>
            <w:gridSpan w:val="3"/>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57</w:t>
            </w:r>
          </w:p>
        </w:tc>
      </w:tr>
      <w:tr>
        <w:trPr>
          <w:trHeight w:val="196"/>
        </w:trPr>
        <w:tc>
          <w:tcPr>
            <w:tcW w:w="360" w:type="dxa"/>
            <w:vAlign w:val="bottom"/>
            <w:tcBorders>
              <w:top w:val="single" w:sz="8" w:color="0000EE"/>
            </w:tcBorders>
          </w:tcPr>
          <w:p>
            <w:pPr>
              <w:spacing w:after="0"/>
              <w:rPr>
                <w:sz w:val="17"/>
                <w:szCs w:val="17"/>
                <w:color w:val="auto"/>
              </w:rPr>
            </w:pPr>
          </w:p>
        </w:tc>
        <w:tc>
          <w:tcPr>
            <w:tcW w:w="5540" w:type="dxa"/>
            <w:vAlign w:val="bottom"/>
            <w:tcBorders>
              <w:top w:val="single" w:sz="8" w:color="0000EE"/>
            </w:tcBorders>
            <w:gridSpan w:val="33"/>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R</w:t>
              </w:r>
              <w:r>
                <w:rPr>
                  <w:rFonts w:ascii="Arial" w:cs="Arial" w:eastAsia="Arial" w:hAnsi="Arial"/>
                  <w:sz w:val="14"/>
                  <w:szCs w:val="14"/>
                  <w:color w:val="0000EE"/>
                </w:rPr>
                <w:t>ELATED</w:t>
              </w:r>
              <w:r>
                <w:rPr>
                  <w:rFonts w:ascii="Arial" w:cs="Arial" w:eastAsia="Arial" w:hAnsi="Arial"/>
                  <w:sz w:val="18"/>
                  <w:szCs w:val="18"/>
                  <w:color w:val="0000EE"/>
                </w:rPr>
                <w:t xml:space="preserve"> P</w:t>
              </w:r>
              <w:r>
                <w:rPr>
                  <w:rFonts w:ascii="Arial" w:cs="Arial" w:eastAsia="Arial" w:hAnsi="Arial"/>
                  <w:sz w:val="14"/>
                  <w:szCs w:val="14"/>
                  <w:color w:val="0000EE"/>
                </w:rPr>
                <w:t>ERSON</w:t>
              </w:r>
              <w:r>
                <w:rPr>
                  <w:rFonts w:ascii="Arial" w:cs="Arial" w:eastAsia="Arial" w:hAnsi="Arial"/>
                  <w:sz w:val="18"/>
                  <w:szCs w:val="18"/>
                  <w:color w:val="0000EE"/>
                </w:rPr>
                <w:t xml:space="preserve"> T</w:t>
              </w:r>
              <w:r>
                <w:rPr>
                  <w:rFonts w:ascii="Arial" w:cs="Arial" w:eastAsia="Arial" w:hAnsi="Arial"/>
                  <w:sz w:val="14"/>
                  <w:szCs w:val="14"/>
                  <w:color w:val="0000EE"/>
                </w:rPr>
                <w:t>RANSACTIONS</w:t>
              </w:r>
            </w:hyperlink>
          </w:p>
        </w:tc>
        <w:tc>
          <w:tcPr>
            <w:tcW w:w="4680" w:type="dxa"/>
            <w:vAlign w:val="bottom"/>
            <w:gridSpan w:val="5"/>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62">
              <w:r>
                <w:rPr>
                  <w:rFonts w:ascii="Arial" w:cs="Arial" w:eastAsia="Arial" w:hAnsi="Arial"/>
                  <w:sz w:val="18"/>
                  <w:szCs w:val="18"/>
                  <w:color w:val="0000EE"/>
                </w:rPr>
                <w:t>P</w:t>
              </w:r>
              <w:r>
                <w:rPr>
                  <w:rFonts w:ascii="Arial" w:cs="Arial" w:eastAsia="Arial" w:hAnsi="Arial"/>
                  <w:sz w:val="14"/>
                  <w:szCs w:val="14"/>
                  <w:color w:val="0000EE"/>
                </w:rPr>
                <w:t>OLICIES FOR</w:t>
              </w:r>
              <w:r>
                <w:rPr>
                  <w:rFonts w:ascii="Arial" w:cs="Arial" w:eastAsia="Arial" w:hAnsi="Arial"/>
                  <w:sz w:val="18"/>
                  <w:szCs w:val="18"/>
                  <w:color w:val="0000EE"/>
                </w:rPr>
                <w:t xml:space="preserve"> A</w:t>
              </w:r>
              <w:r>
                <w:rPr>
                  <w:rFonts w:ascii="Arial" w:cs="Arial" w:eastAsia="Arial" w:hAnsi="Arial"/>
                  <w:sz w:val="14"/>
                  <w:szCs w:val="14"/>
                  <w:color w:val="0000EE"/>
                </w:rPr>
                <w:t>PPROVAL OF</w:t>
              </w:r>
              <w:r>
                <w:rPr>
                  <w:rFonts w:ascii="Arial" w:cs="Arial" w:eastAsia="Arial" w:hAnsi="Arial"/>
                  <w:sz w:val="18"/>
                  <w:szCs w:val="18"/>
                  <w:color w:val="0000EE"/>
                </w:rPr>
                <w:t xml:space="preserve"> R</w:t>
              </w:r>
              <w:r>
                <w:rPr>
                  <w:rFonts w:ascii="Arial" w:cs="Arial" w:eastAsia="Arial" w:hAnsi="Arial"/>
                  <w:sz w:val="14"/>
                  <w:szCs w:val="14"/>
                  <w:color w:val="0000EE"/>
                </w:rPr>
                <w:t>ELATED</w:t>
              </w:r>
              <w:r>
                <w:rPr>
                  <w:rFonts w:ascii="Arial" w:cs="Arial" w:eastAsia="Arial" w:hAnsi="Arial"/>
                  <w:sz w:val="18"/>
                  <w:szCs w:val="18"/>
                  <w:color w:val="0000EE"/>
                </w:rPr>
                <w:t xml:space="preserve"> P</w:t>
              </w:r>
              <w:r>
                <w:rPr>
                  <w:rFonts w:ascii="Arial" w:cs="Arial" w:eastAsia="Arial" w:hAnsi="Arial"/>
                  <w:sz w:val="14"/>
                  <w:szCs w:val="14"/>
                  <w:color w:val="0000EE"/>
                </w:rPr>
                <w:t>ERSON</w:t>
              </w:r>
              <w:r>
                <w:rPr>
                  <w:rFonts w:ascii="Arial" w:cs="Arial" w:eastAsia="Arial" w:hAnsi="Arial"/>
                  <w:sz w:val="18"/>
                  <w:szCs w:val="18"/>
                  <w:color w:val="0000EE"/>
                </w:rPr>
                <w:t xml:space="preserve"> T</w:t>
              </w:r>
              <w:r>
                <w:rPr>
                  <w:rFonts w:ascii="Arial" w:cs="Arial" w:eastAsia="Arial" w:hAnsi="Arial"/>
                  <w:sz w:val="14"/>
                  <w:szCs w:val="14"/>
                  <w:color w:val="0000EE"/>
                </w:rPr>
                <w:t>RANSACTIONS</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57</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1020" w:type="dxa"/>
            <w:vAlign w:val="bottom"/>
            <w:gridSpan w:val="8"/>
            <w:shd w:val="clear" w:color="auto" w:fill="0000EE"/>
          </w:tcPr>
          <w:p>
            <w:pPr>
              <w:spacing w:after="0" w:line="20" w:lineRule="exact"/>
              <w:rPr>
                <w:sz w:val="1"/>
                <w:szCs w:val="1"/>
                <w:color w:val="auto"/>
              </w:rPr>
            </w:pPr>
          </w:p>
        </w:tc>
        <w:tc>
          <w:tcPr>
            <w:tcW w:w="40" w:type="dxa"/>
            <w:vAlign w:val="bottom"/>
            <w:tcBorders>
              <w:right w:val="single" w:sz="8" w:color="0000EE"/>
            </w:tcBorders>
            <w:shd w:val="clear" w:color="auto" w:fill="0000EE"/>
          </w:tcPr>
          <w:p>
            <w:pPr>
              <w:spacing w:after="0" w:line="20" w:lineRule="exact"/>
              <w:rPr>
                <w:sz w:val="1"/>
                <w:szCs w:val="1"/>
                <w:color w:val="auto"/>
              </w:rPr>
            </w:pPr>
          </w:p>
        </w:tc>
        <w:tc>
          <w:tcPr>
            <w:tcW w:w="1140" w:type="dxa"/>
            <w:vAlign w:val="bottom"/>
            <w:gridSpan w:val="8"/>
            <w:shd w:val="clear" w:color="auto" w:fill="0000EE"/>
          </w:tcPr>
          <w:p>
            <w:pPr>
              <w:spacing w:after="0" w:line="20" w:lineRule="exact"/>
              <w:rPr>
                <w:sz w:val="1"/>
                <w:szCs w:val="1"/>
                <w:color w:val="auto"/>
              </w:rPr>
            </w:pPr>
          </w:p>
        </w:tc>
        <w:tc>
          <w:tcPr>
            <w:tcW w:w="1020" w:type="dxa"/>
            <w:vAlign w:val="bottom"/>
            <w:gridSpan w:val="7"/>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500" w:type="dxa"/>
            <w:vAlign w:val="bottom"/>
            <w:gridSpan w:val="9"/>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80" w:type="dxa"/>
            <w:vAlign w:val="bottom"/>
            <w:tcBorders>
              <w:bottom w:val="single" w:sz="8" w:color="0000EE"/>
            </w:tcBorders>
            <w:gridSpan w:val="30"/>
          </w:tcPr>
          <w:p>
            <w:pPr>
              <w:spacing w:after="0" w:line="196" w:lineRule="exact"/>
              <w:rPr>
                <w:rFonts w:ascii="Arial" w:cs="Arial" w:eastAsia="Arial" w:hAnsi="Arial"/>
                <w:sz w:val="18"/>
                <w:szCs w:val="18"/>
                <w:b w:val="1"/>
                <w:bCs w:val="1"/>
                <w:color w:val="0000EE"/>
              </w:rPr>
            </w:pPr>
            <w:hyperlink w:anchor="page63">
              <w:r>
                <w:rPr>
                  <w:rFonts w:ascii="Arial" w:cs="Arial" w:eastAsia="Arial" w:hAnsi="Arial"/>
                  <w:sz w:val="18"/>
                  <w:szCs w:val="18"/>
                  <w:b w:val="1"/>
                  <w:bCs w:val="1"/>
                  <w:color w:val="0000EE"/>
                </w:rPr>
                <w:t>PROPOSAL 4: RATIFICATION OF INDEPENDENT AUDITOR</w:t>
              </w:r>
            </w:hyperlink>
          </w:p>
        </w:tc>
        <w:tc>
          <w:tcPr>
            <w:tcW w:w="5500" w:type="dxa"/>
            <w:vAlign w:val="bottom"/>
            <w:gridSpan w:val="9"/>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58</w:t>
            </w: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V</w:t>
              </w:r>
              <w:r>
                <w:rPr>
                  <w:rFonts w:ascii="Arial" w:cs="Arial" w:eastAsia="Arial" w:hAnsi="Arial"/>
                  <w:sz w:val="14"/>
                  <w:szCs w:val="14"/>
                  <w:color w:val="0000EE"/>
                </w:rPr>
                <w:t>OTE</w:t>
              </w:r>
              <w:r>
                <w:rPr>
                  <w:rFonts w:ascii="Arial" w:cs="Arial" w:eastAsia="Arial" w:hAnsi="Arial"/>
                  <w:sz w:val="18"/>
                  <w:szCs w:val="18"/>
                  <w:color w:val="0000EE"/>
                </w:rPr>
                <w:t xml:space="preserve"> R</w:t>
              </w:r>
              <w:r>
                <w:rPr>
                  <w:rFonts w:ascii="Arial" w:cs="Arial" w:eastAsia="Arial" w:hAnsi="Arial"/>
                  <w:sz w:val="14"/>
                  <w:szCs w:val="14"/>
                  <w:color w:val="0000EE"/>
                </w:rPr>
                <w:t>EQUIRED</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20"/>
        </w:trPr>
        <w:tc>
          <w:tcPr>
            <w:tcW w:w="360" w:type="dxa"/>
            <w:vAlign w:val="bottom"/>
          </w:tcPr>
          <w:p>
            <w:pPr>
              <w:spacing w:after="0" w:line="20" w:lineRule="exact"/>
              <w:rPr>
                <w:sz w:val="1"/>
                <w:szCs w:val="1"/>
                <w:color w:val="auto"/>
              </w:rPr>
            </w:pPr>
          </w:p>
        </w:tc>
        <w:tc>
          <w:tcPr>
            <w:tcW w:w="116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940" w:type="dxa"/>
            <w:vAlign w:val="bottom"/>
            <w:gridSpan w:val="7"/>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5840" w:type="dxa"/>
            <w:vAlign w:val="bottom"/>
            <w:gridSpan w:val="11"/>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360" w:type="dxa"/>
            <w:vAlign w:val="bottom"/>
          </w:tcPr>
          <w:p>
            <w:pPr>
              <w:spacing w:after="0"/>
              <w:rPr>
                <w:sz w:val="17"/>
                <w:szCs w:val="17"/>
                <w:color w:val="auto"/>
              </w:rPr>
            </w:pPr>
          </w:p>
        </w:tc>
        <w:tc>
          <w:tcPr>
            <w:tcW w:w="10220" w:type="dxa"/>
            <w:vAlign w:val="bottom"/>
            <w:gridSpan w:val="38"/>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B</w:t>
              </w:r>
              <w:r>
                <w:rPr>
                  <w:rFonts w:ascii="Arial" w:cs="Arial" w:eastAsia="Arial" w:hAnsi="Arial"/>
                  <w:sz w:val="14"/>
                  <w:szCs w:val="14"/>
                  <w:color w:val="0000EE"/>
                </w:rPr>
                <w:t>OARD OF</w:t>
              </w:r>
              <w:r>
                <w:rPr>
                  <w:rFonts w:ascii="Arial" w:cs="Arial" w:eastAsia="Arial" w:hAnsi="Arial"/>
                  <w:sz w:val="18"/>
                  <w:szCs w:val="18"/>
                  <w:color w:val="0000EE"/>
                </w:rPr>
                <w:t xml:space="preserve"> D</w:t>
              </w:r>
              <w:r>
                <w:rPr>
                  <w:rFonts w:ascii="Arial" w:cs="Arial" w:eastAsia="Arial" w:hAnsi="Arial"/>
                  <w:sz w:val="14"/>
                  <w:szCs w:val="14"/>
                  <w:color w:val="0000EE"/>
                </w:rPr>
                <w:t>IRECTORS</w:t>
              </w:r>
              <w:r>
                <w:rPr>
                  <w:rFonts w:ascii="Arial" w:cs="Arial" w:eastAsia="Arial" w:hAnsi="Arial"/>
                  <w:sz w:val="18"/>
                  <w:szCs w:val="18"/>
                  <w:color w:val="0000EE"/>
                </w:rPr>
                <w:t>’ R</w:t>
              </w:r>
              <w:r>
                <w:rPr>
                  <w:rFonts w:ascii="Arial" w:cs="Arial" w:eastAsia="Arial" w:hAnsi="Arial"/>
                  <w:sz w:val="14"/>
                  <w:szCs w:val="14"/>
                  <w:color w:val="0000EE"/>
                </w:rPr>
                <w:t>ECOMMENDATION</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116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8"/>
              </w:rPr>
            </w:pPr>
            <w:hyperlink w:anchor="page63">
              <w:r>
                <w:rPr>
                  <w:rFonts w:ascii="Arial" w:cs="Arial" w:eastAsia="Arial" w:hAnsi="Arial"/>
                  <w:sz w:val="18"/>
                  <w:szCs w:val="18"/>
                  <w:color w:val="0000EE"/>
                  <w:w w:val="98"/>
                </w:rPr>
                <w:t>D</w:t>
              </w:r>
              <w:r>
                <w:rPr>
                  <w:rFonts w:ascii="Arial" w:cs="Arial" w:eastAsia="Arial" w:hAnsi="Arial"/>
                  <w:sz w:val="14"/>
                  <w:szCs w:val="14"/>
                  <w:color w:val="0000EE"/>
                  <w:w w:val="98"/>
                </w:rPr>
                <w:t>ELOITTE</w:t>
              </w:r>
              <w:r>
                <w:rPr>
                  <w:rFonts w:ascii="Arial" w:cs="Arial" w:eastAsia="Arial" w:hAnsi="Arial"/>
                  <w:sz w:val="18"/>
                  <w:szCs w:val="18"/>
                  <w:color w:val="0000EE"/>
                  <w:w w:val="98"/>
                </w:rPr>
                <w:t xml:space="preserve"> F</w:t>
              </w:r>
              <w:r>
                <w:rPr>
                  <w:rFonts w:ascii="Arial" w:cs="Arial" w:eastAsia="Arial" w:hAnsi="Arial"/>
                  <w:sz w:val="14"/>
                  <w:szCs w:val="14"/>
                  <w:color w:val="0000EE"/>
                  <w:w w:val="98"/>
                </w:rPr>
                <w:t>EES</w:t>
              </w:r>
            </w:hyperlink>
          </w:p>
        </w:tc>
        <w:tc>
          <w:tcPr>
            <w:tcW w:w="2060" w:type="dxa"/>
            <w:vAlign w:val="bottom"/>
            <w:tcBorders>
              <w:top w:val="single" w:sz="8" w:color="0000EE"/>
            </w:tcBorders>
            <w:gridSpan w:val="15"/>
          </w:tcPr>
          <w:p>
            <w:pPr>
              <w:spacing w:after="0"/>
              <w:rPr>
                <w:sz w:val="17"/>
                <w:szCs w:val="17"/>
                <w:color w:val="auto"/>
              </w:rPr>
            </w:pPr>
          </w:p>
        </w:tc>
        <w:tc>
          <w:tcPr>
            <w:tcW w:w="7000" w:type="dxa"/>
            <w:vAlign w:val="bottom"/>
            <w:gridSpan w:val="20"/>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360" w:type="dxa"/>
            <w:vAlign w:val="bottom"/>
          </w:tcPr>
          <w:p>
            <w:pPr>
              <w:spacing w:after="0"/>
              <w:rPr>
                <w:sz w:val="17"/>
                <w:szCs w:val="17"/>
                <w:color w:val="auto"/>
              </w:rPr>
            </w:pPr>
          </w:p>
        </w:tc>
        <w:tc>
          <w:tcPr>
            <w:tcW w:w="3360" w:type="dxa"/>
            <w:vAlign w:val="bottom"/>
            <w:tcBorders>
              <w:bottom w:val="single" w:sz="8" w:color="0000EE"/>
            </w:tcBorders>
            <w:gridSpan w:val="20"/>
          </w:tcPr>
          <w:p>
            <w:pPr>
              <w:spacing w:after="0" w:line="196" w:lineRule="exact"/>
              <w:rPr>
                <w:rFonts w:ascii="Arial" w:cs="Arial" w:eastAsia="Arial" w:hAnsi="Arial"/>
                <w:sz w:val="18"/>
                <w:szCs w:val="18"/>
                <w:color w:val="0000EE"/>
              </w:rPr>
            </w:pPr>
            <w:hyperlink w:anchor="page63">
              <w:r>
                <w:rPr>
                  <w:rFonts w:ascii="Arial" w:cs="Arial" w:eastAsia="Arial" w:hAnsi="Arial"/>
                  <w:sz w:val="18"/>
                  <w:szCs w:val="18"/>
                  <w:color w:val="0000EE"/>
                </w:rPr>
                <w:t>A</w:t>
              </w:r>
              <w:r>
                <w:rPr>
                  <w:rFonts w:ascii="Arial" w:cs="Arial" w:eastAsia="Arial" w:hAnsi="Arial"/>
                  <w:sz w:val="14"/>
                  <w:szCs w:val="14"/>
                  <w:color w:val="0000EE"/>
                </w:rPr>
                <w:t>UDIT</w:t>
              </w:r>
              <w:r>
                <w:rPr>
                  <w:rFonts w:ascii="Arial" w:cs="Arial" w:eastAsia="Arial" w:hAnsi="Arial"/>
                  <w:sz w:val="18"/>
                  <w:szCs w:val="18"/>
                  <w:color w:val="0000EE"/>
                </w:rPr>
                <w:t xml:space="preserve"> C</w:t>
              </w:r>
              <w:r>
                <w:rPr>
                  <w:rFonts w:ascii="Arial" w:cs="Arial" w:eastAsia="Arial" w:hAnsi="Arial"/>
                  <w:sz w:val="14"/>
                  <w:szCs w:val="14"/>
                  <w:color w:val="0000EE"/>
                </w:rPr>
                <w:t>OMMITTEE</w:t>
              </w:r>
              <w:r>
                <w:rPr>
                  <w:rFonts w:ascii="Arial" w:cs="Arial" w:eastAsia="Arial" w:hAnsi="Arial"/>
                  <w:sz w:val="18"/>
                  <w:szCs w:val="18"/>
                  <w:color w:val="0000EE"/>
                </w:rPr>
                <w:t xml:space="preserve"> P</w:t>
              </w:r>
              <w:r>
                <w:rPr>
                  <w:rFonts w:ascii="Arial" w:cs="Arial" w:eastAsia="Arial" w:hAnsi="Arial"/>
                  <w:sz w:val="14"/>
                  <w:szCs w:val="14"/>
                  <w:color w:val="0000EE"/>
                </w:rPr>
                <w:t>RE</w:t>
              </w:r>
              <w:r>
                <w:rPr>
                  <w:rFonts w:ascii="Arial" w:cs="Arial" w:eastAsia="Arial" w:hAnsi="Arial"/>
                  <w:sz w:val="18"/>
                  <w:szCs w:val="18"/>
                  <w:color w:val="0000EE"/>
                </w:rPr>
                <w:t>-A</w:t>
              </w:r>
              <w:r>
                <w:rPr>
                  <w:rFonts w:ascii="Arial" w:cs="Arial" w:eastAsia="Arial" w:hAnsi="Arial"/>
                  <w:sz w:val="14"/>
                  <w:szCs w:val="14"/>
                  <w:color w:val="0000EE"/>
                </w:rPr>
                <w:t>PPROVAL</w:t>
              </w:r>
              <w:r>
                <w:rPr>
                  <w:rFonts w:ascii="Arial" w:cs="Arial" w:eastAsia="Arial" w:hAnsi="Arial"/>
                  <w:sz w:val="18"/>
                  <w:szCs w:val="18"/>
                  <w:color w:val="0000EE"/>
                </w:rPr>
                <w:t xml:space="preserve"> P</w:t>
              </w:r>
              <w:r>
                <w:rPr>
                  <w:rFonts w:ascii="Arial" w:cs="Arial" w:eastAsia="Arial" w:hAnsi="Arial"/>
                  <w:sz w:val="14"/>
                  <w:szCs w:val="14"/>
                  <w:color w:val="0000EE"/>
                </w:rPr>
                <w:t>OLICIES</w:t>
              </w:r>
            </w:hyperlink>
          </w:p>
        </w:tc>
        <w:tc>
          <w:tcPr>
            <w:tcW w:w="6860" w:type="dxa"/>
            <w:vAlign w:val="bottom"/>
            <w:gridSpan w:val="18"/>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58</w:t>
            </w:r>
          </w:p>
        </w:tc>
      </w:tr>
      <w:tr>
        <w:trPr>
          <w:trHeight w:val="196"/>
        </w:trPr>
        <w:tc>
          <w:tcPr>
            <w:tcW w:w="10580" w:type="dxa"/>
            <w:vAlign w:val="bottom"/>
            <w:gridSpan w:val="39"/>
          </w:tcPr>
          <w:p>
            <w:pPr>
              <w:spacing w:after="0" w:line="196" w:lineRule="exact"/>
              <w:rPr>
                <w:rFonts w:ascii="Arial" w:cs="Arial" w:eastAsia="Arial" w:hAnsi="Arial"/>
                <w:sz w:val="18"/>
                <w:szCs w:val="18"/>
                <w:b w:val="1"/>
                <w:bCs w:val="1"/>
                <w:color w:val="0000EE"/>
              </w:rPr>
            </w:pPr>
            <w:hyperlink w:anchor="page64">
              <w:r>
                <w:rPr>
                  <w:rFonts w:ascii="Arial" w:cs="Arial" w:eastAsia="Arial" w:hAnsi="Arial"/>
                  <w:sz w:val="18"/>
                  <w:szCs w:val="18"/>
                  <w:b w:val="1"/>
                  <w:bCs w:val="1"/>
                  <w:color w:val="0000EE"/>
                </w:rPr>
                <w:t>AUDIT COMMITTEE REPORT</w:t>
              </w:r>
            </w:hyperlink>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59</w:t>
            </w:r>
          </w:p>
        </w:tc>
      </w:tr>
      <w:tr>
        <w:trPr>
          <w:trHeight w:val="196"/>
        </w:trPr>
        <w:tc>
          <w:tcPr>
            <w:tcW w:w="2540" w:type="dxa"/>
            <w:vAlign w:val="bottom"/>
            <w:tcBorders>
              <w:top w:val="single" w:sz="8" w:color="0000EE"/>
              <w:bottom w:val="single" w:sz="8" w:color="0000EE"/>
            </w:tcBorders>
            <w:gridSpan w:val="12"/>
          </w:tcPr>
          <w:p>
            <w:pPr>
              <w:spacing w:after="0" w:line="196" w:lineRule="exact"/>
              <w:rPr>
                <w:rFonts w:ascii="Arial" w:cs="Arial" w:eastAsia="Arial" w:hAnsi="Arial"/>
                <w:sz w:val="18"/>
                <w:szCs w:val="18"/>
                <w:b w:val="1"/>
                <w:bCs w:val="1"/>
                <w:color w:val="0000EE"/>
              </w:rPr>
            </w:pPr>
            <w:hyperlink w:anchor="page65">
              <w:r>
                <w:rPr>
                  <w:rFonts w:ascii="Arial" w:cs="Arial" w:eastAsia="Arial" w:hAnsi="Arial"/>
                  <w:sz w:val="18"/>
                  <w:szCs w:val="18"/>
                  <w:b w:val="1"/>
                  <w:bCs w:val="1"/>
                  <w:color w:val="0000EE"/>
                </w:rPr>
                <w:t>ADDITIONAL INFORMATION</w:t>
              </w:r>
            </w:hyperlink>
          </w:p>
        </w:tc>
        <w:tc>
          <w:tcPr>
            <w:tcW w:w="40" w:type="dxa"/>
            <w:vAlign w:val="bottom"/>
            <w:tcBorders>
              <w:top w:val="single" w:sz="8" w:color="0000EE"/>
            </w:tcBorders>
          </w:tcPr>
          <w:p>
            <w:pPr>
              <w:spacing w:after="0"/>
              <w:rPr>
                <w:sz w:val="17"/>
                <w:szCs w:val="17"/>
                <w:color w:val="auto"/>
              </w:rPr>
            </w:pPr>
          </w:p>
        </w:tc>
        <w:tc>
          <w:tcPr>
            <w:tcW w:w="8000" w:type="dxa"/>
            <w:vAlign w:val="bottom"/>
            <w:gridSpan w:val="26"/>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b w:val="1"/>
                <w:bCs w:val="1"/>
                <w:color w:val="auto"/>
              </w:rPr>
              <w:t>60</w:t>
            </w:r>
          </w:p>
        </w:tc>
      </w:tr>
      <w:tr>
        <w:trPr>
          <w:trHeight w:val="196"/>
        </w:trPr>
        <w:tc>
          <w:tcPr>
            <w:tcW w:w="360" w:type="dxa"/>
            <w:vAlign w:val="bottom"/>
          </w:tcPr>
          <w:p>
            <w:pPr>
              <w:spacing w:after="0"/>
              <w:rPr>
                <w:sz w:val="17"/>
                <w:szCs w:val="17"/>
                <w:color w:val="auto"/>
              </w:rPr>
            </w:pPr>
          </w:p>
        </w:tc>
        <w:tc>
          <w:tcPr>
            <w:tcW w:w="4380" w:type="dxa"/>
            <w:vAlign w:val="bottom"/>
            <w:tcBorders>
              <w:bottom w:val="single" w:sz="8" w:color="0000EE"/>
            </w:tcBorders>
            <w:gridSpan w:val="27"/>
          </w:tcPr>
          <w:p>
            <w:pPr>
              <w:spacing w:after="0" w:line="196" w:lineRule="exact"/>
              <w:rPr>
                <w:rFonts w:ascii="Arial" w:cs="Arial" w:eastAsia="Arial" w:hAnsi="Arial"/>
                <w:sz w:val="18"/>
                <w:szCs w:val="18"/>
                <w:color w:val="0000EE"/>
                <w:w w:val="99"/>
              </w:rPr>
            </w:pPr>
            <w:hyperlink w:anchor="page65">
              <w:r>
                <w:rPr>
                  <w:rFonts w:ascii="Arial" w:cs="Arial" w:eastAsia="Arial" w:hAnsi="Arial"/>
                  <w:sz w:val="18"/>
                  <w:szCs w:val="18"/>
                  <w:color w:val="0000EE"/>
                  <w:w w:val="99"/>
                </w:rPr>
                <w:t>P</w:t>
              </w:r>
              <w:r>
                <w:rPr>
                  <w:rFonts w:ascii="Arial" w:cs="Arial" w:eastAsia="Arial" w:hAnsi="Arial"/>
                  <w:sz w:val="14"/>
                  <w:szCs w:val="14"/>
                  <w:color w:val="0000EE"/>
                  <w:w w:val="99"/>
                </w:rPr>
                <w:t>ROCEDURES FOR</w:t>
              </w:r>
              <w:r>
                <w:rPr>
                  <w:rFonts w:ascii="Arial" w:cs="Arial" w:eastAsia="Arial" w:hAnsi="Arial"/>
                  <w:sz w:val="18"/>
                  <w:szCs w:val="18"/>
                  <w:color w:val="0000EE"/>
                  <w:w w:val="99"/>
                </w:rPr>
                <w:t xml:space="preserve"> S</w:t>
              </w:r>
              <w:r>
                <w:rPr>
                  <w:rFonts w:ascii="Arial" w:cs="Arial" w:eastAsia="Arial" w:hAnsi="Arial"/>
                  <w:sz w:val="14"/>
                  <w:szCs w:val="14"/>
                  <w:color w:val="0000EE"/>
                  <w:w w:val="99"/>
                </w:rPr>
                <w:t>UBMITTING</w:t>
              </w:r>
              <w:r>
                <w:rPr>
                  <w:rFonts w:ascii="Arial" w:cs="Arial" w:eastAsia="Arial" w:hAnsi="Arial"/>
                  <w:sz w:val="18"/>
                  <w:szCs w:val="18"/>
                  <w:color w:val="0000EE"/>
                  <w:w w:val="99"/>
                </w:rPr>
                <w:t xml:space="preserve"> S</w:t>
              </w:r>
              <w:r>
                <w:rPr>
                  <w:rFonts w:ascii="Arial" w:cs="Arial" w:eastAsia="Arial" w:hAnsi="Arial"/>
                  <w:sz w:val="14"/>
                  <w:szCs w:val="14"/>
                  <w:color w:val="0000EE"/>
                  <w:w w:val="99"/>
                </w:rPr>
                <w:t>TOCKHOLDER</w:t>
              </w:r>
              <w:r>
                <w:rPr>
                  <w:rFonts w:ascii="Arial" w:cs="Arial" w:eastAsia="Arial" w:hAnsi="Arial"/>
                  <w:sz w:val="18"/>
                  <w:szCs w:val="18"/>
                  <w:color w:val="0000EE"/>
                  <w:w w:val="99"/>
                </w:rPr>
                <w:t xml:space="preserve"> P</w:t>
              </w:r>
              <w:r>
                <w:rPr>
                  <w:rFonts w:ascii="Arial" w:cs="Arial" w:eastAsia="Arial" w:hAnsi="Arial"/>
                  <w:sz w:val="14"/>
                  <w:szCs w:val="14"/>
                  <w:color w:val="0000EE"/>
                  <w:w w:val="99"/>
                </w:rPr>
                <w:t>ROPOSALS</w:t>
              </w:r>
            </w:hyperlink>
          </w:p>
        </w:tc>
        <w:tc>
          <w:tcPr>
            <w:tcW w:w="5840" w:type="dxa"/>
            <w:vAlign w:val="bottom"/>
            <w:gridSpan w:val="11"/>
          </w:tcPr>
          <w:p>
            <w:pPr>
              <w:spacing w:after="0"/>
              <w:rPr>
                <w:sz w:val="17"/>
                <w:szCs w:val="17"/>
                <w:color w:val="auto"/>
              </w:rPr>
            </w:pPr>
          </w:p>
        </w:tc>
        <w:tc>
          <w:tcPr>
            <w:tcW w:w="380" w:type="dxa"/>
            <w:vAlign w:val="bottom"/>
          </w:tcPr>
          <w:p>
            <w:pPr>
              <w:jc w:val="right"/>
              <w:spacing w:after="0" w:line="196" w:lineRule="exact"/>
              <w:rPr>
                <w:sz w:val="20"/>
                <w:szCs w:val="20"/>
                <w:color w:val="auto"/>
              </w:rPr>
            </w:pPr>
            <w:r>
              <w:rPr>
                <w:rFonts w:ascii="Arial" w:cs="Arial" w:eastAsia="Arial" w:hAnsi="Arial"/>
                <w:sz w:val="18"/>
                <w:szCs w:val="18"/>
                <w:color w:val="auto"/>
              </w:rPr>
              <w:t>60</w:t>
            </w:r>
          </w:p>
        </w:tc>
      </w:tr>
    </w:tbl>
    <w:p>
      <w:pPr>
        <w:sectPr>
          <w:pgSz w:w="11900" w:h="16838" w:orient="portrait"/>
          <w:cols w:equalWidth="0" w:num="1">
            <w:col w:w="11080"/>
          </w:cols>
          <w:pgMar w:left="320" w:top="459" w:right="49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1771015</wp:posOffset>
            </wp:positionH>
            <wp:positionV relativeFrom="paragraph">
              <wp:posOffset>205740</wp:posOffset>
            </wp:positionV>
            <wp:extent cx="3600450" cy="10115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600450" cy="10115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PROXY STATEMENT</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2020 ANNUAL MEETING OF STOCKHOLDERS</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TO BE HELD ON APRIL 23, 2020</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GENERAL INFORMATION</w:t>
      </w:r>
    </w:p>
    <w:p>
      <w:pPr>
        <w:spacing w:after="0" w:line="229" w:lineRule="exact"/>
        <w:rPr>
          <w:sz w:val="20"/>
          <w:szCs w:val="20"/>
          <w:color w:val="auto"/>
        </w:rPr>
      </w:pPr>
    </w:p>
    <w:p>
      <w:pPr>
        <w:ind w:left="120" w:right="200" w:firstLine="440"/>
        <w:spacing w:after="0" w:line="275" w:lineRule="auto"/>
        <w:rPr>
          <w:sz w:val="20"/>
          <w:szCs w:val="20"/>
          <w:color w:val="auto"/>
        </w:rPr>
      </w:pPr>
      <w:r>
        <w:rPr>
          <w:rFonts w:ascii="Arial" w:cs="Arial" w:eastAsia="Arial" w:hAnsi="Arial"/>
          <w:sz w:val="17"/>
          <w:szCs w:val="17"/>
          <w:color w:val="auto"/>
        </w:rPr>
        <w:t>The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is making this proxy statement available to you on the Internet, or at your request has delivered printed versions to you by mail, in connection with the solicitation of proxies by the Board for our 2020 Annual Meeting of Stockholders to be held on Thursday, April 23, 2020 at 11:00 a.m. (Eastern Time) at the Boston Marriott Burlington, located at One Burlington Mall Road, Burlington, Massachusetts 01803 USA, and any adjournment or postponement of that meeting (the “</w:t>
      </w:r>
      <w:r>
        <w:rPr>
          <w:rFonts w:ascii="Arial" w:cs="Arial" w:eastAsia="Arial" w:hAnsi="Arial"/>
          <w:sz w:val="17"/>
          <w:szCs w:val="17"/>
          <w:b w:val="1"/>
          <w:bCs w:val="1"/>
          <w:i w:val="1"/>
          <w:iCs w:val="1"/>
          <w:color w:val="auto"/>
        </w:rPr>
        <w:t>Annual Meeting</w:t>
      </w:r>
      <w:r>
        <w:rPr>
          <w:rFonts w:ascii="Arial" w:cs="Arial" w:eastAsia="Arial" w:hAnsi="Arial"/>
          <w:sz w:val="17"/>
          <w:szCs w:val="17"/>
          <w:color w:val="auto"/>
        </w:rPr>
        <w:t>”). If you requested printed versions of these materials by mail, those materials will also include a proxy card for the Annual Meeting.</w:t>
      </w:r>
    </w:p>
    <w:p>
      <w:pPr>
        <w:spacing w:after="0" w:line="176" w:lineRule="exact"/>
        <w:rPr>
          <w:sz w:val="20"/>
          <w:szCs w:val="20"/>
          <w:color w:val="auto"/>
        </w:rPr>
      </w:pPr>
    </w:p>
    <w:p>
      <w:pPr>
        <w:jc w:val="both"/>
        <w:ind w:left="120" w:firstLine="440"/>
        <w:spacing w:after="0" w:line="286" w:lineRule="auto"/>
        <w:rPr>
          <w:sz w:val="20"/>
          <w:szCs w:val="20"/>
          <w:color w:val="auto"/>
        </w:rPr>
      </w:pPr>
      <w:r>
        <w:rPr>
          <w:rFonts w:ascii="Arial" w:cs="Arial" w:eastAsia="Arial" w:hAnsi="Arial"/>
          <w:sz w:val="17"/>
          <w:szCs w:val="17"/>
          <w:color w:val="auto"/>
        </w:rPr>
        <w:t>Pursuant to rules adopted by the Securities and Exchange Commission (“</w:t>
      </w:r>
      <w:r>
        <w:rPr>
          <w:rFonts w:ascii="Arial" w:cs="Arial" w:eastAsia="Arial" w:hAnsi="Arial"/>
          <w:sz w:val="17"/>
          <w:szCs w:val="17"/>
          <w:b w:val="1"/>
          <w:bCs w:val="1"/>
          <w:i w:val="1"/>
          <w:iCs w:val="1"/>
          <w:color w:val="auto"/>
        </w:rPr>
        <w:t>SEC</w:t>
      </w:r>
      <w:r>
        <w:rPr>
          <w:rFonts w:ascii="Arial" w:cs="Arial" w:eastAsia="Arial" w:hAnsi="Arial"/>
          <w:sz w:val="17"/>
          <w:szCs w:val="17"/>
          <w:color w:val="auto"/>
        </w:rPr>
        <w:t>”), we are providing access to our proxy materials over the Internet. Accordingly, we are sending a Notice of Internet Availability of Proxy Materials (the “</w:t>
      </w:r>
      <w:r>
        <w:rPr>
          <w:rFonts w:ascii="Arial" w:cs="Arial" w:eastAsia="Arial" w:hAnsi="Arial"/>
          <w:sz w:val="17"/>
          <w:szCs w:val="17"/>
          <w:b w:val="1"/>
          <w:bCs w:val="1"/>
          <w:i w:val="1"/>
          <w:iCs w:val="1"/>
          <w:color w:val="auto"/>
        </w:rPr>
        <w:t>Notice</w:t>
      </w:r>
      <w:r>
        <w:rPr>
          <w:rFonts w:ascii="Arial" w:cs="Arial" w:eastAsia="Arial" w:hAnsi="Arial"/>
          <w:sz w:val="17"/>
          <w:szCs w:val="17"/>
          <w:color w:val="auto"/>
        </w:rPr>
        <w:t>”) to our stockholders of record and beneficial owners as of the record date identified below. The mailing of the Notice to our stockholders is scheduled to begin on or about March 12, 2020.</w:t>
      </w:r>
    </w:p>
    <w:p>
      <w:pPr>
        <w:spacing w:after="0" w:line="37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IMPORTANT NOTICE REGARDING THE INTERNET AVAILABILITY OF PROXY MATERIALS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FOR THE ANNUAL STOCKHOLDERS MEETING TO BE HELD ON APRIL 23, 2020:</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This Proxy Statement, the accompanying proxy card or voting instruction card and</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our 2019 Annual Report on Form 10-K are each available at http://www.proxydocs.com/lnth.</w:t>
      </w:r>
    </w:p>
    <w:p>
      <w:pPr>
        <w:spacing w:after="0" w:line="211" w:lineRule="exact"/>
        <w:rPr>
          <w:sz w:val="20"/>
          <w:szCs w:val="20"/>
          <w:color w:val="auto"/>
        </w:rPr>
      </w:pPr>
    </w:p>
    <w:p>
      <w:pPr>
        <w:ind w:left="120" w:right="420" w:firstLine="440"/>
        <w:spacing w:after="0" w:line="263" w:lineRule="auto"/>
        <w:rPr>
          <w:sz w:val="20"/>
          <w:szCs w:val="20"/>
          <w:color w:val="auto"/>
        </w:rPr>
      </w:pPr>
      <w:r>
        <w:rPr>
          <w:rFonts w:ascii="Arial" w:cs="Arial" w:eastAsia="Arial" w:hAnsi="Arial"/>
          <w:sz w:val="18"/>
          <w:szCs w:val="18"/>
          <w:color w:val="auto"/>
        </w:rPr>
        <w:t>In this proxy statement, unless the context requires otherwise, the words “</w:t>
      </w:r>
      <w:r>
        <w:rPr>
          <w:rFonts w:ascii="Arial" w:cs="Arial" w:eastAsia="Arial" w:hAnsi="Arial"/>
          <w:sz w:val="18"/>
          <w:szCs w:val="18"/>
          <w:b w:val="1"/>
          <w:bCs w:val="1"/>
          <w:i w:val="1"/>
          <w:iCs w:val="1"/>
          <w:color w:val="auto"/>
        </w:rPr>
        <w:t>Lantheus</w:t>
      </w:r>
      <w:r>
        <w:rPr>
          <w:rFonts w:ascii="Arial" w:cs="Arial" w:eastAsia="Arial" w:hAnsi="Arial"/>
          <w:sz w:val="18"/>
          <w:szCs w:val="18"/>
          <w:color w:val="auto"/>
        </w:rPr>
        <w:t>,”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w:t>
      </w:r>
      <w:r>
        <w:rPr>
          <w:rFonts w:ascii="Arial" w:cs="Arial" w:eastAsia="Arial" w:hAnsi="Arial"/>
          <w:sz w:val="18"/>
          <w:szCs w:val="18"/>
          <w:b w:val="1"/>
          <w:bCs w:val="1"/>
          <w:i w:val="1"/>
          <w:iCs w:val="1"/>
          <w:color w:val="auto"/>
        </w:rPr>
        <w:t>we</w:t>
      </w:r>
      <w:r>
        <w:rPr>
          <w:rFonts w:ascii="Arial" w:cs="Arial" w:eastAsia="Arial" w:hAnsi="Arial"/>
          <w:sz w:val="18"/>
          <w:szCs w:val="18"/>
          <w:color w:val="auto"/>
        </w:rPr>
        <w:t>,” “</w:t>
      </w:r>
      <w:r>
        <w:rPr>
          <w:rFonts w:ascii="Arial" w:cs="Arial" w:eastAsia="Arial" w:hAnsi="Arial"/>
          <w:sz w:val="18"/>
          <w:szCs w:val="18"/>
          <w:b w:val="1"/>
          <w:bCs w:val="1"/>
          <w:i w:val="1"/>
          <w:iCs w:val="1"/>
          <w:color w:val="auto"/>
        </w:rPr>
        <w:t>us</w:t>
      </w:r>
      <w:r>
        <w:rPr>
          <w:rFonts w:ascii="Arial" w:cs="Arial" w:eastAsia="Arial" w:hAnsi="Arial"/>
          <w:sz w:val="18"/>
          <w:szCs w:val="18"/>
          <w:color w:val="auto"/>
        </w:rPr>
        <w:t>” and “</w:t>
      </w:r>
      <w:r>
        <w:rPr>
          <w:rFonts w:ascii="Arial" w:cs="Arial" w:eastAsia="Arial" w:hAnsi="Arial"/>
          <w:sz w:val="18"/>
          <w:szCs w:val="18"/>
          <w:b w:val="1"/>
          <w:bCs w:val="1"/>
          <w:i w:val="1"/>
          <w:iCs w:val="1"/>
          <w:color w:val="auto"/>
        </w:rPr>
        <w:t>our</w:t>
      </w:r>
      <w:r>
        <w:rPr>
          <w:rFonts w:ascii="Arial" w:cs="Arial" w:eastAsia="Arial" w:hAnsi="Arial"/>
          <w:sz w:val="18"/>
          <w:szCs w:val="18"/>
          <w:color w:val="auto"/>
        </w:rPr>
        <w:t>” refer to Lantheus Holdings, Inc. and its subsidiaries. The mailing address of our principal executive offices is Lantheus Holdings, Inc., 331 Treble Cove Road, North Billerica, MA 01862.</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In this proxy statement, we indicate that certain materials are available on our Investor Relations website at http://investor.lantheus.com. The information on our website is not part of, and is not incorporated into, this proxy statement.</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20"/>
          </w:cols>
          <w:pgMar w:left="320" w:top="459" w:right="4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QUESTIONS AND ANSWERS ABOUT THE ANNUAL MEETING</w:t>
      </w:r>
    </w:p>
    <w:p>
      <w:pPr>
        <w:spacing w:after="0" w:line="229" w:lineRule="exact"/>
        <w:rPr>
          <w:sz w:val="20"/>
          <w:szCs w:val="20"/>
          <w:color w:val="auto"/>
        </w:rPr>
      </w:pPr>
    </w:p>
    <w:p>
      <w:pPr>
        <w:ind w:left="120" w:right="100" w:firstLine="440"/>
        <w:spacing w:after="0" w:line="263" w:lineRule="auto"/>
        <w:rPr>
          <w:sz w:val="20"/>
          <w:szCs w:val="20"/>
          <w:color w:val="auto"/>
        </w:rPr>
      </w:pPr>
      <w:r>
        <w:rPr>
          <w:rFonts w:ascii="Arial" w:cs="Arial" w:eastAsia="Arial" w:hAnsi="Arial"/>
          <w:sz w:val="18"/>
          <w:szCs w:val="18"/>
          <w:color w:val="auto"/>
        </w:rPr>
        <w:t>Below are answers to common questions stockholders may have about the Notice, this proxy statement, our Annual Report on Form 10-K for the fiscal year ended December 31, 2019 and (if you request paper copies) a proxy card/voting instruction form (collectively, the “</w:t>
      </w:r>
      <w:r>
        <w:rPr>
          <w:rFonts w:ascii="Arial" w:cs="Arial" w:eastAsia="Arial" w:hAnsi="Arial"/>
          <w:sz w:val="18"/>
          <w:szCs w:val="18"/>
          <w:b w:val="1"/>
          <w:bCs w:val="1"/>
          <w:i w:val="1"/>
          <w:iCs w:val="1"/>
          <w:color w:val="auto"/>
        </w:rPr>
        <w:t>Proxy Materials</w:t>
      </w:r>
      <w:r>
        <w:rPr>
          <w:rFonts w:ascii="Arial" w:cs="Arial" w:eastAsia="Arial" w:hAnsi="Arial"/>
          <w:sz w:val="18"/>
          <w:szCs w:val="18"/>
          <w:color w:val="auto"/>
        </w:rPr>
        <w:t>”) and the Annual Meeting.</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am I voting on?</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You are voting on the following proposals at the Annual Meeting:</w:t>
      </w:r>
    </w:p>
    <w:p>
      <w:pPr>
        <w:spacing w:after="0" w:line="131" w:lineRule="exact"/>
        <w:rPr>
          <w:sz w:val="20"/>
          <w:szCs w:val="20"/>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election of two Class II directors to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7"/>
          <w:szCs w:val="17"/>
          <w:color w:val="auto"/>
        </w:rPr>
      </w:pPr>
      <w:r>
        <w:rPr>
          <w:rFonts w:ascii="Arial" w:cs="Arial" w:eastAsia="Arial" w:hAnsi="Arial"/>
          <w:sz w:val="17"/>
          <w:szCs w:val="17"/>
          <w:color w:val="auto"/>
        </w:rPr>
        <w:t>the approval, on an advisory basis, of the compensation paid to our named executive officers (commonly referred to as “say on pay”);</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approval, on an advisory basis, the frequency of future “say on pay” votes;</w:t>
      </w:r>
    </w:p>
    <w:p>
      <w:pPr>
        <w:spacing w:after="0" w:line="130" w:lineRule="exact"/>
        <w:rPr>
          <w:rFonts w:ascii="Arial" w:cs="Arial" w:eastAsia="Arial" w:hAnsi="Arial"/>
          <w:sz w:val="18"/>
          <w:szCs w:val="18"/>
          <w:color w:val="auto"/>
        </w:rPr>
      </w:pPr>
    </w:p>
    <w:p>
      <w:pPr>
        <w:ind w:left="1080" w:right="480" w:hanging="424"/>
        <w:spacing w:after="0" w:line="277" w:lineRule="auto"/>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ratification of the appointment of Deloitte &amp; Touche LLP as our independent registered public accounting firm for the fiscal year ending December 31, 2020;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8"/>
        </w:numPr>
        <w:rPr>
          <w:rFonts w:ascii="Arial" w:cs="Arial" w:eastAsia="Arial" w:hAnsi="Arial"/>
          <w:sz w:val="18"/>
          <w:szCs w:val="18"/>
          <w:color w:val="auto"/>
        </w:rPr>
      </w:pPr>
      <w:r>
        <w:rPr>
          <w:rFonts w:ascii="Arial" w:cs="Arial" w:eastAsia="Arial" w:hAnsi="Arial"/>
          <w:sz w:val="18"/>
          <w:szCs w:val="18"/>
          <w:color w:val="auto"/>
        </w:rPr>
        <w:t>any other business properly coming before the Annual Meeting.</w:t>
      </w:r>
    </w:p>
    <w:p>
      <w:pPr>
        <w:spacing w:after="0" w:line="225" w:lineRule="exact"/>
        <w:rPr>
          <w:sz w:val="20"/>
          <w:szCs w:val="20"/>
          <w:color w:val="auto"/>
        </w:rPr>
      </w:pPr>
    </w:p>
    <w:p>
      <w:pPr>
        <w:ind w:left="120" w:right="220" w:firstLine="440"/>
        <w:spacing w:after="0" w:line="311" w:lineRule="auto"/>
        <w:rPr>
          <w:sz w:val="20"/>
          <w:szCs w:val="20"/>
          <w:color w:val="auto"/>
        </w:rPr>
      </w:pPr>
      <w:r>
        <w:rPr>
          <w:rFonts w:ascii="Arial" w:cs="Arial" w:eastAsia="Arial" w:hAnsi="Arial"/>
          <w:sz w:val="16"/>
          <w:szCs w:val="16"/>
          <w:color w:val="auto"/>
        </w:rPr>
        <w:t>Our amended and restated bylaws require that we receive advance notice of any proposals to be brought before the Annual Meeting by our stockholders. We have not received any such proposals, and we do not anticipate any other matters will come before the Annual Meeting. If any other matter properly comes before the Annual Meeting, the proxy holders appointed by the Board will have discretion to vote on those matters.</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Am I voting on Lantheus’ proposed acquisition of Progenics Pharmaceuticals, Inc. at the Annual Meeting?</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No, voting on the Company’s proposed acquisition (the “</w:t>
      </w:r>
      <w:r>
        <w:rPr>
          <w:rFonts w:ascii="Arial" w:cs="Arial" w:eastAsia="Arial" w:hAnsi="Arial"/>
          <w:sz w:val="18"/>
          <w:szCs w:val="18"/>
          <w:b w:val="1"/>
          <w:bCs w:val="1"/>
          <w:i w:val="1"/>
          <w:iCs w:val="1"/>
          <w:color w:val="auto"/>
        </w:rPr>
        <w:t>Progenics Acquisition</w:t>
      </w:r>
      <w:r>
        <w:rPr>
          <w:rFonts w:ascii="Arial" w:cs="Arial" w:eastAsia="Arial" w:hAnsi="Arial"/>
          <w:sz w:val="18"/>
          <w:szCs w:val="18"/>
          <w:color w:val="auto"/>
        </w:rPr>
        <w:t>”) of Progenics Pharmaceuticals, Inc. (“</w:t>
      </w:r>
      <w:r>
        <w:rPr>
          <w:rFonts w:ascii="Arial" w:cs="Arial" w:eastAsia="Arial" w:hAnsi="Arial"/>
          <w:sz w:val="18"/>
          <w:szCs w:val="18"/>
          <w:b w:val="1"/>
          <w:bCs w:val="1"/>
          <w:i w:val="1"/>
          <w:iCs w:val="1"/>
          <w:color w:val="auto"/>
        </w:rPr>
        <w:t>Progenics</w:t>
      </w:r>
      <w:r>
        <w:rPr>
          <w:rFonts w:ascii="Arial" w:cs="Arial" w:eastAsia="Arial" w:hAnsi="Arial"/>
          <w:sz w:val="18"/>
          <w:szCs w:val="18"/>
          <w:color w:val="auto"/>
        </w:rPr>
        <w:t>”) will occur at a separate, special meeting of the Company’s stockholders for which separate materials, including a joint proxy statement/prospectus, will be separately distributed to stockholders.</w:t>
      </w:r>
    </w:p>
    <w:p>
      <w:pPr>
        <w:spacing w:after="0" w:line="18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soliciting my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of Lantheus Holdings, Inc. is soliciting your vote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does the Board of Directors recommend that I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of Directors recommends that you vote:</w:t>
      </w:r>
    </w:p>
    <w:p>
      <w:pPr>
        <w:spacing w:after="0" w:line="127" w:lineRule="exact"/>
        <w:rPr>
          <w:sz w:val="20"/>
          <w:szCs w:val="20"/>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the two nominees for Class II directors to our Board of Directors;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approval, on an advisory basis, of the compensation paid to our named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9"/>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FOR</w:t>
      </w:r>
      <w:r>
        <w:rPr>
          <w:rFonts w:ascii="Arial" w:cs="Arial" w:eastAsia="Arial" w:hAnsi="Arial"/>
          <w:sz w:val="17"/>
          <w:szCs w:val="17"/>
          <w:color w:val="auto"/>
        </w:rPr>
        <w:t>” the one year option, as the frequency for the advisory vote on the compensation paid to our named executive officers; and</w:t>
      </w:r>
    </w:p>
    <w:p>
      <w:pPr>
        <w:spacing w:after="0" w:line="142" w:lineRule="exact"/>
        <w:rPr>
          <w:rFonts w:ascii="Arial" w:cs="Arial" w:eastAsia="Arial" w:hAnsi="Arial"/>
          <w:sz w:val="17"/>
          <w:szCs w:val="17"/>
          <w:color w:val="auto"/>
        </w:rPr>
      </w:pPr>
    </w:p>
    <w:p>
      <w:pPr>
        <w:ind w:left="1080" w:right="260" w:hanging="424"/>
        <w:spacing w:after="0" w:line="282" w:lineRule="auto"/>
        <w:tabs>
          <w:tab w:leader="none" w:pos="1080" w:val="left"/>
        </w:tabs>
        <w:numPr>
          <w:ilvl w:val="0"/>
          <w:numId w:val="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FOR</w:t>
      </w:r>
      <w:r>
        <w:rPr>
          <w:rFonts w:ascii="Arial" w:cs="Arial" w:eastAsia="Arial" w:hAnsi="Arial"/>
          <w:sz w:val="18"/>
          <w:szCs w:val="18"/>
          <w:color w:val="auto"/>
        </w:rPr>
        <w:t>” the ratification of the appointment of Deloitte &amp; Touche LLP as our independent registered public accounting firm for the fiscal year ending December 31, 2020.</w:t>
      </w:r>
    </w:p>
    <w:p>
      <w:pPr>
        <w:spacing w:after="0" w:line="27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may vote at the meeting?</w:t>
      </w:r>
    </w:p>
    <w:p>
      <w:pPr>
        <w:spacing w:after="0" w:line="121"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Holders of shares of our common stock (“</w:t>
      </w:r>
      <w:r>
        <w:rPr>
          <w:rFonts w:ascii="Arial" w:cs="Arial" w:eastAsia="Arial" w:hAnsi="Arial"/>
          <w:sz w:val="18"/>
          <w:szCs w:val="18"/>
          <w:b w:val="1"/>
          <w:bCs w:val="1"/>
          <w:i w:val="1"/>
          <w:iCs w:val="1"/>
          <w:color w:val="auto"/>
        </w:rPr>
        <w:t>Shares</w:t>
      </w:r>
      <w:r>
        <w:rPr>
          <w:rFonts w:ascii="Arial" w:cs="Arial" w:eastAsia="Arial" w:hAnsi="Arial"/>
          <w:sz w:val="18"/>
          <w:szCs w:val="18"/>
          <w:color w:val="auto"/>
        </w:rPr>
        <w:t>”) as of the close of business on February 24, 2020 (the “</w:t>
      </w:r>
      <w:r>
        <w:rPr>
          <w:rFonts w:ascii="Arial" w:cs="Arial" w:eastAsia="Arial" w:hAnsi="Arial"/>
          <w:sz w:val="18"/>
          <w:szCs w:val="18"/>
          <w:b w:val="1"/>
          <w:bCs w:val="1"/>
          <w:i w:val="1"/>
          <w:iCs w:val="1"/>
          <w:color w:val="auto"/>
        </w:rPr>
        <w:t>Record Date</w:t>
      </w:r>
      <w:r>
        <w:rPr>
          <w:rFonts w:ascii="Arial" w:cs="Arial" w:eastAsia="Arial" w:hAnsi="Arial"/>
          <w:sz w:val="18"/>
          <w:szCs w:val="18"/>
          <w:color w:val="auto"/>
        </w:rPr>
        <w:t>”) may vote at the Annual Meeting.</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20"/>
          </w:cols>
          <w:pgMar w:left="320" w:top="459" w:right="45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Shares may be voted at the Annual Meeting?</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Only stockholders of record as of the close of business on the Record Date will be entitled to vote at the Annual Meeting. As of the close of business on the Record Date, there were 39,512,340 Shares entitled to vote at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many votes do I have?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Holders of our common stock are entitled to one vote for each Share held as of the Record Date. We do not have cumulative voting.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7"/>
          <w:szCs w:val="17"/>
          <w:b w:val="1"/>
          <w:bCs w:val="1"/>
          <w:color w:val="auto"/>
        </w:rPr>
        <w:t>How will my Shares be counted as “present” at the Annual Meeting, and how many votes must be present to hold the Annual Meeting?</w:t>
      </w:r>
    </w:p>
    <w:p>
      <w:pPr>
        <w:spacing w:after="0" w:line="133" w:lineRule="exact"/>
        <w:rPr>
          <w:sz w:val="20"/>
          <w:szCs w:val="20"/>
          <w:color w:val="auto"/>
        </w:rPr>
      </w:pPr>
    </w:p>
    <w:p>
      <w:pPr>
        <w:ind w:left="120" w:firstLine="440"/>
        <w:spacing w:after="0" w:line="279" w:lineRule="auto"/>
        <w:rPr>
          <w:sz w:val="20"/>
          <w:szCs w:val="20"/>
          <w:color w:val="auto"/>
        </w:rPr>
      </w:pPr>
      <w:r>
        <w:rPr>
          <w:rFonts w:ascii="Arial" w:cs="Arial" w:eastAsia="Arial" w:hAnsi="Arial"/>
          <w:sz w:val="17"/>
          <w:szCs w:val="17"/>
          <w:color w:val="auto"/>
        </w:rPr>
        <w:t>Your Shares are counted as “</w:t>
      </w:r>
      <w:r>
        <w:rPr>
          <w:rFonts w:ascii="Arial" w:cs="Arial" w:eastAsia="Arial" w:hAnsi="Arial"/>
          <w:sz w:val="17"/>
          <w:szCs w:val="17"/>
          <w:b w:val="1"/>
          <w:bCs w:val="1"/>
          <w:i w:val="1"/>
          <w:iCs w:val="1"/>
          <w:color w:val="auto"/>
        </w:rPr>
        <w:t>present</w:t>
      </w:r>
      <w:r>
        <w:rPr>
          <w:rFonts w:ascii="Arial" w:cs="Arial" w:eastAsia="Arial" w:hAnsi="Arial"/>
          <w:sz w:val="17"/>
          <w:szCs w:val="17"/>
          <w:color w:val="auto"/>
        </w:rPr>
        <w:t>” at the Annual Meeting if you attend the Annual Meeting and vote in-person or if you properly return a proxy to vote your Shares by Internet, telephone or mail (as described below). In order for us to hold our Annual Meeting, holders of a majority of our outstanding Shares as of the Record Date must be present in person or by proxy at the Annual Meeting. This majority is referred to as a quorum. Abstentions and broker non-votes will be counted as Shares present to determine whether a quorum exists to hold the Annual Meeting.</w:t>
      </w:r>
    </w:p>
    <w:p>
      <w:pPr>
        <w:sectPr>
          <w:pgSz w:w="11900" w:h="16838" w:orient="portrait"/>
          <w:cols w:equalWidth="0" w:num="1">
            <w:col w:w="11120"/>
          </w:cols>
          <w:pgMar w:left="320" w:top="459" w:right="459" w:bottom="1440" w:gutter="0" w:footer="0" w:header="0"/>
        </w:sectPr>
      </w:pPr>
    </w:p>
    <w:p>
      <w:pPr>
        <w:spacing w:after="0" w:line="27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vote is required for each proposal?</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following votes are required to approve each 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176530</wp:posOffset>
            </wp:positionV>
            <wp:extent cx="3574415" cy="222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574415" cy="222885"/>
                    </a:xfrm>
                    <a:prstGeom prst="rect">
                      <a:avLst/>
                    </a:prstGeom>
                    <a:noFill/>
                  </pic:spPr>
                </pic:pic>
              </a:graphicData>
            </a:graphic>
          </wp:anchor>
        </w:drawing>
      </w:r>
    </w:p>
    <w:p>
      <w:pPr>
        <w:spacing w:after="0" w:line="330" w:lineRule="exact"/>
        <w:rPr>
          <w:sz w:val="20"/>
          <w:szCs w:val="20"/>
          <w:color w:val="auto"/>
        </w:rPr>
      </w:pPr>
    </w:p>
    <w:p>
      <w:pPr>
        <w:ind w:left="2740"/>
        <w:spacing w:after="0"/>
        <w:rPr>
          <w:sz w:val="20"/>
          <w:szCs w:val="20"/>
          <w:color w:val="auto"/>
        </w:rPr>
      </w:pPr>
      <w:r>
        <w:rPr>
          <w:rFonts w:ascii="Arial" w:cs="Arial" w:eastAsia="Arial" w:hAnsi="Arial"/>
          <w:sz w:val="14"/>
          <w:szCs w:val="14"/>
          <w:b w:val="1"/>
          <w:bCs w:val="1"/>
          <w:color w:val="FFFFFF"/>
        </w:rPr>
        <w:t>Proposal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74930</wp:posOffset>
            </wp:positionV>
            <wp:extent cx="7003415" cy="15773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03415" cy="1577340"/>
                    </a:xfrm>
                    <a:prstGeom prst="rect">
                      <a:avLst/>
                    </a:prstGeom>
                    <a:noFill/>
                  </pic:spPr>
                </pic:pic>
              </a:graphicData>
            </a:graphic>
          </wp:anchor>
        </w:drawing>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Proposal 1</w:t>
      </w:r>
      <w:r>
        <w:rPr>
          <w:rFonts w:ascii="Arial" w:cs="Arial" w:eastAsia="Arial" w:hAnsi="Arial"/>
          <w:sz w:val="18"/>
          <w:szCs w:val="18"/>
          <w:b w:val="1"/>
          <w:bCs w:val="1"/>
          <w:color w:val="auto"/>
        </w:rPr>
        <w: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Election of Class II directors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Proposal 2</w:t>
      </w:r>
      <w:r>
        <w:rPr>
          <w:rFonts w:ascii="Arial" w:cs="Arial" w:eastAsia="Arial" w:hAnsi="Arial"/>
          <w:sz w:val="18"/>
          <w:szCs w:val="18"/>
          <w:b w:val="1"/>
          <w:bCs w:val="1"/>
          <w:color w:val="auto"/>
        </w:rPr>
        <w: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8"/>
          <w:szCs w:val="18"/>
          <w:b w:val="1"/>
          <w:bCs w:val="1"/>
          <w:color w:val="auto"/>
        </w:rPr>
        <w:t>Advisory vote on executive compensation</w:t>
      </w:r>
    </w:p>
    <w:p>
      <w:pPr>
        <w:spacing w:after="0" w:line="112"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Proposal 3</w:t>
      </w:r>
      <w:r>
        <w:rPr>
          <w:rFonts w:ascii="Arial" w:cs="Arial" w:eastAsia="Arial" w:hAnsi="Arial"/>
          <w:sz w:val="18"/>
          <w:szCs w:val="18"/>
          <w:b w:val="1"/>
          <w:bCs w:val="1"/>
          <w:color w:val="auto"/>
        </w:rPr>
        <w:t>:</w:t>
      </w:r>
    </w:p>
    <w:p>
      <w:pPr>
        <w:spacing w:after="0" w:line="27"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Advisory vote on the frequency of future “say on pay” votes</w:t>
      </w:r>
    </w:p>
    <w:p>
      <w:pPr>
        <w:spacing w:after="0" w:line="135" w:lineRule="exact"/>
        <w:rPr>
          <w:sz w:val="20"/>
          <w:szCs w:val="20"/>
          <w:color w:val="auto"/>
        </w:rPr>
      </w:pPr>
    </w:p>
    <w:p>
      <w:pPr>
        <w:ind w:left="360"/>
        <w:spacing w:after="0"/>
        <w:rPr>
          <w:sz w:val="20"/>
          <w:szCs w:val="20"/>
          <w:color w:val="auto"/>
        </w:rPr>
      </w:pPr>
      <w:r>
        <w:rPr>
          <w:rFonts w:ascii="Arial" w:cs="Arial" w:eastAsia="Arial" w:hAnsi="Arial"/>
          <w:sz w:val="18"/>
          <w:szCs w:val="18"/>
          <w:b w:val="1"/>
          <w:bCs w:val="1"/>
          <w:u w:val="single" w:color="auto"/>
          <w:color w:val="auto"/>
        </w:rPr>
        <w:t>Proposal 4</w:t>
      </w:r>
      <w:r>
        <w:rPr>
          <w:rFonts w:ascii="Arial" w:cs="Arial" w:eastAsia="Arial" w:hAnsi="Arial"/>
          <w:sz w:val="18"/>
          <w:szCs w:val="18"/>
          <w:b w:val="1"/>
          <w:bCs w:val="1"/>
          <w:color w:val="auto"/>
        </w:rPr>
        <w:t>:</w:t>
      </w:r>
    </w:p>
    <w:p>
      <w:pPr>
        <w:spacing w:after="0" w:line="27" w:lineRule="exact"/>
        <w:rPr>
          <w:sz w:val="20"/>
          <w:szCs w:val="20"/>
          <w:color w:val="auto"/>
        </w:rPr>
      </w:pPr>
    </w:p>
    <w:p>
      <w:pPr>
        <w:ind w:left="360" w:right="660"/>
        <w:spacing w:after="0" w:line="260" w:lineRule="auto"/>
        <w:rPr>
          <w:sz w:val="20"/>
          <w:szCs w:val="20"/>
          <w:color w:val="auto"/>
        </w:rPr>
      </w:pPr>
      <w:r>
        <w:rPr>
          <w:rFonts w:ascii="Arial" w:cs="Arial" w:eastAsia="Arial" w:hAnsi="Arial"/>
          <w:sz w:val="18"/>
          <w:szCs w:val="18"/>
          <w:b w:val="1"/>
          <w:bCs w:val="1"/>
          <w:color w:val="auto"/>
        </w:rPr>
        <w:t>Ratification of the Company’s independent registered public accounting firm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440"/>
        <w:spacing w:after="0"/>
        <w:rPr>
          <w:sz w:val="20"/>
          <w:szCs w:val="20"/>
          <w:color w:val="auto"/>
        </w:rPr>
      </w:pPr>
      <w:r>
        <w:rPr>
          <w:rFonts w:ascii="Arial" w:cs="Arial" w:eastAsia="Arial" w:hAnsi="Arial"/>
          <w:sz w:val="14"/>
          <w:szCs w:val="14"/>
          <w:b w:val="1"/>
          <w:bCs w:val="1"/>
          <w:color w:val="FFFFFF"/>
        </w:rPr>
        <w:t>Vote Required for Approval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-402590</wp:posOffset>
            </wp:positionH>
            <wp:positionV relativeFrom="paragraph">
              <wp:posOffset>-147320</wp:posOffset>
            </wp:positionV>
            <wp:extent cx="3429000" cy="22288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3429000" cy="222885"/>
                    </a:xfrm>
                    <a:prstGeom prst="rect">
                      <a:avLst/>
                    </a:prstGeom>
                    <a:noFill/>
                  </pic:spPr>
                </pic:pic>
              </a:graphicData>
            </a:graphic>
          </wp:anchor>
        </w:drawing>
      </w:r>
    </w:p>
    <w:p>
      <w:pPr>
        <w:spacing w:after="0" w:line="17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 plurality of the votes properly cast, subject to</w:t>
      </w:r>
    </w:p>
    <w:p>
      <w:pPr>
        <w:spacing w:after="0" w:line="23" w:lineRule="exact"/>
        <w:rPr>
          <w:sz w:val="20"/>
          <w:szCs w:val="20"/>
          <w:color w:val="auto"/>
        </w:rPr>
      </w:pPr>
    </w:p>
    <w:p>
      <w:pPr>
        <w:ind w:left="80"/>
        <w:spacing w:after="0"/>
        <w:rPr>
          <w:sz w:val="20"/>
          <w:szCs w:val="20"/>
          <w:color w:val="auto"/>
        </w:rPr>
      </w:pPr>
      <w:r>
        <w:rPr>
          <w:rFonts w:ascii="Arial" w:cs="Arial" w:eastAsia="Arial" w:hAnsi="Arial"/>
          <w:sz w:val="17"/>
          <w:szCs w:val="17"/>
          <w:color w:val="auto"/>
        </w:rPr>
        <w:t>the Company’s majority voting policy (described below).</w:t>
      </w:r>
    </w:p>
    <w:p>
      <w:pPr>
        <w:spacing w:after="0" w:line="236" w:lineRule="exact"/>
        <w:rPr>
          <w:sz w:val="20"/>
          <w:szCs w:val="20"/>
          <w:color w:val="auto"/>
        </w:rPr>
      </w:pPr>
    </w:p>
    <w:p>
      <w:pPr>
        <w:spacing w:after="0"/>
        <w:rPr>
          <w:sz w:val="20"/>
          <w:szCs w:val="20"/>
          <w:color w:val="auto"/>
        </w:rPr>
      </w:pPr>
      <w:r>
        <w:rPr>
          <w:rFonts w:ascii="Arial" w:cs="Arial" w:eastAsia="Arial" w:hAnsi="Arial"/>
          <w:sz w:val="16"/>
          <w:szCs w:val="16"/>
          <w:color w:val="auto"/>
        </w:rPr>
        <w:t>No vote is required for approval, as this is an advisory vote.</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No vote is required for approval, as this is an advisory vote.</w:t>
      </w:r>
    </w:p>
    <w:p>
      <w:pPr>
        <w:spacing w:after="0" w:line="200" w:lineRule="exact"/>
        <w:rPr>
          <w:sz w:val="20"/>
          <w:szCs w:val="20"/>
          <w:color w:val="auto"/>
        </w:rPr>
      </w:pPr>
    </w:p>
    <w:p>
      <w:pPr>
        <w:spacing w:after="0" w:line="278" w:lineRule="exact"/>
        <w:rPr>
          <w:sz w:val="20"/>
          <w:szCs w:val="20"/>
          <w:color w:val="auto"/>
        </w:rPr>
      </w:pPr>
    </w:p>
    <w:p>
      <w:pPr>
        <w:ind w:left="800"/>
        <w:spacing w:after="0"/>
        <w:rPr>
          <w:sz w:val="20"/>
          <w:szCs w:val="20"/>
          <w:color w:val="auto"/>
        </w:rPr>
      </w:pPr>
      <w:r>
        <w:rPr>
          <w:rFonts w:ascii="Arial" w:cs="Arial" w:eastAsia="Arial" w:hAnsi="Arial"/>
          <w:sz w:val="18"/>
          <w:szCs w:val="18"/>
          <w:color w:val="auto"/>
        </w:rPr>
        <w:t>A majority of the votes properly cast.</w:t>
      </w:r>
    </w:p>
    <w:p>
      <w:pPr>
        <w:spacing w:after="0" w:line="455" w:lineRule="exact"/>
        <w:rPr>
          <w:sz w:val="20"/>
          <w:szCs w:val="20"/>
          <w:color w:val="auto"/>
        </w:rPr>
      </w:pPr>
    </w:p>
    <w:p>
      <w:pPr>
        <w:sectPr>
          <w:pgSz w:w="11900" w:h="16838" w:orient="portrait"/>
          <w:cols w:equalWidth="0" w:num="2">
            <w:col w:w="5660" w:space="720"/>
            <w:col w:w="4740"/>
          </w:cols>
          <w:pgMar w:left="320" w:top="459" w:right="459" w:bottom="1440" w:gutter="0" w:footer="0" w:header="0"/>
          <w:type w:val="continuous"/>
        </w:sectPr>
      </w:pPr>
    </w:p>
    <w:p>
      <w:pPr>
        <w:spacing w:after="0" w:line="66" w:lineRule="exact"/>
        <w:rPr>
          <w:sz w:val="20"/>
          <w:szCs w:val="20"/>
          <w:color w:val="auto"/>
        </w:rPr>
      </w:pPr>
    </w:p>
    <w:p>
      <w:pPr>
        <w:jc w:val="both"/>
        <w:ind w:left="120" w:right="120" w:firstLine="440"/>
        <w:spacing w:after="0" w:line="263" w:lineRule="auto"/>
        <w:rPr>
          <w:sz w:val="20"/>
          <w:szCs w:val="20"/>
          <w:color w:val="auto"/>
        </w:rPr>
      </w:pPr>
      <w:r>
        <w:rPr>
          <w:rFonts w:ascii="Arial" w:cs="Arial" w:eastAsia="Arial" w:hAnsi="Arial"/>
          <w:sz w:val="18"/>
          <w:szCs w:val="18"/>
          <w:color w:val="auto"/>
        </w:rPr>
        <w:t>Notwithstanding the voting requirements described above, our Board and its committees value the opinions of stockholders and will consider the results of these votes in making future decisions relating to director elections, executive compensation arrangements, frequency of future “say on pay” votes and retention of our independent auditor.</w:t>
      </w:r>
    </w:p>
    <w:p>
      <w:pPr>
        <w:spacing w:after="0" w:line="184"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particular, our Board has adopted a majority voting policy. If a director nominee does not receive votes affirmatively cast “FOR” his or her election in excess of 50% of the number of votes properly cast with respect to that nominee’s election, then that director will contingently tender his or her resignation, which the Board may, in its sole discretion, elect to accept.</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459" w:right="459" w:bottom="1440" w:gutter="0" w:footer="0" w:header="0"/>
          <w:type w:val="continuous"/>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are abstentions and broker non-votes counted?</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Abstentions (that is, Shares present at the meeting in person or by proxy that are voted “ABSTAIN”) and broker non-votes (explained below) are counted for the purpose of establishing the presence of a quorum, but are not counted as votes cast “FOR” or “AGAINST.”</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is the difference between a stockholder of record and a beneficial owner of Shares held in street name?</w:t>
      </w:r>
    </w:p>
    <w:p>
      <w:pPr>
        <w:spacing w:after="0" w:line="121"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i w:val="1"/>
          <w:iCs w:val="1"/>
          <w:color w:val="auto"/>
        </w:rPr>
        <w:t xml:space="preserve">Stockholder of Record. </w:t>
      </w:r>
      <w:r>
        <w:rPr>
          <w:rFonts w:ascii="Arial" w:cs="Arial" w:eastAsia="Arial" w:hAnsi="Arial"/>
          <w:sz w:val="18"/>
          <w:szCs w:val="18"/>
          <w:color w:val="auto"/>
        </w:rPr>
        <w:t>If your Shares are registered directly in your name with our transfer agent, Computershare, then you are a “</w:t>
      </w:r>
      <w:r>
        <w:rPr>
          <w:rFonts w:ascii="Arial" w:cs="Arial" w:eastAsia="Arial" w:hAnsi="Arial"/>
          <w:sz w:val="18"/>
          <w:szCs w:val="18"/>
          <w:b w:val="1"/>
          <w:bCs w:val="1"/>
          <w:i w:val="1"/>
          <w:iCs w:val="1"/>
          <w:color w:val="auto"/>
        </w:rPr>
        <w:t>stockholder of</w:t>
      </w:r>
      <w:r>
        <w:rPr>
          <w:rFonts w:ascii="Arial" w:cs="Arial" w:eastAsia="Arial" w:hAnsi="Arial"/>
          <w:sz w:val="18"/>
          <w:szCs w:val="18"/>
          <w:i w:val="1"/>
          <w:iCs w:val="1"/>
          <w:color w:val="auto"/>
        </w:rPr>
        <w:t xml:space="preserve"> </w:t>
      </w:r>
      <w:r>
        <w:rPr>
          <w:rFonts w:ascii="Arial" w:cs="Arial" w:eastAsia="Arial" w:hAnsi="Arial"/>
          <w:sz w:val="18"/>
          <w:szCs w:val="18"/>
          <w:b w:val="1"/>
          <w:bCs w:val="1"/>
          <w:i w:val="1"/>
          <w:iCs w:val="1"/>
          <w:color w:val="auto"/>
        </w:rPr>
        <w:t>record</w:t>
      </w:r>
      <w:r>
        <w:rPr>
          <w:rFonts w:ascii="Arial" w:cs="Arial" w:eastAsia="Arial" w:hAnsi="Arial"/>
          <w:sz w:val="18"/>
          <w:szCs w:val="18"/>
          <w:color w:val="auto"/>
        </w:rPr>
        <w:t>.”</w:t>
      </w:r>
    </w:p>
    <w:p>
      <w:pPr>
        <w:spacing w:after="0" w:line="170" w:lineRule="exact"/>
        <w:rPr>
          <w:sz w:val="20"/>
          <w:szCs w:val="20"/>
          <w:color w:val="auto"/>
        </w:rPr>
      </w:pPr>
    </w:p>
    <w:p>
      <w:pPr>
        <w:jc w:val="both"/>
        <w:ind w:left="120" w:right="200" w:firstLine="440"/>
        <w:spacing w:after="0" w:line="259" w:lineRule="auto"/>
        <w:rPr>
          <w:sz w:val="20"/>
          <w:szCs w:val="20"/>
          <w:color w:val="auto"/>
        </w:rPr>
      </w:pPr>
      <w:r>
        <w:rPr>
          <w:rFonts w:ascii="Arial" w:cs="Arial" w:eastAsia="Arial" w:hAnsi="Arial"/>
          <w:sz w:val="18"/>
          <w:szCs w:val="18"/>
          <w:i w:val="1"/>
          <w:iCs w:val="1"/>
          <w:color w:val="auto"/>
        </w:rPr>
        <w:t xml:space="preserve">Beneficial Owner of Shares Held in Street Name. </w:t>
      </w:r>
      <w:r>
        <w:rPr>
          <w:rFonts w:ascii="Arial" w:cs="Arial" w:eastAsia="Arial" w:hAnsi="Arial"/>
          <w:sz w:val="18"/>
          <w:szCs w:val="18"/>
          <w:color w:val="auto"/>
        </w:rPr>
        <w:t>If your Shares are held in an account at a brokerage firm, bank, broker-dealer or other similar</w:t>
      </w:r>
      <w:r>
        <w:rPr>
          <w:rFonts w:ascii="Arial" w:cs="Arial" w:eastAsia="Arial" w:hAnsi="Arial"/>
          <w:sz w:val="18"/>
          <w:szCs w:val="18"/>
          <w:i w:val="1"/>
          <w:iCs w:val="1"/>
          <w:color w:val="auto"/>
        </w:rPr>
        <w:t xml:space="preserve"> </w:t>
      </w:r>
      <w:r>
        <w:rPr>
          <w:rFonts w:ascii="Arial" w:cs="Arial" w:eastAsia="Arial" w:hAnsi="Arial"/>
          <w:sz w:val="18"/>
          <w:szCs w:val="18"/>
          <w:color w:val="auto"/>
        </w:rPr>
        <w:t>organization, then you are a “</w:t>
      </w:r>
      <w:r>
        <w:rPr>
          <w:rFonts w:ascii="Arial" w:cs="Arial" w:eastAsia="Arial" w:hAnsi="Arial"/>
          <w:sz w:val="18"/>
          <w:szCs w:val="18"/>
          <w:b w:val="1"/>
          <w:bCs w:val="1"/>
          <w:i w:val="1"/>
          <w:iCs w:val="1"/>
          <w:color w:val="auto"/>
        </w:rPr>
        <w:t>beneficial owner of Shares</w:t>
      </w:r>
      <w:r>
        <w:rPr>
          <w:rFonts w:ascii="Arial" w:cs="Arial" w:eastAsia="Arial" w:hAnsi="Arial"/>
          <w:sz w:val="18"/>
          <w:szCs w:val="18"/>
          <w:color w:val="auto"/>
        </w:rPr>
        <w:t>” held in “street name.” In that case, the organization holding your account is considered the stockholder of record. As a beneficial owner, you have the right to direct the organization holding your account on how to vote the Shares you hold in your account.</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stockholders of record vote?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There are four ways for stockholders of record to vote:</w:t>
      </w:r>
    </w:p>
    <w:p>
      <w:pPr>
        <w:spacing w:after="0" w:line="131" w:lineRule="exact"/>
        <w:rPr>
          <w:sz w:val="20"/>
          <w:szCs w:val="20"/>
          <w:color w:val="auto"/>
        </w:rPr>
      </w:pPr>
    </w:p>
    <w:p>
      <w:pPr>
        <w:ind w:left="1080" w:right="220" w:hanging="424"/>
        <w:spacing w:after="0" w:line="263"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By Internet. </w:t>
      </w:r>
      <w:r>
        <w:rPr>
          <w:rFonts w:ascii="Arial" w:cs="Arial" w:eastAsia="Arial" w:hAnsi="Arial"/>
          <w:sz w:val="18"/>
          <w:szCs w:val="18"/>
          <w:color w:val="auto"/>
        </w:rPr>
        <w:t>You may vote by Internet until 5:00 p.m. (Eastern Time) on April 22, 2020, which is the day before the Annual Meeting, by</w:t>
      </w:r>
      <w:r>
        <w:rPr>
          <w:rFonts w:ascii="Arial" w:cs="Arial" w:eastAsia="Arial" w:hAnsi="Arial"/>
          <w:sz w:val="18"/>
          <w:szCs w:val="18"/>
          <w:i w:val="1"/>
          <w:iCs w:val="1"/>
          <w:color w:val="auto"/>
        </w:rPr>
        <w:t xml:space="preserve"> </w:t>
      </w:r>
      <w:r>
        <w:rPr>
          <w:rFonts w:ascii="Arial" w:cs="Arial" w:eastAsia="Arial" w:hAnsi="Arial"/>
          <w:sz w:val="18"/>
          <w:szCs w:val="18"/>
          <w:color w:val="auto"/>
        </w:rPr>
        <w:t>visiting www.proxydocs.com/lnth and entering the unique control number for your Shares located on the proxy card/voting instruction form.</w:t>
      </w:r>
    </w:p>
    <w:p>
      <w:pPr>
        <w:spacing w:after="0" w:line="89" w:lineRule="exact"/>
        <w:rPr>
          <w:rFonts w:ascii="Arial" w:cs="Arial" w:eastAsia="Arial" w:hAnsi="Arial"/>
          <w:sz w:val="18"/>
          <w:szCs w:val="18"/>
          <w:color w:val="auto"/>
        </w:rPr>
      </w:pPr>
    </w:p>
    <w:p>
      <w:pPr>
        <w:ind w:left="1080" w:right="200" w:hanging="424"/>
        <w:spacing w:after="0" w:line="34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i w:val="1"/>
          <w:iCs w:val="1"/>
          <w:color w:val="auto"/>
        </w:rPr>
        <w:t xml:space="preserve">By telephone. </w:t>
      </w:r>
      <w:r>
        <w:rPr>
          <w:rFonts w:ascii="Arial" w:cs="Arial" w:eastAsia="Arial" w:hAnsi="Arial"/>
          <w:sz w:val="16"/>
          <w:szCs w:val="16"/>
          <w:color w:val="auto"/>
        </w:rPr>
        <w:t>You may vote by phone until 5:00 p.m. (Eastern Time) on April 22, 2020, which is the day before the Annual Meeting, by</w:t>
      </w:r>
      <w:r>
        <w:rPr>
          <w:rFonts w:ascii="Arial" w:cs="Arial" w:eastAsia="Arial" w:hAnsi="Arial"/>
          <w:sz w:val="16"/>
          <w:szCs w:val="16"/>
          <w:i w:val="1"/>
          <w:iCs w:val="1"/>
          <w:color w:val="auto"/>
        </w:rPr>
        <w:t xml:space="preserve"> </w:t>
      </w:r>
      <w:r>
        <w:rPr>
          <w:rFonts w:ascii="Arial" w:cs="Arial" w:eastAsia="Arial" w:hAnsi="Arial"/>
          <w:sz w:val="16"/>
          <w:szCs w:val="16"/>
          <w:color w:val="auto"/>
        </w:rPr>
        <w:t>calling 866-240-5317. You will need the unique control number for your Shares located on the proxy card/voting instruction form.</w:t>
      </w:r>
    </w:p>
    <w:p>
      <w:pPr>
        <w:spacing w:after="0" w:line="29" w:lineRule="exact"/>
        <w:rPr>
          <w:rFonts w:ascii="Arial" w:cs="Arial" w:eastAsia="Arial" w:hAnsi="Arial"/>
          <w:sz w:val="16"/>
          <w:szCs w:val="16"/>
          <w:color w:val="auto"/>
        </w:rPr>
      </w:pPr>
    </w:p>
    <w:p>
      <w:pPr>
        <w:ind w:left="1080" w:right="60" w:hanging="424"/>
        <w:spacing w:after="0" w:line="308" w:lineRule="auto"/>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i w:val="1"/>
          <w:iCs w:val="1"/>
          <w:color w:val="auto"/>
        </w:rPr>
        <w:t xml:space="preserve">By mail. </w:t>
      </w:r>
      <w:r>
        <w:rPr>
          <w:rFonts w:ascii="Arial" w:cs="Arial" w:eastAsia="Arial" w:hAnsi="Arial"/>
          <w:sz w:val="17"/>
          <w:szCs w:val="17"/>
          <w:color w:val="auto"/>
        </w:rPr>
        <w:t>You may vote by filling out, signing and dating the enclosed proxy card and returning it in the envelope provided. The completed</w:t>
      </w:r>
      <w:r>
        <w:rPr>
          <w:rFonts w:ascii="Arial" w:cs="Arial" w:eastAsia="Arial" w:hAnsi="Arial"/>
          <w:sz w:val="17"/>
          <w:szCs w:val="17"/>
          <w:i w:val="1"/>
          <w:iCs w:val="1"/>
          <w:color w:val="auto"/>
        </w:rPr>
        <w:t xml:space="preserve"> </w:t>
      </w:r>
      <w:r>
        <w:rPr>
          <w:rFonts w:ascii="Arial" w:cs="Arial" w:eastAsia="Arial" w:hAnsi="Arial"/>
          <w:sz w:val="17"/>
          <w:szCs w:val="17"/>
          <w:color w:val="auto"/>
        </w:rPr>
        <w:t>proxy card must be received by the close of business on April 22, 2020, which is the day before the Annual Meeting.</w:t>
      </w:r>
    </w:p>
    <w:p>
      <w:pPr>
        <w:spacing w:after="0" w:line="51" w:lineRule="exact"/>
        <w:rPr>
          <w:rFonts w:ascii="Arial" w:cs="Arial" w:eastAsia="Arial" w:hAnsi="Arial"/>
          <w:sz w:val="17"/>
          <w:szCs w:val="17"/>
          <w:color w:val="auto"/>
        </w:rPr>
      </w:pPr>
    </w:p>
    <w:p>
      <w:pPr>
        <w:ind w:left="1080" w:hanging="424"/>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i w:val="1"/>
          <w:iCs w:val="1"/>
          <w:color w:val="auto"/>
        </w:rPr>
        <w:t xml:space="preserve">In person. </w:t>
      </w:r>
      <w:r>
        <w:rPr>
          <w:rFonts w:ascii="Arial" w:cs="Arial" w:eastAsia="Arial" w:hAnsi="Arial"/>
          <w:sz w:val="18"/>
          <w:szCs w:val="18"/>
          <w:color w:val="auto"/>
        </w:rPr>
        <w:t>You may also vote your Shares in person by completing a ballot at the Annual Meeting.</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How do beneficial owners of Shares held in street name vote?</w:t>
      </w:r>
    </w:p>
    <w:p>
      <w:pPr>
        <w:spacing w:after="0" w:line="121" w:lineRule="exact"/>
        <w:rPr>
          <w:sz w:val="20"/>
          <w:szCs w:val="20"/>
          <w:color w:val="auto"/>
        </w:rPr>
      </w:pPr>
    </w:p>
    <w:p>
      <w:pPr>
        <w:ind w:left="120" w:right="740" w:firstLine="440"/>
        <w:spacing w:after="0" w:line="277" w:lineRule="auto"/>
        <w:rPr>
          <w:sz w:val="20"/>
          <w:szCs w:val="20"/>
          <w:color w:val="auto"/>
        </w:rPr>
      </w:pPr>
      <w:r>
        <w:rPr>
          <w:rFonts w:ascii="Arial" w:cs="Arial" w:eastAsia="Arial" w:hAnsi="Arial"/>
          <w:sz w:val="18"/>
          <w:szCs w:val="18"/>
          <w:color w:val="auto"/>
        </w:rPr>
        <w:t>If you hold your Shares through a brokerage firm, bank, broker-dealer or other similar organization, please follow the instructions of the organization that holds your Shares.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Can I change my vote after submitting a proxy?</w:t>
      </w:r>
    </w:p>
    <w:p>
      <w:pPr>
        <w:spacing w:after="0" w:line="121"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Stockholders of record may revoke their proxy before the Annual Meeting by delivering to Lantheus Holdings, Inc., 331 Treble Cove Road, North Billerica, MA 01862, Attention: Corporate Secretary, a written notice stating that a proxy is revoked, by signing and delivering a proxy bearing a later date, by voting again by Internet or by telephone, or by attending and voting in person at the Annual Meeting.</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Street name stockholders who wish to change their votes should contact the organization that holds their Shares.</w:t>
      </w:r>
    </w:p>
    <w:p>
      <w:pPr>
        <w:spacing w:after="0" w:line="158"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100"/>
          </w:cols>
          <w:pgMar w:left="320" w:top="459" w:right="4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If I hold Shares in street name through a broker, can the broker vote my shares for me?</w:t>
      </w:r>
    </w:p>
    <w:p>
      <w:pPr>
        <w:spacing w:after="0" w:line="121" w:lineRule="exact"/>
        <w:rPr>
          <w:sz w:val="20"/>
          <w:szCs w:val="20"/>
          <w:color w:val="auto"/>
        </w:rPr>
      </w:pPr>
    </w:p>
    <w:p>
      <w:pPr>
        <w:ind w:left="120" w:right="360" w:firstLine="440"/>
        <w:spacing w:after="0" w:line="277" w:lineRule="auto"/>
        <w:rPr>
          <w:sz w:val="20"/>
          <w:szCs w:val="20"/>
          <w:color w:val="auto"/>
        </w:rPr>
      </w:pPr>
      <w:r>
        <w:rPr>
          <w:rFonts w:ascii="Arial" w:cs="Arial" w:eastAsia="Arial" w:hAnsi="Arial"/>
          <w:sz w:val="18"/>
          <w:szCs w:val="18"/>
          <w:color w:val="auto"/>
        </w:rPr>
        <w:t>If you hold your Shares in street name and you do not vote, the broker or other organization holding your Shares can vote on certain “routine” proposals but cannot vote on other proposals, as follows:</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20"/>
        </w:trPr>
        <w:tc>
          <w:tcPr>
            <w:tcW w:w="240" w:type="dxa"/>
            <w:vAlign w:val="bottom"/>
            <w:tcBorders>
              <w:left w:val="single" w:sz="8" w:color="3A70FF"/>
            </w:tcBorders>
            <w:shd w:val="clear" w:color="auto" w:fill="5EB5FC"/>
          </w:tcPr>
          <w:p>
            <w:pPr>
              <w:spacing w:after="0"/>
              <w:rPr>
                <w:sz w:val="19"/>
                <w:szCs w:val="19"/>
                <w:color w:val="auto"/>
              </w:rPr>
            </w:pPr>
          </w:p>
        </w:tc>
        <w:tc>
          <w:tcPr>
            <w:tcW w:w="820" w:type="dxa"/>
            <w:vAlign w:val="bottom"/>
            <w:shd w:val="clear" w:color="auto" w:fill="5EB5FC"/>
          </w:tcPr>
          <w:p>
            <w:pPr>
              <w:spacing w:after="0"/>
              <w:rPr>
                <w:sz w:val="19"/>
                <w:szCs w:val="19"/>
                <w:color w:val="auto"/>
              </w:rPr>
            </w:pPr>
          </w:p>
        </w:tc>
        <w:tc>
          <w:tcPr>
            <w:tcW w:w="3560" w:type="dxa"/>
            <w:vAlign w:val="bottom"/>
            <w:tcBorders>
              <w:left w:val="single" w:sz="8" w:color="5EB5FC"/>
            </w:tcBorders>
            <w:vMerge w:val="restart"/>
            <w:shd w:val="clear" w:color="auto" w:fill="5EB5FC"/>
          </w:tcPr>
          <w:p>
            <w:pPr>
              <w:ind w:left="1060"/>
              <w:spacing w:after="0"/>
              <w:rPr>
                <w:sz w:val="20"/>
                <w:szCs w:val="20"/>
                <w:color w:val="auto"/>
              </w:rPr>
            </w:pPr>
            <w:r>
              <w:rPr>
                <w:rFonts w:ascii="Arial" w:cs="Arial" w:eastAsia="Arial" w:hAnsi="Arial"/>
                <w:sz w:val="14"/>
                <w:szCs w:val="14"/>
                <w:b w:val="1"/>
                <w:bCs w:val="1"/>
                <w:color w:val="FFFFFF"/>
              </w:rPr>
              <w:t>Proposal</w:t>
            </w:r>
          </w:p>
        </w:tc>
        <w:tc>
          <w:tcPr>
            <w:tcW w:w="2020" w:type="dxa"/>
            <w:vAlign w:val="bottom"/>
            <w:shd w:val="clear" w:color="auto" w:fill="5EB5FC"/>
          </w:tcPr>
          <w:p>
            <w:pPr>
              <w:jc w:val="center"/>
              <w:ind w:left="76"/>
              <w:spacing w:after="0"/>
              <w:rPr>
                <w:sz w:val="20"/>
                <w:szCs w:val="20"/>
                <w:color w:val="auto"/>
              </w:rPr>
            </w:pPr>
            <w:r>
              <w:rPr>
                <w:rFonts w:ascii="Arial" w:cs="Arial" w:eastAsia="Arial" w:hAnsi="Arial"/>
                <w:sz w:val="14"/>
                <w:szCs w:val="14"/>
                <w:b w:val="1"/>
                <w:bCs w:val="1"/>
                <w:color w:val="FFFFFF"/>
                <w:w w:val="92"/>
              </w:rPr>
              <w:t>Considered a</w:t>
            </w:r>
          </w:p>
        </w:tc>
        <w:tc>
          <w:tcPr>
            <w:tcW w:w="4400" w:type="dxa"/>
            <w:vAlign w:val="bottom"/>
            <w:tcBorders>
              <w:right w:val="single" w:sz="8" w:color="3A70FF"/>
            </w:tcBorders>
            <w:shd w:val="clear" w:color="auto" w:fill="5EB5FC"/>
          </w:tcPr>
          <w:p>
            <w:pPr>
              <w:jc w:val="center"/>
              <w:ind w:left="35"/>
              <w:spacing w:after="0"/>
              <w:rPr>
                <w:sz w:val="20"/>
                <w:szCs w:val="20"/>
                <w:color w:val="auto"/>
              </w:rPr>
            </w:pPr>
            <w:r>
              <w:rPr>
                <w:rFonts w:ascii="Arial" w:cs="Arial" w:eastAsia="Arial" w:hAnsi="Arial"/>
                <w:sz w:val="14"/>
                <w:szCs w:val="14"/>
                <w:b w:val="1"/>
                <w:bCs w:val="1"/>
                <w:color w:val="FFFFFF"/>
                <w:w w:val="91"/>
              </w:rPr>
              <w:t>If you hold Shares in street name and do not vote on a Proposal,</w:t>
            </w:r>
          </w:p>
        </w:tc>
        <w:tc>
          <w:tcPr>
            <w:tcW w:w="0" w:type="dxa"/>
            <w:vAlign w:val="bottom"/>
          </w:tcPr>
          <w:p>
            <w:pPr>
              <w:spacing w:after="0"/>
              <w:rPr>
                <w:sz w:val="1"/>
                <w:szCs w:val="1"/>
                <w:color w:val="auto"/>
              </w:rPr>
            </w:pPr>
          </w:p>
        </w:tc>
      </w:tr>
      <w:tr>
        <w:trPr>
          <w:trHeight w:val="219"/>
        </w:trPr>
        <w:tc>
          <w:tcPr>
            <w:tcW w:w="240" w:type="dxa"/>
            <w:vAlign w:val="bottom"/>
            <w:tcBorders>
              <w:left w:val="single" w:sz="8" w:color="3A70FF"/>
              <w:bottom w:val="single" w:sz="8" w:color="5EB5FC"/>
            </w:tcBorders>
            <w:shd w:val="clear" w:color="auto" w:fill="5EB5FC"/>
          </w:tcPr>
          <w:p>
            <w:pPr>
              <w:spacing w:after="0"/>
              <w:rPr>
                <w:sz w:val="19"/>
                <w:szCs w:val="19"/>
                <w:color w:val="auto"/>
              </w:rPr>
            </w:pPr>
          </w:p>
        </w:tc>
        <w:tc>
          <w:tcPr>
            <w:tcW w:w="820" w:type="dxa"/>
            <w:vAlign w:val="bottom"/>
            <w:tcBorders>
              <w:bottom w:val="single" w:sz="8" w:color="5EB5FC"/>
            </w:tcBorders>
            <w:shd w:val="clear" w:color="auto" w:fill="5EB5FC"/>
          </w:tcPr>
          <w:p>
            <w:pPr>
              <w:spacing w:after="0"/>
              <w:rPr>
                <w:sz w:val="19"/>
                <w:szCs w:val="19"/>
                <w:color w:val="auto"/>
              </w:rPr>
            </w:pPr>
          </w:p>
        </w:tc>
        <w:tc>
          <w:tcPr>
            <w:tcW w:w="3560" w:type="dxa"/>
            <w:vAlign w:val="bottom"/>
            <w:tcBorders>
              <w:left w:val="single" w:sz="8" w:color="5EB5FC"/>
              <w:bottom w:val="single" w:sz="8" w:color="5EB5FC"/>
            </w:tcBorders>
            <w:vMerge w:val="continue"/>
            <w:shd w:val="clear" w:color="auto" w:fill="5EB5FC"/>
          </w:tcPr>
          <w:p>
            <w:pPr>
              <w:spacing w:after="0"/>
              <w:rPr>
                <w:sz w:val="19"/>
                <w:szCs w:val="19"/>
                <w:color w:val="auto"/>
              </w:rPr>
            </w:pPr>
          </w:p>
        </w:tc>
        <w:tc>
          <w:tcPr>
            <w:tcW w:w="2020" w:type="dxa"/>
            <w:vAlign w:val="bottom"/>
            <w:tcBorders>
              <w:bottom w:val="single" w:sz="8" w:color="5EB5FC"/>
            </w:tcBorders>
            <w:shd w:val="clear" w:color="auto" w:fill="5EB5FC"/>
          </w:tcPr>
          <w:p>
            <w:pPr>
              <w:jc w:val="center"/>
              <w:ind w:left="56"/>
              <w:spacing w:after="0"/>
              <w:rPr>
                <w:sz w:val="20"/>
                <w:szCs w:val="20"/>
                <w:color w:val="auto"/>
              </w:rPr>
            </w:pPr>
            <w:r>
              <w:rPr>
                <w:rFonts w:ascii="Arial" w:cs="Arial" w:eastAsia="Arial" w:hAnsi="Arial"/>
                <w:sz w:val="14"/>
                <w:szCs w:val="14"/>
                <w:b w:val="1"/>
                <w:bCs w:val="1"/>
                <w:color w:val="FFFFFF"/>
                <w:w w:val="92"/>
              </w:rPr>
              <w:t>“Routine” Proposal?</w:t>
            </w:r>
          </w:p>
        </w:tc>
        <w:tc>
          <w:tcPr>
            <w:tcW w:w="4400" w:type="dxa"/>
            <w:vAlign w:val="bottom"/>
            <w:tcBorders>
              <w:bottom w:val="single" w:sz="8" w:color="5EB5FC"/>
              <w:right w:val="single" w:sz="8" w:color="3A70FF"/>
            </w:tcBorders>
            <w:shd w:val="clear" w:color="auto" w:fill="5EB5FC"/>
          </w:tcPr>
          <w:p>
            <w:pPr>
              <w:jc w:val="center"/>
              <w:ind w:left="35"/>
              <w:spacing w:after="0"/>
              <w:rPr>
                <w:sz w:val="20"/>
                <w:szCs w:val="20"/>
                <w:color w:val="auto"/>
              </w:rPr>
            </w:pPr>
            <w:r>
              <w:rPr>
                <w:rFonts w:ascii="Arial" w:cs="Arial" w:eastAsia="Arial" w:hAnsi="Arial"/>
                <w:sz w:val="14"/>
                <w:szCs w:val="14"/>
                <w:b w:val="1"/>
                <w:bCs w:val="1"/>
                <w:color w:val="FFFFFF"/>
                <w:w w:val="91"/>
              </w:rPr>
              <w:t>then your Shares...</w:t>
            </w:r>
          </w:p>
        </w:tc>
        <w:tc>
          <w:tcPr>
            <w:tcW w:w="0" w:type="dxa"/>
            <w:vAlign w:val="bottom"/>
          </w:tcPr>
          <w:p>
            <w:pPr>
              <w:spacing w:after="0"/>
              <w:rPr>
                <w:sz w:val="1"/>
                <w:szCs w:val="1"/>
                <w:color w:val="auto"/>
              </w:rPr>
            </w:pPr>
          </w:p>
        </w:tc>
      </w:tr>
      <w:tr>
        <w:trPr>
          <w:trHeight w:val="229"/>
        </w:trPr>
        <w:tc>
          <w:tcPr>
            <w:tcW w:w="240" w:type="dxa"/>
            <w:vAlign w:val="bottom"/>
            <w:tcBorders>
              <w:left w:val="single" w:sz="8" w:color="91BCFC"/>
            </w:tcBorders>
            <w:shd w:val="clear" w:color="auto" w:fill="DDEDFC"/>
          </w:tcPr>
          <w:p>
            <w:pPr>
              <w:spacing w:after="0"/>
              <w:rPr>
                <w:sz w:val="19"/>
                <w:szCs w:val="19"/>
                <w:color w:val="auto"/>
              </w:rPr>
            </w:pPr>
          </w:p>
        </w:tc>
        <w:tc>
          <w:tcPr>
            <w:tcW w:w="4380" w:type="dxa"/>
            <w:vAlign w:val="bottom"/>
            <w:gridSpan w:val="2"/>
            <w:shd w:val="clear" w:color="auto" w:fill="DDEDFC"/>
          </w:tcPr>
          <w:p>
            <w:pPr>
              <w:spacing w:after="0"/>
              <w:rPr>
                <w:sz w:val="20"/>
                <w:szCs w:val="20"/>
                <w:color w:val="auto"/>
              </w:rPr>
            </w:pPr>
            <w:r>
              <w:rPr>
                <w:rFonts w:ascii="Arial" w:cs="Arial" w:eastAsia="Arial" w:hAnsi="Arial"/>
                <w:sz w:val="18"/>
                <w:szCs w:val="18"/>
                <w:b w:val="1"/>
                <w:bCs w:val="1"/>
                <w:color w:val="auto"/>
              </w:rPr>
              <w:t>Proposal 1</w:t>
            </w:r>
            <w:r>
              <w:rPr>
                <w:rFonts w:ascii="Arial" w:cs="Arial" w:eastAsia="Arial" w:hAnsi="Arial"/>
                <w:sz w:val="18"/>
                <w:szCs w:val="18"/>
                <w:color w:val="auto"/>
              </w:rPr>
              <w:t>:</w:t>
            </w:r>
          </w:p>
        </w:tc>
        <w:tc>
          <w:tcPr>
            <w:tcW w:w="2020" w:type="dxa"/>
            <w:vAlign w:val="bottom"/>
            <w:vMerge w:val="restart"/>
            <w:shd w:val="clear" w:color="auto" w:fill="DDEDFC"/>
          </w:tcPr>
          <w:p>
            <w:pPr>
              <w:jc w:val="center"/>
              <w:ind w:left="76"/>
              <w:spacing w:after="0"/>
              <w:rPr>
                <w:sz w:val="20"/>
                <w:szCs w:val="20"/>
                <w:color w:val="auto"/>
              </w:rPr>
            </w:pPr>
            <w:r>
              <w:rPr>
                <w:rFonts w:ascii="Arial" w:cs="Arial" w:eastAsia="Arial" w:hAnsi="Arial"/>
                <w:sz w:val="18"/>
                <w:szCs w:val="18"/>
                <w:color w:val="auto"/>
                <w:w w:val="95"/>
              </w:rPr>
              <w:t>No</w:t>
            </w:r>
          </w:p>
        </w:tc>
        <w:tc>
          <w:tcPr>
            <w:tcW w:w="4400" w:type="dxa"/>
            <w:vAlign w:val="bottom"/>
            <w:tcBorders>
              <w:right w:val="single" w:sz="8" w:color="91BCFC"/>
            </w:tcBorders>
            <w:vMerge w:val="restart"/>
            <w:shd w:val="clear" w:color="auto" w:fill="DDEDFC"/>
          </w:tcPr>
          <w:p>
            <w:pPr>
              <w:jc w:val="center"/>
              <w:ind w:left="35"/>
              <w:spacing w:after="0"/>
              <w:rPr>
                <w:sz w:val="20"/>
                <w:szCs w:val="20"/>
                <w:color w:val="auto"/>
              </w:rPr>
            </w:pPr>
            <w:r>
              <w:rPr>
                <w:rFonts w:ascii="Arial" w:cs="Arial" w:eastAsia="Arial" w:hAnsi="Arial"/>
                <w:sz w:val="18"/>
                <w:szCs w:val="18"/>
                <w:color w:val="auto"/>
                <w:w w:val="92"/>
              </w:rPr>
              <w:t>will be counted as “broker non-votes” for that proposal</w:t>
            </w:r>
          </w:p>
        </w:tc>
        <w:tc>
          <w:tcPr>
            <w:tcW w:w="0" w:type="dxa"/>
            <w:vAlign w:val="bottom"/>
          </w:tcPr>
          <w:p>
            <w:pPr>
              <w:spacing w:after="0"/>
              <w:rPr>
                <w:sz w:val="1"/>
                <w:szCs w:val="1"/>
                <w:color w:val="auto"/>
              </w:rPr>
            </w:pPr>
          </w:p>
        </w:tc>
      </w:tr>
      <w:tr>
        <w:trPr>
          <w:trHeight w:val="20"/>
        </w:trPr>
        <w:tc>
          <w:tcPr>
            <w:tcW w:w="240" w:type="dxa"/>
            <w:vAlign w:val="bottom"/>
            <w:tcBorders>
              <w:left w:val="single" w:sz="8" w:color="91BCFC"/>
            </w:tcBorders>
            <w:shd w:val="clear" w:color="auto" w:fill="DDED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tcBorders>
              <w:left w:val="single" w:sz="8" w:color="auto"/>
            </w:tcBorders>
            <w:shd w:val="clear" w:color="auto" w:fill="DDEDFC"/>
          </w:tcPr>
          <w:p>
            <w:pPr>
              <w:spacing w:after="0" w:line="20" w:lineRule="exact"/>
              <w:rPr>
                <w:sz w:val="1"/>
                <w:szCs w:val="1"/>
                <w:color w:val="auto"/>
              </w:rPr>
            </w:pPr>
          </w:p>
        </w:tc>
        <w:tc>
          <w:tcPr>
            <w:tcW w:w="2020" w:type="dxa"/>
            <w:vAlign w:val="bottom"/>
            <w:vMerge w:val="continue"/>
            <w:shd w:val="clear" w:color="auto" w:fill="DDEDFC"/>
          </w:tcPr>
          <w:p>
            <w:pPr>
              <w:spacing w:after="0" w:line="20" w:lineRule="exact"/>
              <w:rPr>
                <w:sz w:val="1"/>
                <w:szCs w:val="1"/>
                <w:color w:val="auto"/>
              </w:rPr>
            </w:pPr>
          </w:p>
        </w:tc>
        <w:tc>
          <w:tcPr>
            <w:tcW w:w="4400" w:type="dxa"/>
            <w:vAlign w:val="bottom"/>
            <w:tcBorders>
              <w:right w:val="single" w:sz="8" w:color="91BCFC"/>
            </w:tcBorders>
            <w:vMerge w:val="continue"/>
            <w:shd w:val="clear" w:color="auto" w:fill="DDE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0" w:type="dxa"/>
            <w:vAlign w:val="bottom"/>
            <w:tcBorders>
              <w:left w:val="single" w:sz="8" w:color="91BCFC"/>
            </w:tcBorders>
            <w:vMerge w:val="restart"/>
            <w:shd w:val="clear" w:color="auto" w:fill="DDEDFC"/>
          </w:tcPr>
          <w:p>
            <w:pPr>
              <w:spacing w:after="0"/>
              <w:rPr>
                <w:sz w:val="11"/>
                <w:szCs w:val="11"/>
                <w:color w:val="auto"/>
              </w:rPr>
            </w:pPr>
          </w:p>
        </w:tc>
        <w:tc>
          <w:tcPr>
            <w:tcW w:w="4380" w:type="dxa"/>
            <w:vAlign w:val="bottom"/>
            <w:gridSpan w:val="2"/>
            <w:vMerge w:val="restart"/>
            <w:shd w:val="clear" w:color="auto" w:fill="DDEDFC"/>
          </w:tcPr>
          <w:p>
            <w:pPr>
              <w:spacing w:after="0"/>
              <w:rPr>
                <w:sz w:val="20"/>
                <w:szCs w:val="20"/>
                <w:color w:val="auto"/>
              </w:rPr>
            </w:pPr>
            <w:r>
              <w:rPr>
                <w:rFonts w:ascii="Arial" w:cs="Arial" w:eastAsia="Arial" w:hAnsi="Arial"/>
                <w:sz w:val="18"/>
                <w:szCs w:val="18"/>
                <w:b w:val="1"/>
                <w:bCs w:val="1"/>
                <w:color w:val="auto"/>
              </w:rPr>
              <w:t>Election of Class II directors</w:t>
            </w:r>
          </w:p>
        </w:tc>
        <w:tc>
          <w:tcPr>
            <w:tcW w:w="2020" w:type="dxa"/>
            <w:vAlign w:val="bottom"/>
            <w:vMerge w:val="continue"/>
            <w:shd w:val="clear" w:color="auto" w:fill="DDEDFC"/>
          </w:tcPr>
          <w:p>
            <w:pPr>
              <w:spacing w:after="0"/>
              <w:rPr>
                <w:sz w:val="11"/>
                <w:szCs w:val="11"/>
                <w:color w:val="auto"/>
              </w:rPr>
            </w:pPr>
          </w:p>
        </w:tc>
        <w:tc>
          <w:tcPr>
            <w:tcW w:w="4400" w:type="dxa"/>
            <w:vAlign w:val="bottom"/>
            <w:tcBorders>
              <w:right w:val="single" w:sz="8" w:color="91BCFC"/>
            </w:tcBorders>
            <w:vMerge w:val="continue"/>
            <w:shd w:val="clear" w:color="auto" w:fill="DDEDFC"/>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91BCFC"/>
            </w:tcBorders>
            <w:vMerge w:val="continue"/>
            <w:shd w:val="clear" w:color="auto" w:fill="DDEDFC"/>
          </w:tcPr>
          <w:p>
            <w:pPr>
              <w:spacing w:after="0"/>
              <w:rPr>
                <w:sz w:val="9"/>
                <w:szCs w:val="9"/>
                <w:color w:val="auto"/>
              </w:rPr>
            </w:pPr>
          </w:p>
        </w:tc>
        <w:tc>
          <w:tcPr>
            <w:tcW w:w="4380" w:type="dxa"/>
            <w:vAlign w:val="bottom"/>
            <w:gridSpan w:val="2"/>
            <w:vMerge w:val="continue"/>
            <w:shd w:val="clear" w:color="auto" w:fill="DDEDFC"/>
          </w:tcPr>
          <w:p>
            <w:pPr>
              <w:spacing w:after="0"/>
              <w:rPr>
                <w:sz w:val="9"/>
                <w:szCs w:val="9"/>
                <w:color w:val="auto"/>
              </w:rPr>
            </w:pPr>
          </w:p>
        </w:tc>
        <w:tc>
          <w:tcPr>
            <w:tcW w:w="2020" w:type="dxa"/>
            <w:vAlign w:val="bottom"/>
            <w:shd w:val="clear" w:color="auto" w:fill="DDEDFC"/>
          </w:tcPr>
          <w:p>
            <w:pPr>
              <w:spacing w:after="0"/>
              <w:rPr>
                <w:sz w:val="9"/>
                <w:szCs w:val="9"/>
                <w:color w:val="auto"/>
              </w:rPr>
            </w:pPr>
          </w:p>
        </w:tc>
        <w:tc>
          <w:tcPr>
            <w:tcW w:w="4400" w:type="dxa"/>
            <w:vAlign w:val="bottom"/>
            <w:tcBorders>
              <w:right w:val="single" w:sz="8" w:color="91BCFC"/>
            </w:tcBorders>
            <w:shd w:val="clear" w:color="auto" w:fill="DDEDFC"/>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91BCFC"/>
            </w:tcBorders>
            <w:shd w:val="clear" w:color="auto" w:fill="DDEDFC"/>
          </w:tcPr>
          <w:p>
            <w:pPr>
              <w:spacing w:after="0"/>
              <w:rPr>
                <w:sz w:val="5"/>
                <w:szCs w:val="5"/>
                <w:color w:val="auto"/>
              </w:rPr>
            </w:pPr>
          </w:p>
        </w:tc>
        <w:tc>
          <w:tcPr>
            <w:tcW w:w="820" w:type="dxa"/>
            <w:vAlign w:val="bottom"/>
            <w:shd w:val="clear" w:color="auto" w:fill="DDEDFC"/>
          </w:tcPr>
          <w:p>
            <w:pPr>
              <w:spacing w:after="0"/>
              <w:rPr>
                <w:sz w:val="5"/>
                <w:szCs w:val="5"/>
                <w:color w:val="auto"/>
              </w:rPr>
            </w:pPr>
          </w:p>
        </w:tc>
        <w:tc>
          <w:tcPr>
            <w:tcW w:w="3560" w:type="dxa"/>
            <w:vAlign w:val="bottom"/>
            <w:tcBorders>
              <w:left w:val="single" w:sz="8" w:color="DDEDFC"/>
            </w:tcBorders>
            <w:shd w:val="clear" w:color="auto" w:fill="DDEDFC"/>
          </w:tcPr>
          <w:p>
            <w:pPr>
              <w:spacing w:after="0"/>
              <w:rPr>
                <w:sz w:val="5"/>
                <w:szCs w:val="5"/>
                <w:color w:val="auto"/>
              </w:rPr>
            </w:pPr>
          </w:p>
        </w:tc>
        <w:tc>
          <w:tcPr>
            <w:tcW w:w="2020" w:type="dxa"/>
            <w:vAlign w:val="bottom"/>
            <w:shd w:val="clear" w:color="auto" w:fill="DDEDFC"/>
          </w:tcPr>
          <w:p>
            <w:pPr>
              <w:spacing w:after="0"/>
              <w:rPr>
                <w:sz w:val="5"/>
                <w:szCs w:val="5"/>
                <w:color w:val="auto"/>
              </w:rPr>
            </w:pPr>
          </w:p>
        </w:tc>
        <w:tc>
          <w:tcPr>
            <w:tcW w:w="4400" w:type="dxa"/>
            <w:vAlign w:val="bottom"/>
            <w:tcBorders>
              <w:right w:val="single" w:sz="8" w:color="91BCFC"/>
            </w:tcBorders>
            <w:shd w:val="clear" w:color="auto" w:fill="DDEDFC"/>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0" w:type="dxa"/>
            <w:vAlign w:val="bottom"/>
            <w:tcBorders>
              <w:left w:val="single" w:sz="8" w:color="91BCFC"/>
            </w:tcBorders>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Proposal 2:</w:t>
            </w:r>
          </w:p>
        </w:tc>
        <w:tc>
          <w:tcPr>
            <w:tcW w:w="2020" w:type="dxa"/>
            <w:vAlign w:val="bottom"/>
            <w:vMerge w:val="restart"/>
          </w:tcPr>
          <w:p>
            <w:pPr>
              <w:jc w:val="center"/>
              <w:ind w:left="76"/>
              <w:spacing w:after="0"/>
              <w:rPr>
                <w:sz w:val="20"/>
                <w:szCs w:val="20"/>
                <w:color w:val="auto"/>
              </w:rPr>
            </w:pPr>
            <w:r>
              <w:rPr>
                <w:rFonts w:ascii="Arial" w:cs="Arial" w:eastAsia="Arial" w:hAnsi="Arial"/>
                <w:sz w:val="18"/>
                <w:szCs w:val="18"/>
                <w:color w:val="auto"/>
                <w:w w:val="95"/>
              </w:rPr>
              <w:t>No</w:t>
            </w:r>
          </w:p>
        </w:tc>
        <w:tc>
          <w:tcPr>
            <w:tcW w:w="4400" w:type="dxa"/>
            <w:vAlign w:val="bottom"/>
            <w:tcBorders>
              <w:right w:val="single" w:sz="8" w:color="91BCFC"/>
            </w:tcBorders>
            <w:vMerge w:val="restart"/>
          </w:tcPr>
          <w:p>
            <w:pPr>
              <w:jc w:val="center"/>
              <w:ind w:left="35"/>
              <w:spacing w:after="0"/>
              <w:rPr>
                <w:sz w:val="20"/>
                <w:szCs w:val="20"/>
                <w:color w:val="auto"/>
              </w:rPr>
            </w:pPr>
            <w:r>
              <w:rPr>
                <w:rFonts w:ascii="Arial" w:cs="Arial" w:eastAsia="Arial" w:hAnsi="Arial"/>
                <w:sz w:val="18"/>
                <w:szCs w:val="18"/>
                <w:color w:val="auto"/>
                <w:w w:val="92"/>
              </w:rPr>
              <w:t>will be counted as “broker non-votes” for that proposal</w:t>
            </w:r>
          </w:p>
        </w:tc>
        <w:tc>
          <w:tcPr>
            <w:tcW w:w="0" w:type="dxa"/>
            <w:vAlign w:val="bottom"/>
          </w:tcPr>
          <w:p>
            <w:pPr>
              <w:spacing w:after="0"/>
              <w:rPr>
                <w:sz w:val="1"/>
                <w:szCs w:val="1"/>
                <w:color w:val="auto"/>
              </w:rPr>
            </w:pPr>
          </w:p>
        </w:tc>
      </w:tr>
      <w:tr>
        <w:trPr>
          <w:trHeight w:val="20"/>
        </w:trPr>
        <w:tc>
          <w:tcPr>
            <w:tcW w:w="240" w:type="dxa"/>
            <w:vAlign w:val="bottom"/>
            <w:tcBorders>
              <w:left w:val="single" w:sz="8" w:color="91BCFC"/>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20" w:type="dxa"/>
            <w:vAlign w:val="bottom"/>
            <w:vMerge w:val="continue"/>
          </w:tcPr>
          <w:p>
            <w:pPr>
              <w:spacing w:after="0" w:line="20" w:lineRule="exact"/>
              <w:rPr>
                <w:sz w:val="1"/>
                <w:szCs w:val="1"/>
                <w:color w:val="auto"/>
              </w:rPr>
            </w:pPr>
          </w:p>
        </w:tc>
        <w:tc>
          <w:tcPr>
            <w:tcW w:w="4400" w:type="dxa"/>
            <w:vAlign w:val="bottom"/>
            <w:tcBorders>
              <w:right w:val="single" w:sz="8" w:color="91BCFC"/>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240" w:type="dxa"/>
            <w:vAlign w:val="bottom"/>
            <w:tcBorders>
              <w:left w:val="single" w:sz="8" w:color="91BCFC"/>
            </w:tcBorders>
            <w:vMerge w:val="restart"/>
          </w:tcPr>
          <w:p>
            <w:pPr>
              <w:spacing w:after="0"/>
              <w:rPr>
                <w:sz w:val="11"/>
                <w:szCs w:val="11"/>
                <w:color w:val="auto"/>
              </w:rPr>
            </w:pPr>
          </w:p>
        </w:tc>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Advisory vote on executive compensation</w:t>
            </w:r>
          </w:p>
        </w:tc>
        <w:tc>
          <w:tcPr>
            <w:tcW w:w="2020" w:type="dxa"/>
            <w:vAlign w:val="bottom"/>
            <w:vMerge w:val="continue"/>
          </w:tcPr>
          <w:p>
            <w:pPr>
              <w:spacing w:after="0"/>
              <w:rPr>
                <w:sz w:val="11"/>
                <w:szCs w:val="11"/>
                <w:color w:val="auto"/>
              </w:rPr>
            </w:pPr>
          </w:p>
        </w:tc>
        <w:tc>
          <w:tcPr>
            <w:tcW w:w="4400" w:type="dxa"/>
            <w:vAlign w:val="bottom"/>
            <w:tcBorders>
              <w:right w:val="single" w:sz="8" w:color="91BCFC"/>
            </w:tcBorders>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40" w:type="dxa"/>
            <w:vAlign w:val="bottom"/>
            <w:tcBorders>
              <w:left w:val="single" w:sz="8" w:color="91BCFC"/>
            </w:tcBorders>
            <w:vMerge w:val="continue"/>
          </w:tcPr>
          <w:p>
            <w:pPr>
              <w:spacing w:after="0"/>
              <w:rPr>
                <w:sz w:val="9"/>
                <w:szCs w:val="9"/>
                <w:color w:val="auto"/>
              </w:rPr>
            </w:pPr>
          </w:p>
        </w:tc>
        <w:tc>
          <w:tcPr>
            <w:tcW w:w="4380" w:type="dxa"/>
            <w:vAlign w:val="bottom"/>
            <w:gridSpan w:val="2"/>
            <w:vMerge w:val="continue"/>
          </w:tcPr>
          <w:p>
            <w:pPr>
              <w:spacing w:after="0"/>
              <w:rPr>
                <w:sz w:val="9"/>
                <w:szCs w:val="9"/>
                <w:color w:val="auto"/>
              </w:rPr>
            </w:pPr>
          </w:p>
        </w:tc>
        <w:tc>
          <w:tcPr>
            <w:tcW w:w="2020" w:type="dxa"/>
            <w:vAlign w:val="bottom"/>
          </w:tcPr>
          <w:p>
            <w:pPr>
              <w:spacing w:after="0"/>
              <w:rPr>
                <w:sz w:val="9"/>
                <w:szCs w:val="9"/>
                <w:color w:val="auto"/>
              </w:rPr>
            </w:pPr>
          </w:p>
        </w:tc>
        <w:tc>
          <w:tcPr>
            <w:tcW w:w="4400" w:type="dxa"/>
            <w:vAlign w:val="bottom"/>
            <w:tcBorders>
              <w:right w:val="single" w:sz="8" w:color="91BCFC"/>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91BCFC"/>
            </w:tcBorders>
          </w:tcPr>
          <w:p>
            <w:pPr>
              <w:spacing w:after="0"/>
              <w:rPr>
                <w:sz w:val="5"/>
                <w:szCs w:val="5"/>
                <w:color w:val="auto"/>
              </w:rPr>
            </w:pPr>
          </w:p>
        </w:tc>
        <w:tc>
          <w:tcPr>
            <w:tcW w:w="820" w:type="dxa"/>
            <w:vAlign w:val="bottom"/>
          </w:tcPr>
          <w:p>
            <w:pPr>
              <w:spacing w:after="0"/>
              <w:rPr>
                <w:sz w:val="5"/>
                <w:szCs w:val="5"/>
                <w:color w:val="auto"/>
              </w:rPr>
            </w:pPr>
          </w:p>
        </w:tc>
        <w:tc>
          <w:tcPr>
            <w:tcW w:w="3560" w:type="dxa"/>
            <w:vAlign w:val="bottom"/>
          </w:tcPr>
          <w:p>
            <w:pPr>
              <w:spacing w:after="0"/>
              <w:rPr>
                <w:sz w:val="5"/>
                <w:szCs w:val="5"/>
                <w:color w:val="auto"/>
              </w:rPr>
            </w:pPr>
          </w:p>
        </w:tc>
        <w:tc>
          <w:tcPr>
            <w:tcW w:w="2020" w:type="dxa"/>
            <w:vAlign w:val="bottom"/>
          </w:tcPr>
          <w:p>
            <w:pPr>
              <w:spacing w:after="0"/>
              <w:rPr>
                <w:sz w:val="5"/>
                <w:szCs w:val="5"/>
                <w:color w:val="auto"/>
              </w:rPr>
            </w:pPr>
          </w:p>
        </w:tc>
        <w:tc>
          <w:tcPr>
            <w:tcW w:w="4400" w:type="dxa"/>
            <w:vAlign w:val="bottom"/>
            <w:tcBorders>
              <w:right w:val="single" w:sz="8" w:color="91BCFC"/>
            </w:tcBorders>
          </w:tcPr>
          <w:p>
            <w:pPr>
              <w:spacing w:after="0"/>
              <w:rPr>
                <w:sz w:val="5"/>
                <w:szCs w:val="5"/>
                <w:color w:val="auto"/>
              </w:rPr>
            </w:pPr>
          </w:p>
        </w:tc>
        <w:tc>
          <w:tcPr>
            <w:tcW w:w="0" w:type="dxa"/>
            <w:vAlign w:val="bottom"/>
          </w:tcPr>
          <w:p>
            <w:pPr>
              <w:spacing w:after="0"/>
              <w:rPr>
                <w:sz w:val="1"/>
                <w:szCs w:val="1"/>
                <w:color w:val="auto"/>
              </w:rPr>
            </w:pPr>
          </w:p>
        </w:tc>
      </w:tr>
      <w:tr>
        <w:trPr>
          <w:trHeight w:val="229"/>
        </w:trPr>
        <w:tc>
          <w:tcPr>
            <w:tcW w:w="240" w:type="dxa"/>
            <w:vAlign w:val="bottom"/>
            <w:tcBorders>
              <w:left w:val="single" w:sz="8" w:color="91BCFC"/>
            </w:tcBorders>
            <w:shd w:val="clear" w:color="auto" w:fill="DDEDFC"/>
          </w:tcPr>
          <w:p>
            <w:pPr>
              <w:spacing w:after="0"/>
              <w:rPr>
                <w:sz w:val="19"/>
                <w:szCs w:val="19"/>
                <w:color w:val="auto"/>
              </w:rPr>
            </w:pPr>
          </w:p>
        </w:tc>
        <w:tc>
          <w:tcPr>
            <w:tcW w:w="4380" w:type="dxa"/>
            <w:vAlign w:val="bottom"/>
            <w:gridSpan w:val="2"/>
            <w:shd w:val="clear" w:color="auto" w:fill="DDEDFC"/>
          </w:tcPr>
          <w:p>
            <w:pPr>
              <w:spacing w:after="0"/>
              <w:rPr>
                <w:sz w:val="20"/>
                <w:szCs w:val="20"/>
                <w:color w:val="auto"/>
              </w:rPr>
            </w:pPr>
            <w:r>
              <w:rPr>
                <w:rFonts w:ascii="Arial" w:cs="Arial" w:eastAsia="Arial" w:hAnsi="Arial"/>
                <w:sz w:val="18"/>
                <w:szCs w:val="18"/>
                <w:b w:val="1"/>
                <w:bCs w:val="1"/>
                <w:color w:val="auto"/>
              </w:rPr>
              <w:t>Proposal 3:</w:t>
            </w:r>
          </w:p>
        </w:tc>
        <w:tc>
          <w:tcPr>
            <w:tcW w:w="2020" w:type="dxa"/>
            <w:vAlign w:val="bottom"/>
            <w:shd w:val="clear" w:color="auto" w:fill="DDEDFC"/>
          </w:tcPr>
          <w:p>
            <w:pPr>
              <w:spacing w:after="0"/>
              <w:rPr>
                <w:sz w:val="19"/>
                <w:szCs w:val="19"/>
                <w:color w:val="auto"/>
              </w:rPr>
            </w:pPr>
          </w:p>
        </w:tc>
        <w:tc>
          <w:tcPr>
            <w:tcW w:w="4400" w:type="dxa"/>
            <w:vAlign w:val="bottom"/>
            <w:tcBorders>
              <w:right w:val="single" w:sz="8" w:color="91BCFC"/>
            </w:tcBorders>
            <w:shd w:val="clear" w:color="auto" w:fill="DDED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40" w:type="dxa"/>
            <w:vAlign w:val="bottom"/>
            <w:tcBorders>
              <w:left w:val="single" w:sz="8" w:color="91BCFC"/>
            </w:tcBorders>
            <w:shd w:val="clear" w:color="auto" w:fill="DDEDF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tcBorders>
              <w:left w:val="single" w:sz="8" w:color="DDEDFC"/>
            </w:tcBorders>
            <w:shd w:val="clear" w:color="auto" w:fill="DDEDFC"/>
          </w:tcPr>
          <w:p>
            <w:pPr>
              <w:spacing w:after="0" w:line="20" w:lineRule="exact"/>
              <w:rPr>
                <w:sz w:val="1"/>
                <w:szCs w:val="1"/>
                <w:color w:val="auto"/>
              </w:rPr>
            </w:pPr>
          </w:p>
        </w:tc>
        <w:tc>
          <w:tcPr>
            <w:tcW w:w="2020" w:type="dxa"/>
            <w:vAlign w:val="bottom"/>
            <w:shd w:val="clear" w:color="auto" w:fill="DDEDFC"/>
          </w:tcPr>
          <w:p>
            <w:pPr>
              <w:spacing w:after="0" w:line="20" w:lineRule="exact"/>
              <w:rPr>
                <w:sz w:val="1"/>
                <w:szCs w:val="1"/>
                <w:color w:val="auto"/>
              </w:rPr>
            </w:pPr>
          </w:p>
        </w:tc>
        <w:tc>
          <w:tcPr>
            <w:tcW w:w="4400" w:type="dxa"/>
            <w:vAlign w:val="bottom"/>
            <w:tcBorders>
              <w:right w:val="single" w:sz="8" w:color="91BCFC"/>
            </w:tcBorders>
            <w:shd w:val="clear" w:color="auto" w:fill="DDED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240" w:type="dxa"/>
            <w:vAlign w:val="bottom"/>
            <w:tcBorders>
              <w:left w:val="single" w:sz="8" w:color="91BCFC"/>
            </w:tcBorders>
            <w:shd w:val="clear" w:color="auto" w:fill="DDEDFC"/>
          </w:tcPr>
          <w:p>
            <w:pPr>
              <w:spacing w:after="0"/>
              <w:rPr>
                <w:sz w:val="18"/>
                <w:szCs w:val="18"/>
                <w:color w:val="auto"/>
              </w:rPr>
            </w:pPr>
          </w:p>
        </w:tc>
        <w:tc>
          <w:tcPr>
            <w:tcW w:w="4380" w:type="dxa"/>
            <w:vAlign w:val="bottom"/>
            <w:gridSpan w:val="2"/>
            <w:shd w:val="clear" w:color="auto" w:fill="DDEDFC"/>
          </w:tcPr>
          <w:p>
            <w:pPr>
              <w:spacing w:after="0"/>
              <w:rPr>
                <w:sz w:val="20"/>
                <w:szCs w:val="20"/>
                <w:color w:val="auto"/>
              </w:rPr>
            </w:pPr>
            <w:r>
              <w:rPr>
                <w:rFonts w:ascii="Arial" w:cs="Arial" w:eastAsia="Arial" w:hAnsi="Arial"/>
                <w:sz w:val="18"/>
                <w:szCs w:val="18"/>
                <w:b w:val="1"/>
                <w:bCs w:val="1"/>
                <w:color w:val="auto"/>
                <w:w w:val="94"/>
              </w:rPr>
              <w:t>Advisory vote on the frequency of future “say on pay”</w:t>
            </w:r>
          </w:p>
        </w:tc>
        <w:tc>
          <w:tcPr>
            <w:tcW w:w="2020" w:type="dxa"/>
            <w:vAlign w:val="bottom"/>
            <w:shd w:val="clear" w:color="auto" w:fill="DDEDFC"/>
          </w:tcPr>
          <w:p>
            <w:pPr>
              <w:jc w:val="center"/>
              <w:ind w:left="76"/>
              <w:spacing w:after="0"/>
              <w:rPr>
                <w:sz w:val="20"/>
                <w:szCs w:val="20"/>
                <w:color w:val="auto"/>
              </w:rPr>
            </w:pPr>
            <w:r>
              <w:rPr>
                <w:rFonts w:ascii="Arial" w:cs="Arial" w:eastAsia="Arial" w:hAnsi="Arial"/>
                <w:sz w:val="18"/>
                <w:szCs w:val="18"/>
                <w:color w:val="auto"/>
                <w:w w:val="95"/>
              </w:rPr>
              <w:t>No</w:t>
            </w:r>
          </w:p>
        </w:tc>
        <w:tc>
          <w:tcPr>
            <w:tcW w:w="4400" w:type="dxa"/>
            <w:vAlign w:val="bottom"/>
            <w:tcBorders>
              <w:right w:val="single" w:sz="8" w:color="91BCFC"/>
            </w:tcBorders>
            <w:shd w:val="clear" w:color="auto" w:fill="DDEDFC"/>
          </w:tcPr>
          <w:p>
            <w:pPr>
              <w:jc w:val="center"/>
              <w:ind w:left="35"/>
              <w:spacing w:after="0"/>
              <w:rPr>
                <w:sz w:val="20"/>
                <w:szCs w:val="20"/>
                <w:color w:val="auto"/>
              </w:rPr>
            </w:pPr>
            <w:r>
              <w:rPr>
                <w:rFonts w:ascii="Arial" w:cs="Arial" w:eastAsia="Arial" w:hAnsi="Arial"/>
                <w:sz w:val="18"/>
                <w:szCs w:val="18"/>
                <w:color w:val="auto"/>
                <w:w w:val="92"/>
              </w:rPr>
              <w:t>will be counted as “broker non-votes” for that proposal</w:t>
            </w:r>
          </w:p>
        </w:tc>
        <w:tc>
          <w:tcPr>
            <w:tcW w:w="0" w:type="dxa"/>
            <w:vAlign w:val="bottom"/>
          </w:tcPr>
          <w:p>
            <w:pPr>
              <w:spacing w:after="0"/>
              <w:rPr>
                <w:sz w:val="1"/>
                <w:szCs w:val="1"/>
                <w:color w:val="auto"/>
              </w:rPr>
            </w:pPr>
          </w:p>
        </w:tc>
      </w:tr>
      <w:tr>
        <w:trPr>
          <w:trHeight w:val="234"/>
        </w:trPr>
        <w:tc>
          <w:tcPr>
            <w:tcW w:w="4620" w:type="dxa"/>
            <w:vAlign w:val="bottom"/>
            <w:tcBorders>
              <w:left w:val="single" w:sz="8" w:color="91BCFC"/>
            </w:tcBorders>
            <w:gridSpan w:val="3"/>
            <w:shd w:val="clear" w:color="auto" w:fill="DDEDFC"/>
          </w:tcPr>
          <w:p>
            <w:pPr>
              <w:ind w:left="240"/>
              <w:spacing w:after="0"/>
              <w:rPr>
                <w:sz w:val="20"/>
                <w:szCs w:val="20"/>
                <w:color w:val="auto"/>
              </w:rPr>
            </w:pPr>
            <w:r>
              <w:rPr>
                <w:rFonts w:ascii="Arial" w:cs="Arial" w:eastAsia="Arial" w:hAnsi="Arial"/>
                <w:sz w:val="18"/>
                <w:szCs w:val="18"/>
                <w:b w:val="1"/>
                <w:bCs w:val="1"/>
                <w:color w:val="auto"/>
              </w:rPr>
              <w:t>votes</w:t>
            </w:r>
          </w:p>
        </w:tc>
        <w:tc>
          <w:tcPr>
            <w:tcW w:w="2020" w:type="dxa"/>
            <w:vAlign w:val="bottom"/>
            <w:shd w:val="clear" w:color="auto" w:fill="DDEDFC"/>
          </w:tcPr>
          <w:p>
            <w:pPr>
              <w:spacing w:after="0"/>
              <w:rPr>
                <w:sz w:val="20"/>
                <w:szCs w:val="20"/>
                <w:color w:val="auto"/>
              </w:rPr>
            </w:pPr>
          </w:p>
        </w:tc>
        <w:tc>
          <w:tcPr>
            <w:tcW w:w="4400" w:type="dxa"/>
            <w:vAlign w:val="bottom"/>
            <w:tcBorders>
              <w:right w:val="single" w:sz="8" w:color="91BCFC"/>
            </w:tcBorders>
            <w:shd w:val="clear" w:color="auto" w:fill="DDEDFC"/>
          </w:tcPr>
          <w:p>
            <w:pPr>
              <w:spacing w:after="0"/>
              <w:rPr>
                <w:sz w:val="20"/>
                <w:szCs w:val="20"/>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91BCFC"/>
            </w:tcBorders>
            <w:shd w:val="clear" w:color="auto" w:fill="DDEDFC"/>
          </w:tcPr>
          <w:p>
            <w:pPr>
              <w:spacing w:after="0"/>
              <w:rPr>
                <w:sz w:val="5"/>
                <w:szCs w:val="5"/>
                <w:color w:val="auto"/>
              </w:rPr>
            </w:pPr>
          </w:p>
        </w:tc>
        <w:tc>
          <w:tcPr>
            <w:tcW w:w="820" w:type="dxa"/>
            <w:vAlign w:val="bottom"/>
            <w:shd w:val="clear" w:color="auto" w:fill="DDEDFC"/>
          </w:tcPr>
          <w:p>
            <w:pPr>
              <w:spacing w:after="0"/>
              <w:rPr>
                <w:sz w:val="5"/>
                <w:szCs w:val="5"/>
                <w:color w:val="auto"/>
              </w:rPr>
            </w:pPr>
          </w:p>
        </w:tc>
        <w:tc>
          <w:tcPr>
            <w:tcW w:w="3560" w:type="dxa"/>
            <w:vAlign w:val="bottom"/>
            <w:tcBorders>
              <w:left w:val="single" w:sz="8" w:color="DDEDFC"/>
            </w:tcBorders>
            <w:shd w:val="clear" w:color="auto" w:fill="DDEDFC"/>
          </w:tcPr>
          <w:p>
            <w:pPr>
              <w:spacing w:after="0"/>
              <w:rPr>
                <w:sz w:val="5"/>
                <w:szCs w:val="5"/>
                <w:color w:val="auto"/>
              </w:rPr>
            </w:pPr>
          </w:p>
        </w:tc>
        <w:tc>
          <w:tcPr>
            <w:tcW w:w="2020" w:type="dxa"/>
            <w:vAlign w:val="bottom"/>
            <w:shd w:val="clear" w:color="auto" w:fill="DDEDFC"/>
          </w:tcPr>
          <w:p>
            <w:pPr>
              <w:spacing w:after="0"/>
              <w:rPr>
                <w:sz w:val="5"/>
                <w:szCs w:val="5"/>
                <w:color w:val="auto"/>
              </w:rPr>
            </w:pPr>
          </w:p>
        </w:tc>
        <w:tc>
          <w:tcPr>
            <w:tcW w:w="4400" w:type="dxa"/>
            <w:vAlign w:val="bottom"/>
            <w:tcBorders>
              <w:right w:val="single" w:sz="8" w:color="91BCFC"/>
            </w:tcBorders>
            <w:shd w:val="clear" w:color="auto" w:fill="DDEDFC"/>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240" w:type="dxa"/>
            <w:vAlign w:val="bottom"/>
            <w:tcBorders>
              <w:left w:val="single" w:sz="8" w:color="91BCFC"/>
            </w:tcBorders>
          </w:tcPr>
          <w:p>
            <w:pPr>
              <w:spacing w:after="0"/>
              <w:rPr>
                <w:sz w:val="19"/>
                <w:szCs w:val="19"/>
                <w:color w:val="auto"/>
              </w:rPr>
            </w:pPr>
          </w:p>
        </w:tc>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Proposal 4:</w:t>
            </w:r>
          </w:p>
        </w:tc>
        <w:tc>
          <w:tcPr>
            <w:tcW w:w="2020" w:type="dxa"/>
            <w:vAlign w:val="bottom"/>
          </w:tcPr>
          <w:p>
            <w:pPr>
              <w:spacing w:after="0"/>
              <w:rPr>
                <w:sz w:val="19"/>
                <w:szCs w:val="19"/>
                <w:color w:val="auto"/>
              </w:rPr>
            </w:pPr>
          </w:p>
        </w:tc>
        <w:tc>
          <w:tcPr>
            <w:tcW w:w="4400" w:type="dxa"/>
            <w:vAlign w:val="bottom"/>
            <w:tcBorders>
              <w:right w:val="single" w:sz="8" w:color="91BCFC"/>
            </w:tcBorders>
            <w:vMerge w:val="restart"/>
          </w:tcPr>
          <w:p>
            <w:pPr>
              <w:jc w:val="center"/>
              <w:ind w:left="35"/>
              <w:spacing w:after="0"/>
              <w:rPr>
                <w:sz w:val="20"/>
                <w:szCs w:val="20"/>
                <w:color w:val="auto"/>
              </w:rPr>
            </w:pPr>
            <w:r>
              <w:rPr>
                <w:rFonts w:ascii="Arial" w:cs="Arial" w:eastAsia="Arial" w:hAnsi="Arial"/>
                <w:sz w:val="18"/>
                <w:szCs w:val="18"/>
                <w:color w:val="auto"/>
                <w:w w:val="91"/>
              </w:rPr>
              <w:t>may be voted by your broker or</w:t>
            </w:r>
          </w:p>
        </w:tc>
        <w:tc>
          <w:tcPr>
            <w:tcW w:w="0" w:type="dxa"/>
            <w:vAlign w:val="bottom"/>
          </w:tcPr>
          <w:p>
            <w:pPr>
              <w:spacing w:after="0"/>
              <w:rPr>
                <w:sz w:val="1"/>
                <w:szCs w:val="1"/>
                <w:color w:val="auto"/>
              </w:rPr>
            </w:pPr>
          </w:p>
        </w:tc>
      </w:tr>
      <w:tr>
        <w:trPr>
          <w:trHeight w:val="20"/>
        </w:trPr>
        <w:tc>
          <w:tcPr>
            <w:tcW w:w="240" w:type="dxa"/>
            <w:vAlign w:val="bottom"/>
            <w:tcBorders>
              <w:left w:val="single" w:sz="8" w:color="91BCFC"/>
            </w:tcBorders>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4400" w:type="dxa"/>
            <w:vAlign w:val="bottom"/>
            <w:tcBorders>
              <w:right w:val="single" w:sz="8" w:color="91BCFC"/>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40" w:type="dxa"/>
            <w:vAlign w:val="bottom"/>
            <w:tcBorders>
              <w:left w:val="single" w:sz="8" w:color="91BCFC"/>
            </w:tcBorders>
            <w:vMerge w:val="restart"/>
          </w:tcPr>
          <w:p>
            <w:pPr>
              <w:spacing w:after="0"/>
              <w:rPr>
                <w:sz w:val="9"/>
                <w:szCs w:val="9"/>
                <w:color w:val="auto"/>
              </w:rPr>
            </w:pPr>
          </w:p>
        </w:tc>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w w:val="95"/>
              </w:rPr>
              <w:t>Ratification of the Company’s independent registered</w:t>
            </w:r>
          </w:p>
        </w:tc>
        <w:tc>
          <w:tcPr>
            <w:tcW w:w="2020" w:type="dxa"/>
            <w:vAlign w:val="bottom"/>
            <w:vMerge w:val="restart"/>
          </w:tcPr>
          <w:p>
            <w:pPr>
              <w:jc w:val="center"/>
              <w:ind w:left="76"/>
              <w:spacing w:after="0"/>
              <w:rPr>
                <w:sz w:val="20"/>
                <w:szCs w:val="20"/>
                <w:color w:val="auto"/>
              </w:rPr>
            </w:pPr>
            <w:r>
              <w:rPr>
                <w:rFonts w:ascii="Arial" w:cs="Arial" w:eastAsia="Arial" w:hAnsi="Arial"/>
                <w:sz w:val="18"/>
                <w:szCs w:val="18"/>
                <w:color w:val="auto"/>
                <w:w w:val="83"/>
              </w:rPr>
              <w:t>Yes</w:t>
            </w:r>
          </w:p>
        </w:tc>
        <w:tc>
          <w:tcPr>
            <w:tcW w:w="4400" w:type="dxa"/>
            <w:vAlign w:val="bottom"/>
            <w:tcBorders>
              <w:right w:val="single" w:sz="8" w:color="91BCFC"/>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240" w:type="dxa"/>
            <w:vAlign w:val="bottom"/>
            <w:tcBorders>
              <w:left w:val="single" w:sz="8" w:color="91BCFC"/>
            </w:tcBorders>
            <w:vMerge w:val="continue"/>
          </w:tcPr>
          <w:p>
            <w:pPr>
              <w:spacing w:after="0"/>
              <w:rPr>
                <w:sz w:val="9"/>
                <w:szCs w:val="9"/>
                <w:color w:val="auto"/>
              </w:rPr>
            </w:pPr>
          </w:p>
        </w:tc>
        <w:tc>
          <w:tcPr>
            <w:tcW w:w="4380" w:type="dxa"/>
            <w:vAlign w:val="bottom"/>
            <w:gridSpan w:val="2"/>
            <w:vMerge w:val="continue"/>
          </w:tcPr>
          <w:p>
            <w:pPr>
              <w:spacing w:after="0"/>
              <w:rPr>
                <w:sz w:val="9"/>
                <w:szCs w:val="9"/>
                <w:color w:val="auto"/>
              </w:rPr>
            </w:pPr>
          </w:p>
        </w:tc>
        <w:tc>
          <w:tcPr>
            <w:tcW w:w="2020" w:type="dxa"/>
            <w:vAlign w:val="bottom"/>
            <w:vMerge w:val="continue"/>
          </w:tcPr>
          <w:p>
            <w:pPr>
              <w:spacing w:after="0"/>
              <w:rPr>
                <w:sz w:val="9"/>
                <w:szCs w:val="9"/>
                <w:color w:val="auto"/>
              </w:rPr>
            </w:pPr>
          </w:p>
        </w:tc>
        <w:tc>
          <w:tcPr>
            <w:tcW w:w="4400" w:type="dxa"/>
            <w:vAlign w:val="bottom"/>
            <w:tcBorders>
              <w:right w:val="single" w:sz="8" w:color="91BCFC"/>
            </w:tcBorders>
            <w:vMerge w:val="restart"/>
          </w:tcPr>
          <w:p>
            <w:pPr>
              <w:jc w:val="center"/>
              <w:ind w:left="35"/>
              <w:spacing w:after="0"/>
              <w:rPr>
                <w:sz w:val="20"/>
                <w:szCs w:val="20"/>
                <w:color w:val="auto"/>
              </w:rPr>
            </w:pPr>
            <w:r>
              <w:rPr>
                <w:rFonts w:ascii="Arial" w:cs="Arial" w:eastAsia="Arial" w:hAnsi="Arial"/>
                <w:sz w:val="18"/>
                <w:szCs w:val="18"/>
                <w:color w:val="auto"/>
                <w:w w:val="90"/>
              </w:rPr>
              <w:t>other organization holding your Shares</w:t>
            </w:r>
          </w:p>
        </w:tc>
        <w:tc>
          <w:tcPr>
            <w:tcW w:w="0" w:type="dxa"/>
            <w:vAlign w:val="bottom"/>
          </w:tcPr>
          <w:p>
            <w:pPr>
              <w:spacing w:after="0"/>
              <w:rPr>
                <w:sz w:val="1"/>
                <w:szCs w:val="1"/>
                <w:color w:val="auto"/>
              </w:rPr>
            </w:pPr>
          </w:p>
        </w:tc>
      </w:tr>
      <w:tr>
        <w:trPr>
          <w:trHeight w:val="126"/>
        </w:trPr>
        <w:tc>
          <w:tcPr>
            <w:tcW w:w="4620" w:type="dxa"/>
            <w:vAlign w:val="bottom"/>
            <w:tcBorders>
              <w:left w:val="single" w:sz="8" w:color="91BCFC"/>
            </w:tcBorders>
            <w:gridSpan w:val="3"/>
            <w:vMerge w:val="restart"/>
          </w:tcPr>
          <w:p>
            <w:pPr>
              <w:ind w:left="240"/>
              <w:spacing w:after="0"/>
              <w:rPr>
                <w:sz w:val="20"/>
                <w:szCs w:val="20"/>
                <w:color w:val="auto"/>
              </w:rPr>
            </w:pPr>
            <w:r>
              <w:rPr>
                <w:rFonts w:ascii="Arial" w:cs="Arial" w:eastAsia="Arial" w:hAnsi="Arial"/>
                <w:sz w:val="18"/>
                <w:szCs w:val="18"/>
                <w:b w:val="1"/>
                <w:bCs w:val="1"/>
                <w:color w:val="auto"/>
              </w:rPr>
              <w:t>public accounting firm</w:t>
            </w:r>
          </w:p>
        </w:tc>
        <w:tc>
          <w:tcPr>
            <w:tcW w:w="2020" w:type="dxa"/>
            <w:vAlign w:val="bottom"/>
          </w:tcPr>
          <w:p>
            <w:pPr>
              <w:spacing w:after="0"/>
              <w:rPr>
                <w:sz w:val="10"/>
                <w:szCs w:val="10"/>
                <w:color w:val="auto"/>
              </w:rPr>
            </w:pPr>
          </w:p>
        </w:tc>
        <w:tc>
          <w:tcPr>
            <w:tcW w:w="4400" w:type="dxa"/>
            <w:vAlign w:val="bottom"/>
            <w:tcBorders>
              <w:right w:val="single" w:sz="8" w:color="91BCFC"/>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620" w:type="dxa"/>
            <w:vAlign w:val="bottom"/>
            <w:tcBorders>
              <w:left w:val="single" w:sz="8" w:color="91BCFC"/>
            </w:tcBorders>
            <w:gridSpan w:val="3"/>
            <w:vMerge w:val="continue"/>
          </w:tcPr>
          <w:p>
            <w:pPr>
              <w:spacing w:after="0"/>
              <w:rPr>
                <w:sz w:val="9"/>
                <w:szCs w:val="9"/>
                <w:color w:val="auto"/>
              </w:rPr>
            </w:pPr>
          </w:p>
        </w:tc>
        <w:tc>
          <w:tcPr>
            <w:tcW w:w="2020" w:type="dxa"/>
            <w:vAlign w:val="bottom"/>
          </w:tcPr>
          <w:p>
            <w:pPr>
              <w:spacing w:after="0"/>
              <w:rPr>
                <w:sz w:val="9"/>
                <w:szCs w:val="9"/>
                <w:color w:val="auto"/>
              </w:rPr>
            </w:pPr>
          </w:p>
        </w:tc>
        <w:tc>
          <w:tcPr>
            <w:tcW w:w="4400" w:type="dxa"/>
            <w:vAlign w:val="bottom"/>
            <w:tcBorders>
              <w:right w:val="single" w:sz="8" w:color="91BCFC"/>
            </w:tcBorders>
          </w:tcPr>
          <w:p>
            <w:pPr>
              <w:spacing w:after="0"/>
              <w:rPr>
                <w:sz w:val="9"/>
                <w:szCs w:val="9"/>
                <w:color w:val="auto"/>
              </w:rPr>
            </w:pPr>
          </w:p>
        </w:tc>
        <w:tc>
          <w:tcPr>
            <w:tcW w:w="0" w:type="dxa"/>
            <w:vAlign w:val="bottom"/>
          </w:tcPr>
          <w:p>
            <w:pPr>
              <w:spacing w:after="0"/>
              <w:rPr>
                <w:sz w:val="1"/>
                <w:szCs w:val="1"/>
                <w:color w:val="auto"/>
              </w:rPr>
            </w:pPr>
          </w:p>
        </w:tc>
      </w:tr>
      <w:tr>
        <w:trPr>
          <w:trHeight w:val="68"/>
        </w:trPr>
        <w:tc>
          <w:tcPr>
            <w:tcW w:w="240" w:type="dxa"/>
            <w:vAlign w:val="bottom"/>
            <w:tcBorders>
              <w:left w:val="single" w:sz="8" w:color="91BCFC"/>
              <w:bottom w:val="single" w:sz="8" w:color="91BCFC"/>
            </w:tcBorders>
          </w:tcPr>
          <w:p>
            <w:pPr>
              <w:spacing w:after="0"/>
              <w:rPr>
                <w:sz w:val="5"/>
                <w:szCs w:val="5"/>
                <w:color w:val="auto"/>
              </w:rPr>
            </w:pPr>
          </w:p>
        </w:tc>
        <w:tc>
          <w:tcPr>
            <w:tcW w:w="820" w:type="dxa"/>
            <w:vAlign w:val="bottom"/>
            <w:tcBorders>
              <w:bottom w:val="single" w:sz="8" w:color="91BCFC"/>
            </w:tcBorders>
          </w:tcPr>
          <w:p>
            <w:pPr>
              <w:spacing w:after="0"/>
              <w:rPr>
                <w:sz w:val="5"/>
                <w:szCs w:val="5"/>
                <w:color w:val="auto"/>
              </w:rPr>
            </w:pPr>
          </w:p>
        </w:tc>
        <w:tc>
          <w:tcPr>
            <w:tcW w:w="3560" w:type="dxa"/>
            <w:vAlign w:val="bottom"/>
            <w:tcBorders>
              <w:bottom w:val="single" w:sz="8" w:color="91BCFC"/>
            </w:tcBorders>
          </w:tcPr>
          <w:p>
            <w:pPr>
              <w:spacing w:after="0"/>
              <w:rPr>
                <w:sz w:val="5"/>
                <w:szCs w:val="5"/>
                <w:color w:val="auto"/>
              </w:rPr>
            </w:pPr>
          </w:p>
        </w:tc>
        <w:tc>
          <w:tcPr>
            <w:tcW w:w="2020" w:type="dxa"/>
            <w:vAlign w:val="bottom"/>
            <w:tcBorders>
              <w:bottom w:val="single" w:sz="8" w:color="91BCFC"/>
            </w:tcBorders>
          </w:tcPr>
          <w:p>
            <w:pPr>
              <w:spacing w:after="0"/>
              <w:rPr>
                <w:sz w:val="5"/>
                <w:szCs w:val="5"/>
                <w:color w:val="auto"/>
              </w:rPr>
            </w:pPr>
          </w:p>
        </w:tc>
        <w:tc>
          <w:tcPr>
            <w:tcW w:w="4400" w:type="dxa"/>
            <w:vAlign w:val="bottom"/>
            <w:tcBorders>
              <w:bottom w:val="single" w:sz="8" w:color="91BCFC"/>
              <w:right w:val="single" w:sz="8" w:color="91BCF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30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do I need to do if I want to attend the Annual Meeting?</w:t>
      </w:r>
    </w:p>
    <w:p>
      <w:pPr>
        <w:spacing w:after="0" w:line="121" w:lineRule="exact"/>
        <w:rPr>
          <w:sz w:val="20"/>
          <w:szCs w:val="20"/>
          <w:color w:val="auto"/>
        </w:rPr>
      </w:pPr>
    </w:p>
    <w:p>
      <w:pPr>
        <w:ind w:left="120" w:right="300" w:firstLine="440"/>
        <w:spacing w:after="0" w:line="311" w:lineRule="auto"/>
        <w:rPr>
          <w:sz w:val="20"/>
          <w:szCs w:val="20"/>
          <w:color w:val="auto"/>
        </w:rPr>
      </w:pPr>
      <w:r>
        <w:rPr>
          <w:rFonts w:ascii="Arial" w:cs="Arial" w:eastAsia="Arial" w:hAnsi="Arial"/>
          <w:sz w:val="16"/>
          <w:szCs w:val="16"/>
          <w:color w:val="auto"/>
        </w:rPr>
        <w:t>You will need to provide evidence that you are a stockholder as of the Record Date. This can be a copy of your proxy card or a brokerage statement showing your Shares as of the Record Date. You should also bring photo identification. If you hold your Shares in street name and wish to vote in person at the meeting, you will need to contact the organization that holds your Shares in order to obtain a legal proxy from that organization.</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Where can I find voting results?</w:t>
      </w:r>
    </w:p>
    <w:p>
      <w:pPr>
        <w:spacing w:after="0" w:line="121"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We will file a Current Report on Form 8-K with the SEC to report the final voting results from the Annual Meeting within four business days of the Annual Meeting.</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 share an address with another stockholder. Why did we receive only one set of Proxy Materials?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Some banks, brokers and nominees may be participating in the practice of “householding” Proxy Materials. This means that only one copy of the Proxy Materials may be sent to multiple stockholders in your household. If you hold your Shares in street name and want to receive separate copies of the Proxy Materials in the future, or if you are receiving multiple copies and would like to receive only one copy for your household, you should contact the bank, broker or other organization that holds your Shares.</w:t>
      </w:r>
    </w:p>
    <w:p>
      <w:pPr>
        <w:spacing w:after="0" w:line="187"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Upon written or oral request, the Company will promptly deliver a separate copy of the Proxy Materials to any stockholder at a shared address to which a single copy of any of those documents was delivered. To receive a separate copy of the Proxy Materials, you can contact our Investor Relations department at 978-671-8842 or ir@lantheus.com or by writing to Lantheus Holdings, Inc., 331 Treble Cove Road, North Billerica, MA 01862, Attention: Investor Relations.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What happens now that we are no longer an “emerging growth company”?</w:t>
      </w:r>
    </w:p>
    <w:p>
      <w:pPr>
        <w:spacing w:after="0" w:line="121" w:lineRule="exact"/>
        <w:rPr>
          <w:sz w:val="20"/>
          <w:szCs w:val="20"/>
          <w:color w:val="auto"/>
        </w:rPr>
      </w:pPr>
    </w:p>
    <w:p>
      <w:pPr>
        <w:ind w:left="120" w:right="40" w:firstLine="440"/>
        <w:spacing w:after="0" w:line="259" w:lineRule="auto"/>
        <w:rPr>
          <w:sz w:val="20"/>
          <w:szCs w:val="20"/>
          <w:color w:val="auto"/>
        </w:rPr>
      </w:pPr>
      <w:r>
        <w:rPr>
          <w:rFonts w:ascii="Arial" w:cs="Arial" w:eastAsia="Arial" w:hAnsi="Arial"/>
          <w:sz w:val="18"/>
          <w:szCs w:val="18"/>
          <w:color w:val="auto"/>
        </w:rPr>
        <w:t>As of December 31, 2019, we are no longer an “emerging growth company,” as defined in the JOBS Act. As such, we are required to seek an advisory vote on “say on pay” as well as an advisory vote on the frequency of our “say on pay” vote and provide more detailed disclosure relating to our executive compensation program. We are, however, exempt from the CEO pay ratio disclosure requirements in this 2020 proxy statement as a result of the one-year phase in period for former emerging growth companies.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40"/>
          </w:cols>
          <w:pgMar w:left="320" w:top="459" w:right="4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is paying for this proxy solicitation?</w:t>
      </w:r>
    </w:p>
    <w:p>
      <w:pPr>
        <w:spacing w:after="0" w:line="121"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The Company is paying the costs of the solicitation of proxies. Members of the Board, officers and employees and, potentially, Innisfree M&amp;A Incorporated, a third party proxy solicitor, may solicit proxies by mail, telephone, fax, email or in person. We will not pay directors, officers or employees any extra amounts for soliciting proxies. If we decide to retain a third party proxy solicitor, we would not expect to pay it more than $15,000 for any proxy solicitation services it renders. We may, upon request, reimburse brokerage firms, banks or similar entities representing street name holders for their expenses in forwarding Proxy Materials to their customers who are street name holders and obtaining their voting instructions. If you choose to access the Proxy Materials or vote over the Internet, you are responsible for any Internet access charges that you may incur.</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Who should I contact if I have additional questions?</w:t>
      </w:r>
    </w:p>
    <w:p>
      <w:pPr>
        <w:spacing w:after="0" w:line="121" w:lineRule="exact"/>
        <w:rPr>
          <w:sz w:val="20"/>
          <w:szCs w:val="20"/>
          <w:color w:val="auto"/>
        </w:rPr>
      </w:pPr>
    </w:p>
    <w:p>
      <w:pPr>
        <w:ind w:left="120" w:right="320" w:firstLine="440"/>
        <w:spacing w:after="0" w:line="263" w:lineRule="auto"/>
        <w:rPr>
          <w:sz w:val="20"/>
          <w:szCs w:val="20"/>
          <w:color w:val="auto"/>
        </w:rPr>
      </w:pPr>
      <w:r>
        <w:rPr>
          <w:rFonts w:ascii="Arial" w:cs="Arial" w:eastAsia="Arial" w:hAnsi="Arial"/>
          <w:sz w:val="18"/>
          <w:szCs w:val="18"/>
          <w:color w:val="auto"/>
        </w:rPr>
        <w:t>You can contact our Investor Relations department at 978-671-8842 or ir@lantheus.com or by writing to Lantheus Holdings, Inc., 331 Treble Cove Road, North Billerica, MA 01862, Attention: Investor Relations. Stockholders who hold their Shares in street name should contact the organization that holds their Shares for additional information on how to vote.</w:t>
      </w:r>
    </w:p>
    <w:p>
      <w:pPr>
        <w:spacing w:after="0" w:line="1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40"/>
          </w:cols>
          <w:pgMar w:left="320" w:top="459" w:right="5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PROPOSAL 1: ELECTION OF DIRECTORS</w:t>
      </w:r>
    </w:p>
    <w:p>
      <w:pPr>
        <w:spacing w:after="0" w:line="229" w:lineRule="exact"/>
        <w:rPr>
          <w:sz w:val="20"/>
          <w:szCs w:val="20"/>
          <w:color w:val="auto"/>
        </w:rPr>
      </w:pPr>
    </w:p>
    <w:p>
      <w:pPr>
        <w:ind w:left="120" w:right="20" w:firstLine="440"/>
        <w:spacing w:after="0" w:line="291" w:lineRule="auto"/>
        <w:rPr>
          <w:sz w:val="20"/>
          <w:szCs w:val="20"/>
          <w:color w:val="auto"/>
        </w:rPr>
      </w:pPr>
      <w:r>
        <w:rPr>
          <w:rFonts w:ascii="Arial" w:cs="Arial" w:eastAsia="Arial" w:hAnsi="Arial"/>
          <w:sz w:val="16"/>
          <w:szCs w:val="16"/>
          <w:color w:val="auto"/>
        </w:rPr>
        <w:t>Our Board is currently comprised of ten directors. In accordance with our Amended and Restated Certificate of Incorporation (our “</w:t>
      </w:r>
      <w:r>
        <w:rPr>
          <w:rFonts w:ascii="Arial" w:cs="Arial" w:eastAsia="Arial" w:hAnsi="Arial"/>
          <w:sz w:val="16"/>
          <w:szCs w:val="16"/>
          <w:b w:val="1"/>
          <w:bCs w:val="1"/>
          <w:i w:val="1"/>
          <w:iCs w:val="1"/>
          <w:color w:val="auto"/>
        </w:rPr>
        <w:t>Charter</w:t>
      </w:r>
      <w:r>
        <w:rPr>
          <w:rFonts w:ascii="Arial" w:cs="Arial" w:eastAsia="Arial" w:hAnsi="Arial"/>
          <w:sz w:val="16"/>
          <w:szCs w:val="16"/>
          <w:color w:val="auto"/>
        </w:rPr>
        <w:t>”), our Board consists of three classes: Class I, Class II and Class III, with terms expiring in 2020 (for Class II), 2021 (for Class III) and 2022 (for Class I).</w:t>
      </w:r>
    </w:p>
    <w:p>
      <w:pPr>
        <w:ind w:left="120" w:right="260"/>
        <w:spacing w:after="0" w:line="253" w:lineRule="auto"/>
        <w:rPr>
          <w:sz w:val="20"/>
          <w:szCs w:val="20"/>
          <w:color w:val="auto"/>
        </w:rPr>
      </w:pPr>
      <w:r>
        <w:rPr>
          <w:rFonts w:ascii="Arial" w:cs="Arial" w:eastAsia="Arial" w:hAnsi="Arial"/>
          <w:sz w:val="18"/>
          <w:szCs w:val="18"/>
          <w:color w:val="auto"/>
        </w:rPr>
        <w:t>Mr. James Clemmer, Ms. Julie McHugh and Dr. Frederick Robertson are the Class II directors whose terms expire at the Annual Meeting. Our Board has nominated, and stockholders are being asked to elect, Ms. Julie McHugh and Dr. Frederick Robertson for three-year terms expiring at our 2023 Annual Meeting of Stockholders. If elected, each of the nominees will hold office until our 2023 Annual Meeting of Stockholders and a successor is duly elected and qualified or until her or his earlier death, resignation or removal.</w:t>
      </w:r>
    </w:p>
    <w:p>
      <w:pPr>
        <w:spacing w:after="0" w:line="193"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Our Board has decided to reduce its size from ten directors to nine directors, as of the earlier of the Annual Meeting or the closing of the Progenics Acquisition, and to further reduce the size of the Board to eight members prior to the date of the Company’s 2021 annual meeting of stockholders (the “Board Restructuring”). In connection with this decision, Mr. James Clemmer, a current Class II director, agreed not to be re-nominated and will be stepping down from his Board and committee roles, effective as of the earlier of the Annual Meeting or the closing of the Progenics Acquisition. Mr. Clemmer’s departure is not due to a disagreement with the Company, the Board or management on any matter relating to the Company’s operations, policies or practices.</w:t>
      </w:r>
    </w:p>
    <w:p>
      <w:pPr>
        <w:spacing w:after="0" w:line="192" w:lineRule="exact"/>
        <w:rPr>
          <w:sz w:val="20"/>
          <w:szCs w:val="20"/>
          <w:color w:val="auto"/>
        </w:rPr>
      </w:pPr>
    </w:p>
    <w:p>
      <w:pPr>
        <w:ind w:left="120" w:right="580" w:firstLine="440"/>
        <w:spacing w:after="0" w:line="277" w:lineRule="auto"/>
        <w:rPr>
          <w:sz w:val="20"/>
          <w:szCs w:val="20"/>
          <w:color w:val="auto"/>
        </w:rPr>
      </w:pPr>
      <w:r>
        <w:rPr>
          <w:rFonts w:ascii="Arial" w:cs="Arial" w:eastAsia="Arial" w:hAnsi="Arial"/>
          <w:sz w:val="18"/>
          <w:szCs w:val="18"/>
          <w:color w:val="auto"/>
        </w:rPr>
        <w:t>The persons named as proxies will vote to elect each of these two nominees, unless a stockholder indicates that his or her Shares should be withheld with respect to any one or more of these nominees.</w:t>
      </w:r>
    </w:p>
    <w:p>
      <w:pPr>
        <w:spacing w:after="0" w:line="170" w:lineRule="exact"/>
        <w:rPr>
          <w:sz w:val="20"/>
          <w:szCs w:val="20"/>
          <w:color w:val="auto"/>
        </w:rPr>
      </w:pPr>
    </w:p>
    <w:p>
      <w:pPr>
        <w:ind w:left="120" w:right="160" w:firstLine="440"/>
        <w:spacing w:after="0" w:line="263" w:lineRule="auto"/>
        <w:rPr>
          <w:sz w:val="20"/>
          <w:szCs w:val="20"/>
          <w:color w:val="auto"/>
        </w:rPr>
      </w:pPr>
      <w:r>
        <w:rPr>
          <w:rFonts w:ascii="Arial" w:cs="Arial" w:eastAsia="Arial" w:hAnsi="Arial"/>
          <w:sz w:val="18"/>
          <w:szCs w:val="18"/>
          <w:color w:val="auto"/>
        </w:rPr>
        <w:t>In the event that any nominee for director becomes unavailable or declines to serve as a director at the time of the Annual Meeting, the persons named as proxies will vote the proxies in their discretion for any nominee who is designated by the current Board to fill the vacancy. We do not expect that any of the nominees will be unavailable or will decline to serve.</w:t>
      </w:r>
    </w:p>
    <w:p>
      <w:pPr>
        <w:spacing w:after="0" w:line="184" w:lineRule="exact"/>
        <w:rPr>
          <w:sz w:val="20"/>
          <w:szCs w:val="20"/>
          <w:color w:val="auto"/>
        </w:rPr>
      </w:pPr>
    </w:p>
    <w:p>
      <w:pPr>
        <w:ind w:left="120" w:right="380" w:firstLine="440"/>
        <w:spacing w:after="0" w:line="286" w:lineRule="auto"/>
        <w:rPr>
          <w:sz w:val="20"/>
          <w:szCs w:val="20"/>
          <w:color w:val="auto"/>
        </w:rPr>
      </w:pPr>
      <w:r>
        <w:rPr>
          <w:rFonts w:ascii="Arial" w:cs="Arial" w:eastAsia="Arial" w:hAnsi="Arial"/>
          <w:sz w:val="17"/>
          <w:szCs w:val="17"/>
          <w:color w:val="auto"/>
        </w:rPr>
        <w:t>In determining that each director should be nominated for election, the Board considered her or his service, business experience, prior directorships, qualifications, attributes and skills described in the biography set forth below under “</w:t>
      </w:r>
      <w:r>
        <w:rPr>
          <w:rFonts w:ascii="Arial" w:cs="Arial" w:eastAsia="Arial" w:hAnsi="Arial"/>
          <w:sz w:val="17"/>
          <w:szCs w:val="17"/>
          <w:i w:val="1"/>
          <w:iCs w:val="1"/>
          <w:color w:val="auto"/>
        </w:rPr>
        <w:t>Corporate Governance—Executive Officers and</w:t>
      </w:r>
      <w:r>
        <w:rPr>
          <w:rFonts w:ascii="Arial" w:cs="Arial" w:eastAsia="Arial" w:hAnsi="Arial"/>
          <w:sz w:val="17"/>
          <w:szCs w:val="17"/>
          <w:color w:val="auto"/>
        </w:rPr>
        <w:t xml:space="preserve"> </w:t>
      </w:r>
      <w:r>
        <w:rPr>
          <w:rFonts w:ascii="Arial" w:cs="Arial" w:eastAsia="Arial" w:hAnsi="Arial"/>
          <w:sz w:val="17"/>
          <w:szCs w:val="17"/>
          <w:i w:val="1"/>
          <w:iCs w:val="1"/>
          <w:color w:val="auto"/>
        </w:rPr>
        <w:t>Directors</w:t>
      </w:r>
      <w:r>
        <w:rPr>
          <w:rFonts w:ascii="Arial" w:cs="Arial" w:eastAsia="Arial" w:hAnsi="Arial"/>
          <w:sz w:val="17"/>
          <w:szCs w:val="17"/>
          <w:color w:val="auto"/>
        </w:rPr>
        <w:t>” and the criteria and diversity policy described under “</w:t>
      </w:r>
      <w:r>
        <w:rPr>
          <w:rFonts w:ascii="Arial" w:cs="Arial" w:eastAsia="Arial" w:hAnsi="Arial"/>
          <w:sz w:val="17"/>
          <w:szCs w:val="17"/>
          <w:i w:val="1"/>
          <w:iCs w:val="1"/>
          <w:color w:val="auto"/>
        </w:rPr>
        <w:t>Director Nomination Process and Diversity Policy</w:t>
      </w:r>
      <w:r>
        <w:rPr>
          <w:rFonts w:ascii="Arial" w:cs="Arial" w:eastAsia="Arial" w:hAnsi="Arial"/>
          <w:sz w:val="17"/>
          <w:szCs w:val="17"/>
          <w:color w:val="auto"/>
        </w:rPr>
        <w:t>.”</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jc w:val="both"/>
        <w:ind w:left="120" w:right="20" w:firstLine="440"/>
        <w:spacing w:after="0" w:line="311" w:lineRule="auto"/>
        <w:rPr>
          <w:sz w:val="20"/>
          <w:szCs w:val="20"/>
          <w:color w:val="auto"/>
        </w:rPr>
      </w:pPr>
      <w:r>
        <w:rPr>
          <w:rFonts w:ascii="Arial" w:cs="Arial" w:eastAsia="Arial" w:hAnsi="Arial"/>
          <w:sz w:val="16"/>
          <w:szCs w:val="16"/>
          <w:color w:val="auto"/>
        </w:rPr>
        <w:t>Under Delaware law and our amended and restated bylaws, if a quorum exists at the meeting, the affirmative vote of a plurality of the votes cast at the meeting is required for the election of Class II directors, subject to our majority voting policy described under “</w:t>
      </w:r>
      <w:r>
        <w:rPr>
          <w:rFonts w:ascii="Arial" w:cs="Arial" w:eastAsia="Arial" w:hAnsi="Arial"/>
          <w:sz w:val="16"/>
          <w:szCs w:val="16"/>
          <w:i w:val="1"/>
          <w:iCs w:val="1"/>
          <w:color w:val="auto"/>
        </w:rPr>
        <w:t>Majority Voting Policy</w:t>
      </w:r>
      <w:r>
        <w:rPr>
          <w:rFonts w:ascii="Arial" w:cs="Arial" w:eastAsia="Arial" w:hAnsi="Arial"/>
          <w:sz w:val="16"/>
          <w:szCs w:val="16"/>
          <w:color w:val="auto"/>
        </w:rPr>
        <w:t>.” This means that the two nominees receiving the largest number of “FOR” votes will be elected as Class II directors. We do not have cumulative voting.</w:t>
      </w:r>
    </w:p>
    <w:p>
      <w:pPr>
        <w:spacing w:after="0" w:line="25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Majority Voting Policy</w:t>
      </w:r>
    </w:p>
    <w:p>
      <w:pPr>
        <w:spacing w:after="0" w:line="121" w:lineRule="exact"/>
        <w:rPr>
          <w:sz w:val="20"/>
          <w:szCs w:val="20"/>
          <w:color w:val="auto"/>
        </w:rPr>
      </w:pPr>
    </w:p>
    <w:p>
      <w:pPr>
        <w:ind w:left="120" w:right="280" w:firstLine="440"/>
        <w:spacing w:after="0" w:line="257" w:lineRule="auto"/>
        <w:rPr>
          <w:sz w:val="20"/>
          <w:szCs w:val="20"/>
          <w:color w:val="auto"/>
        </w:rPr>
      </w:pPr>
      <w:r>
        <w:rPr>
          <w:rFonts w:ascii="Arial" w:cs="Arial" w:eastAsia="Arial" w:hAnsi="Arial"/>
          <w:sz w:val="18"/>
          <w:szCs w:val="18"/>
          <w:color w:val="auto"/>
        </w:rPr>
        <w:t>Our Board has adopted a majority voting policy, providing that in the case of an uncontested election of directors in which a director nominee does not receive votes affirmatively cast “FOR” his or her election or re-election in excess of 50% of the number of votes cast with respect to that nominee’s election or re-election (a “</w:t>
      </w:r>
      <w:r>
        <w:rPr>
          <w:rFonts w:ascii="Arial" w:cs="Arial" w:eastAsia="Arial" w:hAnsi="Arial"/>
          <w:sz w:val="18"/>
          <w:szCs w:val="18"/>
          <w:b w:val="1"/>
          <w:bCs w:val="1"/>
          <w:i w:val="1"/>
          <w:iCs w:val="1"/>
          <w:color w:val="auto"/>
        </w:rPr>
        <w:t>Majority Vote</w:t>
      </w:r>
      <w:r>
        <w:rPr>
          <w:rFonts w:ascii="Arial" w:cs="Arial" w:eastAsia="Arial" w:hAnsi="Arial"/>
          <w:sz w:val="18"/>
          <w:szCs w:val="18"/>
          <w:color w:val="auto"/>
        </w:rPr>
        <w:t>”), that director will tender his or her resignation, with the resignation expressly stating that it is contingent upon the acceptance of the resignation by the Board in accordance with the majority voting policy, which the Board may, in its discretion, elect to accept.</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60" w:right="1620"/>
        <w:spacing w:after="0" w:line="259" w:lineRule="auto"/>
        <w:rPr>
          <w:sz w:val="20"/>
          <w:szCs w:val="20"/>
          <w:color w:val="auto"/>
        </w:rPr>
      </w:pPr>
      <w:r>
        <w:rPr>
          <w:rFonts w:ascii="Arial" w:cs="Arial" w:eastAsia="Arial" w:hAnsi="Arial"/>
          <w:sz w:val="18"/>
          <w:szCs w:val="18"/>
          <w:b w:val="1"/>
          <w:bCs w:val="1"/>
          <w:i w:val="1"/>
          <w:iCs w:val="1"/>
          <w:color w:val="auto"/>
        </w:rPr>
        <w:t>THE BOARD OF DIRECTORS UNANIMOUSLY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EACH OF THE DIRECTOR NOMINEES IN THIS PROPOSAL 1, AND PROXIES SOLICITED BY THE BOARD WILL BE VOTED IN FAVOR OF SUCH NOMINEES, UNLESS A STOCKHOLDER INDICATES OTHERWISE ON THE PROXY.</w:t>
      </w:r>
    </w:p>
    <w:p>
      <w:pPr>
        <w:spacing w:after="0" w:line="11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20"/>
          </w:cols>
          <w:pgMar w:left="320" w:top="459" w:right="45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CORPORATE GOVERNANCE</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Officers and Directors</w:t>
      </w:r>
    </w:p>
    <w:p>
      <w:pPr>
        <w:spacing w:after="0" w:line="121"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following table sets forth information regarding our current executive officers and directors, including their ages as of the date of this proxy statement.</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3160" w:type="dxa"/>
            <w:vAlign w:val="bottom"/>
            <w:tcBorders>
              <w:left w:val="single" w:sz="8" w:color="91BCFC"/>
            </w:tcBorders>
            <w:shd w:val="clear" w:color="auto" w:fill="5EB5FC"/>
          </w:tcPr>
          <w:p>
            <w:pPr>
              <w:ind w:left="1480"/>
              <w:spacing w:after="0"/>
              <w:rPr>
                <w:sz w:val="20"/>
                <w:szCs w:val="20"/>
                <w:color w:val="auto"/>
              </w:rPr>
            </w:pPr>
            <w:r>
              <w:rPr>
                <w:rFonts w:ascii="Arial" w:cs="Arial" w:eastAsia="Arial" w:hAnsi="Arial"/>
                <w:sz w:val="14"/>
                <w:szCs w:val="14"/>
                <w:b w:val="1"/>
                <w:bCs w:val="1"/>
                <w:color w:val="FFFFFF"/>
              </w:rPr>
              <w:t>Name</w:t>
            </w:r>
          </w:p>
        </w:tc>
        <w:tc>
          <w:tcPr>
            <w:tcW w:w="520" w:type="dxa"/>
            <w:vAlign w:val="bottom"/>
            <w:shd w:val="clear" w:color="auto" w:fill="5EB5FC"/>
          </w:tcPr>
          <w:p>
            <w:pPr>
              <w:jc w:val="right"/>
              <w:ind w:right="91"/>
              <w:spacing w:after="0"/>
              <w:rPr>
                <w:sz w:val="20"/>
                <w:szCs w:val="20"/>
                <w:color w:val="auto"/>
              </w:rPr>
            </w:pPr>
            <w:r>
              <w:rPr>
                <w:rFonts w:ascii="Arial" w:cs="Arial" w:eastAsia="Arial" w:hAnsi="Arial"/>
                <w:sz w:val="14"/>
                <w:szCs w:val="14"/>
                <w:b w:val="1"/>
                <w:bCs w:val="1"/>
                <w:color w:val="FFFFFF"/>
              </w:rPr>
              <w:t>Age</w:t>
            </w:r>
          </w:p>
        </w:tc>
        <w:tc>
          <w:tcPr>
            <w:tcW w:w="7360" w:type="dxa"/>
            <w:vAlign w:val="bottom"/>
            <w:tcBorders>
              <w:right w:val="single" w:sz="8" w:color="91BCFC"/>
            </w:tcBorders>
            <w:shd w:val="clear" w:color="auto" w:fill="5EB5FC"/>
          </w:tcPr>
          <w:p>
            <w:pPr>
              <w:ind w:left="3420"/>
              <w:spacing w:after="0"/>
              <w:rPr>
                <w:sz w:val="20"/>
                <w:szCs w:val="20"/>
                <w:color w:val="auto"/>
              </w:rPr>
            </w:pPr>
            <w:r>
              <w:rPr>
                <w:rFonts w:ascii="Arial" w:cs="Arial" w:eastAsia="Arial" w:hAnsi="Arial"/>
                <w:sz w:val="14"/>
                <w:szCs w:val="14"/>
                <w:b w:val="1"/>
                <w:bCs w:val="1"/>
                <w:color w:val="FFFFFF"/>
              </w:rPr>
              <w:t>Position</w:t>
            </w: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Brian Markison</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60</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Non-Executive Chairman of the Board of Directors</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Mary Anne Heino</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60</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President and Chief Executive Officer; Director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James C. Clemmer</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55</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Director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Samuel Leno</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74</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Director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Julie McHugh</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55</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Director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Gary J. Pruden</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58</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Director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Kenneth J. Pucel</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53</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Director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Dr. Frederick Robertson</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64</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Director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Dr. Derace Schaffer</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72</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Director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Dr. James H. Thrall</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76</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Director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Robert J. Marshall, Jr.</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53</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Chief Financial Officer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John Bolla</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50</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Chief Operations Officer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Paul Blanchfield</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39</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Chief Commercial Officer</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Dr. Istvan Molnar</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53</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Chief Medical Officer</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Michael P. Duffy</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59</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Senior Vice President, Law and Public Policy and General Counsel</w:t>
            </w:r>
          </w:p>
        </w:tc>
      </w:tr>
      <w:tr>
        <w:trPr>
          <w:trHeight w:val="270"/>
        </w:trPr>
        <w:tc>
          <w:tcPr>
            <w:tcW w:w="316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Etienne Montagut</w:t>
            </w:r>
          </w:p>
        </w:tc>
        <w:tc>
          <w:tcPr>
            <w:tcW w:w="520" w:type="dxa"/>
            <w:vAlign w:val="bottom"/>
          </w:tcPr>
          <w:p>
            <w:pPr>
              <w:jc w:val="right"/>
              <w:ind w:right="91"/>
              <w:spacing w:after="0"/>
              <w:rPr>
                <w:sz w:val="20"/>
                <w:szCs w:val="20"/>
                <w:color w:val="auto"/>
              </w:rPr>
            </w:pPr>
            <w:r>
              <w:rPr>
                <w:rFonts w:ascii="Arial" w:cs="Arial" w:eastAsia="Arial" w:hAnsi="Arial"/>
                <w:sz w:val="18"/>
                <w:szCs w:val="18"/>
                <w:color w:val="auto"/>
              </w:rPr>
              <w:t>45</w:t>
            </w:r>
          </w:p>
        </w:tc>
        <w:tc>
          <w:tcPr>
            <w:tcW w:w="7360" w:type="dxa"/>
            <w:vAlign w:val="bottom"/>
            <w:tcBorders>
              <w:right w:val="single" w:sz="8" w:color="91BCFC"/>
            </w:tcBorders>
          </w:tcPr>
          <w:p>
            <w:pPr>
              <w:ind w:left="180"/>
              <w:spacing w:after="0"/>
              <w:rPr>
                <w:sz w:val="20"/>
                <w:szCs w:val="20"/>
                <w:color w:val="auto"/>
              </w:rPr>
            </w:pPr>
            <w:r>
              <w:rPr>
                <w:rFonts w:ascii="Arial" w:cs="Arial" w:eastAsia="Arial" w:hAnsi="Arial"/>
                <w:sz w:val="18"/>
                <w:szCs w:val="18"/>
                <w:color w:val="auto"/>
              </w:rPr>
              <w:t>Senior Vice President, Corporate Development</w:t>
            </w:r>
          </w:p>
        </w:tc>
      </w:tr>
      <w:tr>
        <w:trPr>
          <w:trHeight w:val="54"/>
        </w:trPr>
        <w:tc>
          <w:tcPr>
            <w:tcW w:w="3160" w:type="dxa"/>
            <w:vAlign w:val="bottom"/>
            <w:tcBorders>
              <w:left w:val="single" w:sz="8" w:color="91BCFC"/>
            </w:tcBorders>
          </w:tcPr>
          <w:p>
            <w:pPr>
              <w:spacing w:after="0"/>
              <w:rPr>
                <w:sz w:val="4"/>
                <w:szCs w:val="4"/>
                <w:color w:val="auto"/>
              </w:rPr>
            </w:pPr>
          </w:p>
        </w:tc>
        <w:tc>
          <w:tcPr>
            <w:tcW w:w="520" w:type="dxa"/>
            <w:vAlign w:val="bottom"/>
          </w:tcPr>
          <w:p>
            <w:pPr>
              <w:spacing w:after="0"/>
              <w:rPr>
                <w:sz w:val="4"/>
                <w:szCs w:val="4"/>
                <w:color w:val="auto"/>
              </w:rPr>
            </w:pPr>
          </w:p>
        </w:tc>
        <w:tc>
          <w:tcPr>
            <w:tcW w:w="7360" w:type="dxa"/>
            <w:vAlign w:val="bottom"/>
            <w:tcBorders>
              <w:right w:val="single" w:sz="8" w:color="91BCFC"/>
            </w:tcBorders>
          </w:tcPr>
          <w:p>
            <w:pPr>
              <w:spacing w:after="0"/>
              <w:rPr>
                <w:sz w:val="4"/>
                <w:szCs w:val="4"/>
                <w:color w:val="auto"/>
              </w:rPr>
            </w:pPr>
          </w:p>
        </w:tc>
      </w:tr>
      <w:tr>
        <w:trPr>
          <w:trHeight w:val="304"/>
        </w:trPr>
        <w:tc>
          <w:tcPr>
            <w:tcW w:w="3160" w:type="dxa"/>
            <w:vAlign w:val="bottom"/>
            <w:tcBorders>
              <w:left w:val="single" w:sz="8" w:color="91BCFC"/>
              <w:bottom w:val="single" w:sz="8" w:color="DDEDFC"/>
            </w:tcBorders>
            <w:shd w:val="clear" w:color="auto" w:fill="DDEDFC"/>
          </w:tcPr>
          <w:p>
            <w:pPr>
              <w:ind w:left="240"/>
              <w:spacing w:after="0"/>
              <w:rPr>
                <w:sz w:val="20"/>
                <w:szCs w:val="20"/>
                <w:color w:val="auto"/>
              </w:rPr>
            </w:pPr>
            <w:r>
              <w:rPr>
                <w:rFonts w:ascii="Arial" w:cs="Arial" w:eastAsia="Arial" w:hAnsi="Arial"/>
                <w:sz w:val="18"/>
                <w:szCs w:val="18"/>
                <w:color w:val="auto"/>
              </w:rPr>
              <w:t>Carol Walker</w:t>
            </w:r>
          </w:p>
        </w:tc>
        <w:tc>
          <w:tcPr>
            <w:tcW w:w="520" w:type="dxa"/>
            <w:vAlign w:val="bottom"/>
            <w:tcBorders>
              <w:bottom w:val="single" w:sz="8" w:color="DDEDFC"/>
            </w:tcBorders>
            <w:shd w:val="clear" w:color="auto" w:fill="DDEDFC"/>
          </w:tcPr>
          <w:p>
            <w:pPr>
              <w:jc w:val="right"/>
              <w:ind w:right="91"/>
              <w:spacing w:after="0"/>
              <w:rPr>
                <w:sz w:val="20"/>
                <w:szCs w:val="20"/>
                <w:color w:val="auto"/>
              </w:rPr>
            </w:pPr>
            <w:r>
              <w:rPr>
                <w:rFonts w:ascii="Arial" w:cs="Arial" w:eastAsia="Arial" w:hAnsi="Arial"/>
                <w:sz w:val="18"/>
                <w:szCs w:val="18"/>
                <w:color w:val="auto"/>
              </w:rPr>
              <w:t>57</w:t>
            </w:r>
          </w:p>
        </w:tc>
        <w:tc>
          <w:tcPr>
            <w:tcW w:w="7360" w:type="dxa"/>
            <w:vAlign w:val="bottom"/>
            <w:tcBorders>
              <w:bottom w:val="single" w:sz="8" w:color="DDEDFC"/>
              <w:right w:val="single" w:sz="8" w:color="91BCFC"/>
            </w:tcBorders>
            <w:shd w:val="clear" w:color="auto" w:fill="DDEDFC"/>
          </w:tcPr>
          <w:p>
            <w:pPr>
              <w:ind w:left="180"/>
              <w:spacing w:after="0"/>
              <w:rPr>
                <w:sz w:val="20"/>
                <w:szCs w:val="20"/>
                <w:color w:val="auto"/>
              </w:rPr>
            </w:pPr>
            <w:r>
              <w:rPr>
                <w:rFonts w:ascii="Arial" w:cs="Arial" w:eastAsia="Arial" w:hAnsi="Arial"/>
                <w:sz w:val="18"/>
                <w:szCs w:val="18"/>
                <w:color w:val="auto"/>
              </w:rPr>
              <w:t>Senior Vice President, Quality</w:t>
            </w:r>
          </w:p>
        </w:tc>
      </w:tr>
      <w:tr>
        <w:trPr>
          <w:trHeight w:val="20"/>
        </w:trPr>
        <w:tc>
          <w:tcPr>
            <w:tcW w:w="3160" w:type="dxa"/>
            <w:vAlign w:val="bottom"/>
            <w:tcBorders>
              <w:left w:val="single" w:sz="8" w:color="91BCFC"/>
            </w:tcBorders>
            <w:shd w:val="clear" w:color="auto" w:fill="91BCFC"/>
          </w:tcPr>
          <w:p>
            <w:pPr>
              <w:spacing w:after="0" w:line="20" w:lineRule="exact"/>
              <w:rPr>
                <w:sz w:val="1"/>
                <w:szCs w:val="1"/>
                <w:color w:val="auto"/>
              </w:rPr>
            </w:pPr>
          </w:p>
        </w:tc>
        <w:tc>
          <w:tcPr>
            <w:tcW w:w="520" w:type="dxa"/>
            <w:vAlign w:val="bottom"/>
            <w:shd w:val="clear" w:color="auto" w:fill="91BCFC"/>
          </w:tcPr>
          <w:p>
            <w:pPr>
              <w:spacing w:after="0" w:line="20" w:lineRule="exact"/>
              <w:rPr>
                <w:sz w:val="1"/>
                <w:szCs w:val="1"/>
                <w:color w:val="auto"/>
              </w:rPr>
            </w:pPr>
          </w:p>
        </w:tc>
        <w:tc>
          <w:tcPr>
            <w:tcW w:w="7360" w:type="dxa"/>
            <w:vAlign w:val="bottom"/>
            <w:tcBorders>
              <w:right w:val="single" w:sz="8" w:color="91BCFC"/>
            </w:tcBorders>
            <w:shd w:val="clear" w:color="auto" w:fill="91BCFC"/>
          </w:tcPr>
          <w:p>
            <w:pPr>
              <w:spacing w:after="0" w:line="20" w:lineRule="exact"/>
              <w:rPr>
                <w:sz w:val="1"/>
                <w:szCs w:val="1"/>
                <w:color w:val="auto"/>
              </w:rPr>
            </w:pPr>
          </w:p>
        </w:tc>
      </w:tr>
    </w:tbl>
    <w:p>
      <w:pPr>
        <w:spacing w:after="0" w:line="198" w:lineRule="exact"/>
        <w:rPr>
          <w:sz w:val="20"/>
          <w:szCs w:val="20"/>
          <w:color w:val="auto"/>
        </w:rPr>
      </w:pPr>
    </w:p>
    <w:p>
      <w:pPr>
        <w:ind w:left="120" w:firstLine="440"/>
        <w:spacing w:after="0" w:line="286" w:lineRule="auto"/>
        <w:rPr>
          <w:sz w:val="20"/>
          <w:szCs w:val="20"/>
          <w:color w:val="auto"/>
        </w:rPr>
      </w:pPr>
      <w:r>
        <w:rPr>
          <w:rFonts w:ascii="Arial" w:cs="Arial" w:eastAsia="Arial" w:hAnsi="Arial"/>
          <w:sz w:val="16"/>
          <w:szCs w:val="16"/>
          <w:b w:val="1"/>
          <w:bCs w:val="1"/>
          <w:color w:val="auto"/>
        </w:rPr>
        <w:t xml:space="preserve">Brian Markison </w:t>
      </w:r>
      <w:r>
        <w:rPr>
          <w:rFonts w:ascii="Arial" w:cs="Arial" w:eastAsia="Arial" w:hAnsi="Arial"/>
          <w:sz w:val="16"/>
          <w:szCs w:val="16"/>
          <w:color w:val="auto"/>
        </w:rPr>
        <w:t>is the Non-Executive Chairman of the Board and Chair of the Financing and Strategy Committee. Mr. Markison joined the</w:t>
      </w:r>
      <w:r>
        <w:rPr>
          <w:rFonts w:ascii="Arial" w:cs="Arial" w:eastAsia="Arial" w:hAnsi="Arial"/>
          <w:sz w:val="16"/>
          <w:szCs w:val="16"/>
          <w:b w:val="1"/>
          <w:bCs w:val="1"/>
          <w:color w:val="auto"/>
        </w:rPr>
        <w:t xml:space="preserve"> </w:t>
      </w:r>
      <w:r>
        <w:rPr>
          <w:rFonts w:ascii="Arial" w:cs="Arial" w:eastAsia="Arial" w:hAnsi="Arial"/>
          <w:sz w:val="16"/>
          <w:szCs w:val="16"/>
          <w:color w:val="auto"/>
        </w:rPr>
        <w:t>Board in September 2012 and was elevated to Chairman in January 2013. Mr. Markison has been a Healthcare Industry Executive for Avista Capital Partners since September 2012. Mr. Markison is a seasoned executive with more than 30 years of operational, marketing, commercial development and sales experience with international pharmaceutical companies. He is currently the Chairman of the Board and Chief Executive Officer of Osmotica Holdings, S.C.Sp., after serving as Executive Chairman of one of its predecessor companies, Vertical/Trigen Holdings, LLC. Previously, he held the position of President and Chief Executive Officer and member of the Board of Directors of Fougera Pharmaceuticals Inc., a specialty pharmaceutical company in dermatology, prior to its sale to Sandoz, the generics division of Novartis AG. Before leading Fougera, Mr. Markison was Chairman and Chief Executive Officer of King Pharmaceuticals, which he joined as Chief Operating Officer in March 2004, and was promoted to President and Chief Executive Officer later that year and elected Chairman in 2007. Prior to joining King, Mr. Markison held various senior leadership positions at Bristol-Meyers Squibb, including President of Oncology, Virology and Oncology Therapeutics Network; President of Neuroscience, Infectious Disease and Dermatology; and Senior Vice President, Operational Excellence and Productivity. Mr. Markison also serves on the Board of Directors of National Spine Centers LLC, on the Board of Directors of Braeburn Pharmaceuticals, and on the Board of Directors of Cosette Pharmaceuticals. He is also a Director of the College of New Jersey. Mr. Markison holds a Bachelor of Science degree from Iona College. Mr. Markison was chosen as a Director because of his strong commercial and operational management background and extensive experience in the pharmaceutical industry.</w:t>
      </w:r>
    </w:p>
    <w:p>
      <w:pPr>
        <w:spacing w:after="0" w:line="10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40"/>
          </w:cols>
          <w:pgMar w:left="320" w:top="459" w:right="4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20" w:firstLine="440"/>
        <w:spacing w:after="0" w:line="288" w:lineRule="auto"/>
        <w:rPr>
          <w:sz w:val="20"/>
          <w:szCs w:val="20"/>
          <w:color w:val="auto"/>
        </w:rPr>
      </w:pPr>
      <w:r>
        <w:rPr>
          <w:rFonts w:ascii="Arial" w:cs="Arial" w:eastAsia="Arial" w:hAnsi="Arial"/>
          <w:sz w:val="16"/>
          <w:szCs w:val="16"/>
          <w:b w:val="1"/>
          <w:bCs w:val="1"/>
          <w:color w:val="auto"/>
        </w:rPr>
        <w:t xml:space="preserve">Mary Anne Heino </w:t>
      </w:r>
      <w:r>
        <w:rPr>
          <w:rFonts w:ascii="Arial" w:cs="Arial" w:eastAsia="Arial" w:hAnsi="Arial"/>
          <w:sz w:val="16"/>
          <w:szCs w:val="16"/>
          <w:color w:val="auto"/>
        </w:rPr>
        <w:t>has served as our President and Chief Executive Officer and as a Director since August 2015. She previously served as our</w:t>
      </w:r>
      <w:r>
        <w:rPr>
          <w:rFonts w:ascii="Arial" w:cs="Arial" w:eastAsia="Arial" w:hAnsi="Arial"/>
          <w:sz w:val="16"/>
          <w:szCs w:val="16"/>
          <w:b w:val="1"/>
          <w:bCs w:val="1"/>
          <w:color w:val="auto"/>
        </w:rPr>
        <w:t xml:space="preserve"> </w:t>
      </w:r>
      <w:r>
        <w:rPr>
          <w:rFonts w:ascii="Arial" w:cs="Arial" w:eastAsia="Arial" w:hAnsi="Arial"/>
          <w:sz w:val="16"/>
          <w:szCs w:val="16"/>
          <w:color w:val="auto"/>
        </w:rPr>
        <w:t>Chief Operating Officer, a position she held from March 2015 until August 2015, and as our Chief Commercial Officer, a position she held from April 2013 (when she joined the Company) until March 2015. Ms. Heino brings 30 years of diverse pharmaceutical industry experience to the Board. Prior to joining Lantheus, Ms. Heino led Angelini Labopharm LLC and Labopharm USA in the roles of President and Senior Vice President of World Wide Sales and Marketing from February 2007 to March 2012. From May 2000 until February 2007, Ms. Heino served in numerous capacities at Centocor, Inc., a Johnson &amp; Johnson (“</w:t>
      </w:r>
      <w:r>
        <w:rPr>
          <w:rFonts w:ascii="Arial" w:cs="Arial" w:eastAsia="Arial" w:hAnsi="Arial"/>
          <w:sz w:val="16"/>
          <w:szCs w:val="16"/>
          <w:b w:val="1"/>
          <w:bCs w:val="1"/>
          <w:i w:val="1"/>
          <w:iCs w:val="1"/>
          <w:color w:val="auto"/>
        </w:rPr>
        <w:t>J&amp;J</w:t>
      </w:r>
      <w:r>
        <w:rPr>
          <w:rFonts w:ascii="Arial" w:cs="Arial" w:eastAsia="Arial" w:hAnsi="Arial"/>
          <w:sz w:val="16"/>
          <w:szCs w:val="16"/>
          <w:color w:val="auto"/>
        </w:rPr>
        <w:t>”) company. Ms. Heino began her professional career with Janssen Pharmaceutica, another J&amp;J company, in June 1989 and worked her way up to the role of Field Sales Director in 1999. Ms. Heino received her Master in Business Administration from the Stern School of Business at New York University. She earned a Bachelor of Science in Nursing from the City University of New York and a Bachelor of Science in Biology from the State University of New York at Stony Brook. Ms. Heino currently serves on the Executive Committee of the Massachusetts Business Roundtable and the Board of MassMEDIC. Ms. Heino was chosen as a Director because of her role as President and Chief Executive Officer, which gives her an extensive understanding of our business and operations, and because of her strong commercial experience in the pharmaceutical industry.</w:t>
      </w:r>
    </w:p>
    <w:p>
      <w:pPr>
        <w:spacing w:after="0" w:line="163" w:lineRule="exact"/>
        <w:rPr>
          <w:sz w:val="20"/>
          <w:szCs w:val="20"/>
          <w:color w:val="auto"/>
        </w:rPr>
      </w:pPr>
    </w:p>
    <w:p>
      <w:pPr>
        <w:ind w:left="120" w:right="20" w:firstLine="440"/>
        <w:spacing w:after="0" w:line="271" w:lineRule="auto"/>
        <w:rPr>
          <w:sz w:val="20"/>
          <w:szCs w:val="20"/>
          <w:color w:val="auto"/>
        </w:rPr>
      </w:pPr>
      <w:r>
        <w:rPr>
          <w:rFonts w:ascii="Arial" w:cs="Arial" w:eastAsia="Arial" w:hAnsi="Arial"/>
          <w:sz w:val="17"/>
          <w:szCs w:val="17"/>
          <w:b w:val="1"/>
          <w:bCs w:val="1"/>
          <w:color w:val="auto"/>
        </w:rPr>
        <w:t xml:space="preserve">James C. Clemmer </w:t>
      </w:r>
      <w:r>
        <w:rPr>
          <w:rFonts w:ascii="Arial" w:cs="Arial" w:eastAsia="Arial" w:hAnsi="Arial"/>
          <w:sz w:val="17"/>
          <w:szCs w:val="17"/>
          <w:color w:val="auto"/>
        </w:rPr>
        <w:t>is a Director and a member of the Audit Committee and the Compensation Committee, serving on the Board since July 2015.</w:t>
      </w:r>
      <w:r>
        <w:rPr>
          <w:rFonts w:ascii="Arial" w:cs="Arial" w:eastAsia="Arial" w:hAnsi="Arial"/>
          <w:sz w:val="17"/>
          <w:szCs w:val="17"/>
          <w:b w:val="1"/>
          <w:bCs w:val="1"/>
          <w:color w:val="auto"/>
        </w:rPr>
        <w:t xml:space="preserve"> </w:t>
      </w:r>
      <w:r>
        <w:rPr>
          <w:rFonts w:ascii="Arial" w:cs="Arial" w:eastAsia="Arial" w:hAnsi="Arial"/>
          <w:sz w:val="17"/>
          <w:szCs w:val="17"/>
          <w:color w:val="auto"/>
        </w:rPr>
        <w:t>He is a seasoned industry executive with more than 25 years of operational, manufacturing, marketing and business development experience with global healthcare product companies. Mr. Clemmer is President, Chief Executive Officer and a Director of AngioDynamics, Inc., a medical device manufacturer based in Latham, New York. He previously served as President of the Medical Supplies segment at Covidien plc, directing strategic and day-to-day operations for global business divisions that collectively manufactured 23 different product categories. In addition, Mr. Clemmer managed global manufacturing, research and development, operational excellence, business development and all other functions associated with the Medical Supplies business. Mr. Clemmer is a graduate of the Massachusetts College of Liberal Arts. Mr. Clemmer served as a trustee to the college and as Interim President. Mr. Clemmer was chosen as a Director because of his strong commercial and operational management background and extensive experience in the healthcare industry.</w:t>
      </w:r>
    </w:p>
    <w:p>
      <w:pPr>
        <w:spacing w:after="0" w:line="174" w:lineRule="exact"/>
        <w:rPr>
          <w:sz w:val="20"/>
          <w:szCs w:val="20"/>
          <w:color w:val="auto"/>
        </w:rPr>
      </w:pPr>
    </w:p>
    <w:p>
      <w:pPr>
        <w:ind w:left="120" w:firstLine="440"/>
        <w:spacing w:after="0" w:line="269" w:lineRule="auto"/>
        <w:rPr>
          <w:sz w:val="20"/>
          <w:szCs w:val="20"/>
          <w:color w:val="auto"/>
        </w:rPr>
      </w:pPr>
      <w:r>
        <w:rPr>
          <w:rFonts w:ascii="Arial" w:cs="Arial" w:eastAsia="Arial" w:hAnsi="Arial"/>
          <w:sz w:val="17"/>
          <w:szCs w:val="17"/>
          <w:b w:val="1"/>
          <w:bCs w:val="1"/>
          <w:color w:val="auto"/>
        </w:rPr>
        <w:t xml:space="preserve">Samuel Leno </w:t>
      </w:r>
      <w:r>
        <w:rPr>
          <w:rFonts w:ascii="Arial" w:cs="Arial" w:eastAsia="Arial" w:hAnsi="Arial"/>
          <w:sz w:val="17"/>
          <w:szCs w:val="17"/>
          <w:color w:val="auto"/>
        </w:rPr>
        <w:t>is a Director and the Chairperson of the Audit Committee and member of the Financing and Strategy Committee, serving on the</w:t>
      </w:r>
      <w:r>
        <w:rPr>
          <w:rFonts w:ascii="Arial" w:cs="Arial" w:eastAsia="Arial" w:hAnsi="Arial"/>
          <w:sz w:val="17"/>
          <w:szCs w:val="17"/>
          <w:b w:val="1"/>
          <w:bCs w:val="1"/>
          <w:color w:val="auto"/>
        </w:rPr>
        <w:t xml:space="preserve"> </w:t>
      </w:r>
      <w:r>
        <w:rPr>
          <w:rFonts w:ascii="Arial" w:cs="Arial" w:eastAsia="Arial" w:hAnsi="Arial"/>
          <w:sz w:val="17"/>
          <w:szCs w:val="17"/>
          <w:color w:val="auto"/>
        </w:rPr>
        <w:t>Board since May 2012. Mr. Leno is a strategic executive with more than 40 years of experience with complex multinational companies. He most recently held the positions of Executive Vice President and Chief Operations Officer at Boston Scientific. He previously served as Executive Vice President, Finance and Information Systems and Chief Financial Officer. He retired from Boston Scientific in December 2011. Prior to joining Boston Scientific, Mr. Leno served as Executive Vice President, Finance and Corporate Services and Chief Financial Officer at Zimmer Holdings, Inc. and Chief Financial Officer positions at Arrow Electronics, Inc., Corporate Express, Inc. and Coram Healthcare. Previously, he held a variety of senior financial positions at Baxter International, Inc. and American Hospital Supply Corporation. He currently serves on the Board of Directors and as Chairman of the Audit Committee of GCM Holding Corp. He was the Chairman of the Board of Directors and of the Audit Committee of Zest Dental Solutions until it was acquired in 2018. He also previously served on the Boards of Directors and the Audit Committees of Omnicare and TomoTherapy, Inc. and served on the Board of Directors of Endotronix, Inc. Mr. Leno served as a Lieutenant in the United States Navy and is a Vietnam veteran. He holds a Bachelor of Science in Accounting from Northern Illinois University and a Master of Business Administration from Roosevelt University. Mr. Leno was chosen as a Director because of his financial expertise and industry background.</w:t>
      </w:r>
    </w:p>
    <w:p>
      <w:pPr>
        <w:spacing w:after="0" w:line="179"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7"/>
          <w:szCs w:val="17"/>
          <w:b w:val="1"/>
          <w:bCs w:val="1"/>
          <w:color w:val="auto"/>
        </w:rPr>
        <w:t xml:space="preserve">Julie McHugh </w:t>
      </w:r>
      <w:r>
        <w:rPr>
          <w:rFonts w:ascii="Arial" w:cs="Arial" w:eastAsia="Arial" w:hAnsi="Arial"/>
          <w:sz w:val="17"/>
          <w:szCs w:val="17"/>
          <w:color w:val="auto"/>
        </w:rPr>
        <w:t>is a Director and the Chairperson of the Compensation Committee, serving on the Board since January 2017. Ms. McHugh brings</w:t>
      </w:r>
      <w:r>
        <w:rPr>
          <w:rFonts w:ascii="Arial" w:cs="Arial" w:eastAsia="Arial" w:hAnsi="Arial"/>
          <w:sz w:val="17"/>
          <w:szCs w:val="17"/>
          <w:b w:val="1"/>
          <w:bCs w:val="1"/>
          <w:color w:val="auto"/>
        </w:rPr>
        <w:t xml:space="preserve"> </w:t>
      </w:r>
      <w:r>
        <w:rPr>
          <w:rFonts w:ascii="Arial" w:cs="Arial" w:eastAsia="Arial" w:hAnsi="Arial"/>
          <w:sz w:val="17"/>
          <w:szCs w:val="17"/>
          <w:color w:val="auto"/>
        </w:rPr>
        <w:t>over 30 years of experience in the pharmaceutical, biotech and medical devices industries. She recently served as Chief Operating Officer of Endo Health Solutions, Inc., where she was responsible for the specialty pharmaceutical and generic drug businesses. Prior to that, Ms. McHugh was CEO of Nora Therapeutics, Inc., a venture capital backed biotech startup company focused on developing novel therapies for the treatment of infertility disorders. Previously, she served as Company Group Chairman for the worldwide</w:t>
      </w:r>
    </w:p>
    <w:p>
      <w:pPr>
        <w:spacing w:after="0" w:line="1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320" w:top="459" w:right="47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87" w:lineRule="auto"/>
        <w:rPr>
          <w:sz w:val="20"/>
          <w:szCs w:val="20"/>
          <w:color w:val="auto"/>
        </w:rPr>
      </w:pPr>
      <w:r>
        <w:rPr>
          <w:rFonts w:ascii="Arial" w:cs="Arial" w:eastAsia="Arial" w:hAnsi="Arial"/>
          <w:sz w:val="16"/>
          <w:szCs w:val="16"/>
          <w:color w:val="auto"/>
        </w:rPr>
        <w:t>virology business unit of J&amp;J, and prior to that, she was President of Centocor, Inc., a J&amp;J subsidiary. In this role, Ms. McHugh oversaw the development and launches of several products, including Remicade</w:t>
      </w:r>
      <w:r>
        <w:rPr>
          <w:rFonts w:ascii="Arial" w:cs="Arial" w:eastAsia="Arial" w:hAnsi="Arial"/>
          <w:sz w:val="13"/>
          <w:szCs w:val="13"/>
          <w:color w:val="auto"/>
        </w:rPr>
        <w:t>®</w:t>
      </w:r>
      <w:r>
        <w:rPr>
          <w:rFonts w:ascii="Arial" w:cs="Arial" w:eastAsia="Arial" w:hAnsi="Arial"/>
          <w:sz w:val="16"/>
          <w:szCs w:val="16"/>
          <w:color w:val="auto"/>
        </w:rPr>
        <w:t xml:space="preserve"> (infliximab), Prezista</w:t>
      </w:r>
      <w:r>
        <w:rPr>
          <w:rFonts w:ascii="Arial" w:cs="Arial" w:eastAsia="Arial" w:hAnsi="Arial"/>
          <w:sz w:val="13"/>
          <w:szCs w:val="13"/>
          <w:color w:val="auto"/>
        </w:rPr>
        <w:t>®</w:t>
      </w:r>
      <w:r>
        <w:rPr>
          <w:rFonts w:ascii="Arial" w:cs="Arial" w:eastAsia="Arial" w:hAnsi="Arial"/>
          <w:sz w:val="16"/>
          <w:szCs w:val="16"/>
          <w:color w:val="auto"/>
        </w:rPr>
        <w:t xml:space="preserve"> (darunavir) and Intelence</w:t>
      </w:r>
      <w:r>
        <w:rPr>
          <w:rFonts w:ascii="Arial" w:cs="Arial" w:eastAsia="Arial" w:hAnsi="Arial"/>
          <w:sz w:val="13"/>
          <w:szCs w:val="13"/>
          <w:color w:val="auto"/>
        </w:rPr>
        <w:t>®</w:t>
      </w:r>
      <w:r>
        <w:rPr>
          <w:rFonts w:ascii="Arial" w:cs="Arial" w:eastAsia="Arial" w:hAnsi="Arial"/>
          <w:sz w:val="16"/>
          <w:szCs w:val="16"/>
          <w:color w:val="auto"/>
        </w:rPr>
        <w:t xml:space="preserve"> (etravirine). Prior to joining Centocor, Ms. McHugh led the marketing communications for gastrointestinal drug Prilosec</w:t>
      </w:r>
      <w:r>
        <w:rPr>
          <w:rFonts w:ascii="Arial" w:cs="Arial" w:eastAsia="Arial" w:hAnsi="Arial"/>
          <w:sz w:val="13"/>
          <w:szCs w:val="13"/>
          <w:color w:val="auto"/>
        </w:rPr>
        <w:t>®</w:t>
      </w:r>
      <w:r>
        <w:rPr>
          <w:rFonts w:ascii="Arial" w:cs="Arial" w:eastAsia="Arial" w:hAnsi="Arial"/>
          <w:sz w:val="16"/>
          <w:szCs w:val="16"/>
          <w:color w:val="auto"/>
        </w:rPr>
        <w:t xml:space="preserve"> (omeprazole) at Astra-Merck Inc. Ms. McHugh currently serves on the Board of Directors and as a member of the Nominating and Governance Committee and Audit Committee of Aerie Pharmaceuticals, Inc., as Chairperson of the Board of Directors and as a member of the Nominating and Governance Committee and Audit Committee of Ironwood Pharmaceuticals, Inc., on the Board of Directors of New Xellia Group A/S and on the Board of Directors and as Chairperson of the Nominating and Governance Committee of Trevena Pharmaceuticals, Inc. Ms. McHugh also serves as a member of the Strategic Advisor Board for HealthCare Royalty Partners. She previously served on the Board of Directors of the Biotechnology Industry Organization, the New England Healthcare Institute, the Pennsylvania Biotechnology Association, EPIRUS Pharmaceuticals, Inc. and ViroPharma Inc. Ms. McHugh received a Master of Business Administration from St. Joseph’s University and a Bachelor of Science from Pennsylvania State University. Ms. McHugh was chosen as a Director because of her strong commercial and operational management background and extensive experience in the pharmaceutical industry.</w:t>
      </w:r>
    </w:p>
    <w:p>
      <w:pPr>
        <w:spacing w:after="0" w:line="168" w:lineRule="exact"/>
        <w:rPr>
          <w:sz w:val="20"/>
          <w:szCs w:val="20"/>
          <w:color w:val="auto"/>
        </w:rPr>
      </w:pPr>
    </w:p>
    <w:p>
      <w:pPr>
        <w:ind w:left="120" w:firstLine="440"/>
        <w:spacing w:after="0" w:line="287" w:lineRule="auto"/>
        <w:rPr>
          <w:sz w:val="20"/>
          <w:szCs w:val="20"/>
          <w:color w:val="auto"/>
        </w:rPr>
      </w:pPr>
      <w:r>
        <w:rPr>
          <w:rFonts w:ascii="Arial" w:cs="Arial" w:eastAsia="Arial" w:hAnsi="Arial"/>
          <w:sz w:val="16"/>
          <w:szCs w:val="16"/>
          <w:b w:val="1"/>
          <w:bCs w:val="1"/>
          <w:color w:val="auto"/>
        </w:rPr>
        <w:t xml:space="preserve">Gary J. Pruden </w:t>
      </w:r>
      <w:r>
        <w:rPr>
          <w:rFonts w:ascii="Arial" w:cs="Arial" w:eastAsia="Arial" w:hAnsi="Arial"/>
          <w:sz w:val="16"/>
          <w:szCs w:val="16"/>
          <w:color w:val="auto"/>
        </w:rPr>
        <w:t>is a Director and a member of the Audit Committee and the Financing and Strategy Committee, serving on the Board since</w:t>
      </w:r>
      <w:r>
        <w:rPr>
          <w:rFonts w:ascii="Arial" w:cs="Arial" w:eastAsia="Arial" w:hAnsi="Arial"/>
          <w:sz w:val="16"/>
          <w:szCs w:val="16"/>
          <w:b w:val="1"/>
          <w:bCs w:val="1"/>
          <w:color w:val="auto"/>
        </w:rPr>
        <w:t xml:space="preserve"> </w:t>
      </w:r>
      <w:r>
        <w:rPr>
          <w:rFonts w:ascii="Arial" w:cs="Arial" w:eastAsia="Arial" w:hAnsi="Arial"/>
          <w:sz w:val="16"/>
          <w:szCs w:val="16"/>
          <w:color w:val="auto"/>
        </w:rPr>
        <w:t>February 2018. Mr. Pruden has over 30 years of experience in the global healthcare industry. Most recently, Mr. Pruden held a number of senior commercial leadership positions across both the medical device and pharmaceutical sectors of J&amp;J from 1985 until 2017. In April 2016, Mr. Pruden was appointed as a member of the Executive Committee of J&amp;J, where his official title was Executive Vice President, Worldwide Chairman, Medical Devices. Prior to that, he held roles of increasing responsibility within J&amp;J, serving as Worldwide Chairman in the Medical Devices division from 2015 to 2016, as Worldwide Chairman of Global Surgery Group from 2012 to 2015, as Company Group Chairman of Ethicon, Inc. from 2009 to 2012, as Worldwide President of Ethicon, Inc., a J&amp;J subsidiary, from 2006 to 2009, and as President of the J&amp;J subsidiary, Janssen-Ortho Inc. in Canada, from 2004 to 2006. Mr. Pruden has also served in several capacities, including Chairman of Technology &amp; Regulatory Committee and Executive Committee Member, with the Advanced Medical Technology Association, a medical device trade association. Mr. Pruden currently serves on the Board of Directors and as a member of the Audit Committee and Compensation Committee of Motus GI Holdings, Inc. Mr. Pruden received his Bachelor of Science in Finance at Rider University, where he later served on the Board of Trustees from 2011 until 2015. Mr. Pruden was selected as a Director because of his strong financial, operational management, international and regulatory background and his extensive experience in the global pharmaceutical industry.</w:t>
      </w:r>
    </w:p>
    <w:p>
      <w:pPr>
        <w:spacing w:after="0" w:line="168"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b w:val="1"/>
          <w:bCs w:val="1"/>
          <w:color w:val="auto"/>
        </w:rPr>
        <w:t xml:space="preserve">Kenneth J. Pucel </w:t>
      </w:r>
      <w:r>
        <w:rPr>
          <w:rFonts w:ascii="Arial" w:cs="Arial" w:eastAsia="Arial" w:hAnsi="Arial"/>
          <w:sz w:val="16"/>
          <w:szCs w:val="16"/>
          <w:color w:val="auto"/>
        </w:rPr>
        <w:t>is a Director and a member of the Compensation Committee, serving on the Board since February 2018. Mr. Pucel has been an</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Vice President of Global Operations, Engineering &amp; Lean, at Polaris Industries Inc. since December 1, 2014. There, Mr. Pucel is responsible for Polaris manufacturing operations, including production, quality and safety, supply chain, and logistics for Polaris. He is also responsible for Research and Development for Polaris Off-Road, On-Road, Commercial, Government and Defense vehicles, as well as for Polaris’ IT and Services organization. Previously, Mr. Pucel was with Boston Scientific, a global provider of medical solutions, where he held positions of increasing responsibility, most recently as Executive Vice President of Global Operations, Quality, Technology and Corporate Research from 2012 through 2014, and as a member of Boston Scientific’s Executive Committee from 2004 through 2014. Mr. Pucel holds a Bachelor of Science in Mechanical Engineering with a focus on Biomedical Engineering from the University of Minnesota. Mr. Pucel was selected as a Director because of his strong operational management background and extensive experience in manufacturing, supply chains, distribution and product development.</w:t>
      </w:r>
    </w:p>
    <w:p>
      <w:pPr>
        <w:spacing w:after="0" w:line="166" w:lineRule="exact"/>
        <w:rPr>
          <w:sz w:val="20"/>
          <w:szCs w:val="20"/>
          <w:color w:val="auto"/>
        </w:rPr>
      </w:pPr>
    </w:p>
    <w:p>
      <w:pPr>
        <w:ind w:left="120" w:right="60" w:firstLine="440"/>
        <w:spacing w:after="0" w:line="314" w:lineRule="auto"/>
        <w:rPr>
          <w:sz w:val="20"/>
          <w:szCs w:val="20"/>
          <w:color w:val="auto"/>
        </w:rPr>
      </w:pPr>
      <w:r>
        <w:rPr>
          <w:rFonts w:ascii="Arial" w:cs="Arial" w:eastAsia="Arial" w:hAnsi="Arial"/>
          <w:sz w:val="16"/>
          <w:szCs w:val="16"/>
          <w:b w:val="1"/>
          <w:bCs w:val="1"/>
          <w:color w:val="auto"/>
        </w:rPr>
        <w:t xml:space="preserve">Dr. Frederick Robertson </w:t>
      </w:r>
      <w:r>
        <w:rPr>
          <w:rFonts w:ascii="Arial" w:cs="Arial" w:eastAsia="Arial" w:hAnsi="Arial"/>
          <w:sz w:val="16"/>
          <w:szCs w:val="16"/>
          <w:color w:val="auto"/>
        </w:rPr>
        <w:t>is a Director and a member of the Audit Committee and the Chairperson of the Nominating and Corporate Governance</w:t>
      </w:r>
      <w:r>
        <w:rPr>
          <w:rFonts w:ascii="Arial" w:cs="Arial" w:eastAsia="Arial" w:hAnsi="Arial"/>
          <w:sz w:val="16"/>
          <w:szCs w:val="16"/>
          <w:b w:val="1"/>
          <w:bCs w:val="1"/>
          <w:color w:val="auto"/>
        </w:rPr>
        <w:t xml:space="preserve"> </w:t>
      </w:r>
      <w:r>
        <w:rPr>
          <w:rFonts w:ascii="Arial" w:cs="Arial" w:eastAsia="Arial" w:hAnsi="Arial"/>
          <w:sz w:val="16"/>
          <w:szCs w:val="16"/>
          <w:color w:val="auto"/>
        </w:rPr>
        <w:t>Committee, serving on the Board since March 2016. Dr. Robertson has been a Venture Partner at Baird Capital since 2011 and retired from the Anesthesiology Faculty at the University of Wisconsin School of Medicine and Public Health in 2018. Previously, Dr. Robertson held the role of Chief</w:t>
      </w:r>
    </w:p>
    <w:p>
      <w:pPr>
        <w:spacing w:after="0" w:line="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Executive Officer and Director of TomoTherapy Inc. before that company was acquired in 2011. Prior to joining TomoTherapy, Dr. Robertson served in a variety of roles in the medical field, including President and Chief Executive Officer of GE Marquette Medical Systems and later as Chief Clinical Officer of GE Medical Systems, as well as management positions with Marquette Medical Systems, including President and Chief Executive Officer. He serves on the Board of Directors of the University of Wisconsin Foundation, the Morgridge Institute for Research, Alpha Source, Inc. and Zurex Pharma, Inc. Dr. Robertson is a National Association of Corporate Directors Board Leadership fellow, received his Master of Business Administration from San Diego State University and earned his M.D. from University of Wisconsin Medical School. Dr. Robertson was chosen as a Director because of his extensive experience as a physician and as an executive, board member and investor in companies across the healthcare industry.</w:t>
      </w:r>
    </w:p>
    <w:p>
      <w:pPr>
        <w:spacing w:after="0" w:line="162" w:lineRule="exact"/>
        <w:rPr>
          <w:sz w:val="20"/>
          <w:szCs w:val="20"/>
          <w:color w:val="auto"/>
        </w:rPr>
      </w:pPr>
    </w:p>
    <w:p>
      <w:pPr>
        <w:ind w:left="120" w:right="20" w:firstLine="440"/>
        <w:spacing w:after="0" w:line="287" w:lineRule="auto"/>
        <w:rPr>
          <w:sz w:val="20"/>
          <w:szCs w:val="20"/>
          <w:color w:val="auto"/>
        </w:rPr>
      </w:pPr>
      <w:r>
        <w:rPr>
          <w:rFonts w:ascii="Arial" w:cs="Arial" w:eastAsia="Arial" w:hAnsi="Arial"/>
          <w:sz w:val="16"/>
          <w:szCs w:val="16"/>
          <w:b w:val="1"/>
          <w:bCs w:val="1"/>
          <w:color w:val="auto"/>
        </w:rPr>
        <w:t xml:space="preserve">Dr. Derace Schaffer </w:t>
      </w:r>
      <w:r>
        <w:rPr>
          <w:rFonts w:ascii="Arial" w:cs="Arial" w:eastAsia="Arial" w:hAnsi="Arial"/>
          <w:sz w:val="16"/>
          <w:szCs w:val="16"/>
          <w:color w:val="auto"/>
        </w:rPr>
        <w:t>is a Director and a member of the Compensation Committee and the Nominating and Corporate Governance Committee,</w:t>
      </w:r>
      <w:r>
        <w:rPr>
          <w:rFonts w:ascii="Arial" w:cs="Arial" w:eastAsia="Arial" w:hAnsi="Arial"/>
          <w:sz w:val="16"/>
          <w:szCs w:val="16"/>
          <w:b w:val="1"/>
          <w:bCs w:val="1"/>
          <w:color w:val="auto"/>
        </w:rPr>
        <w:t xml:space="preserve"> </w:t>
      </w:r>
      <w:r>
        <w:rPr>
          <w:rFonts w:ascii="Arial" w:cs="Arial" w:eastAsia="Arial" w:hAnsi="Arial"/>
          <w:sz w:val="16"/>
          <w:szCs w:val="16"/>
          <w:color w:val="auto"/>
        </w:rPr>
        <w:t>serving on the Board since March 2016. Dr. Schaffer is the founder and Chief Executive Officer of The Lan Group, a venture capital firm specializing in healthcare and high technology investments. He has also been a Clinical Professor of Radiology at both the University of Rochester Medical College as well as the Weill Cornell Medical College. Additionally, he serves as a member of the Board of Directors of private companies Medical Tracking Solutions, Inc., Partners Imaging, National Spine Centers LLC and Catalyst OrthoScience LLC. Previously, Dr. Schaffer served as Vice Chairman and Chief Executive Officer of Healthcare Acquisition Corp. from April 2005 to August 2007. He has served as Chairman of several healthcare companies, including Radiologix, Inc., of which he was the founder. Prior to that, he served as Chief Executive Officer and Chairman of Ide Imaging Group, P.C. from 1980 to 2001. Dr. Schaffer held the role of director on many healthcare boards of directors, including several health systems, and has been a founder of more than two dozen companies, both public and private, over the past 30 years. Dr. Schaffer received his postgraduate radiology training at Harvard Medical School and Massachusetts General Hospital, where he served as Chief Resident, and is a member of the Alpha Omega Alpha Honor Medical Society. Dr. Schaffer was chosen as a Director because of his extensive experience as a radiologist and physician and as a serial entrepreneur, founder, executive, board member and investor in companies across the healthcare industry.</w:t>
      </w:r>
    </w:p>
    <w:p>
      <w:pPr>
        <w:spacing w:after="0" w:line="168" w:lineRule="exact"/>
        <w:rPr>
          <w:sz w:val="20"/>
          <w:szCs w:val="20"/>
          <w:color w:val="auto"/>
        </w:rPr>
      </w:pPr>
    </w:p>
    <w:p>
      <w:pPr>
        <w:ind w:left="120" w:right="40" w:firstLine="440"/>
        <w:spacing w:after="0" w:line="253" w:lineRule="auto"/>
        <w:rPr>
          <w:sz w:val="20"/>
          <w:szCs w:val="20"/>
          <w:color w:val="auto"/>
        </w:rPr>
      </w:pPr>
      <w:r>
        <w:rPr>
          <w:rFonts w:ascii="Arial" w:cs="Arial" w:eastAsia="Arial" w:hAnsi="Arial"/>
          <w:sz w:val="18"/>
          <w:szCs w:val="18"/>
          <w:b w:val="1"/>
          <w:bCs w:val="1"/>
          <w:color w:val="auto"/>
        </w:rPr>
        <w:t xml:space="preserve">Dr. James H. Thrall </w:t>
      </w:r>
      <w:r>
        <w:rPr>
          <w:rFonts w:ascii="Arial" w:cs="Arial" w:eastAsia="Arial" w:hAnsi="Arial"/>
          <w:sz w:val="18"/>
          <w:szCs w:val="18"/>
          <w:color w:val="auto"/>
        </w:rPr>
        <w:t>is a Director and a member of the Nominating and Corporate Governance Committee, serving on the Board since February</w:t>
      </w:r>
      <w:r>
        <w:rPr>
          <w:rFonts w:ascii="Arial" w:cs="Arial" w:eastAsia="Arial" w:hAnsi="Arial"/>
          <w:sz w:val="18"/>
          <w:szCs w:val="18"/>
          <w:b w:val="1"/>
          <w:bCs w:val="1"/>
          <w:color w:val="auto"/>
        </w:rPr>
        <w:t xml:space="preserve"> </w:t>
      </w:r>
      <w:r>
        <w:rPr>
          <w:rFonts w:ascii="Arial" w:cs="Arial" w:eastAsia="Arial" w:hAnsi="Arial"/>
          <w:sz w:val="18"/>
          <w:szCs w:val="18"/>
          <w:color w:val="auto"/>
        </w:rPr>
        <w:t>2018. Dr. Thrall currently holds the Distinguished Juan M. Taveras Professorship of Radiology at Harvard Medical School, having also served as Chairman of the Department of Radiology at the Massachusetts General Hospital from 1988 until 2013. Previously, Dr. Thrall served as Chairman of Radiology at the Henry Ford Hospital between 1983 and 1988, where he also served as a Physician Trustee and held the position of Vice Chairman of the Board of Governors of the Henry Ford Medical Staff. Dr. Thrall is a member of the National Academy of Medicine and has served in leadership and board of directors positions at many U.S. and international medical and professional societies. Dr. Thrall received his M.D. from the University of Michigan in 1968 and trained in Radiology and Nuclear Medicine at the Walter Reed Army Medical Center, Washington, D.C. Dr. Thrall returned to the University of Michigan in 1975 and was promoted to Professor in 1981. Dr. Thrall was chosen as a Director because of his extensive experience in nuclear medicine and radiology, including in connection with imaging modalities and the development and use of innovative new technologies, including artificial intelligence.</w:t>
      </w:r>
    </w:p>
    <w:p>
      <w:pPr>
        <w:spacing w:after="0" w:line="194" w:lineRule="exact"/>
        <w:rPr>
          <w:sz w:val="20"/>
          <w:szCs w:val="20"/>
          <w:color w:val="auto"/>
        </w:rPr>
      </w:pPr>
    </w:p>
    <w:p>
      <w:pPr>
        <w:ind w:left="120" w:right="120" w:firstLine="440"/>
        <w:spacing w:after="0" w:line="293" w:lineRule="auto"/>
        <w:rPr>
          <w:sz w:val="20"/>
          <w:szCs w:val="20"/>
          <w:color w:val="auto"/>
        </w:rPr>
      </w:pPr>
      <w:r>
        <w:rPr>
          <w:rFonts w:ascii="Arial" w:cs="Arial" w:eastAsia="Arial" w:hAnsi="Arial"/>
          <w:sz w:val="16"/>
          <w:szCs w:val="16"/>
          <w:b w:val="1"/>
          <w:bCs w:val="1"/>
          <w:color w:val="auto"/>
        </w:rPr>
        <w:t xml:space="preserve">Robert J. Marshall, Jr. </w:t>
      </w:r>
      <w:r>
        <w:rPr>
          <w:rFonts w:ascii="Arial" w:cs="Arial" w:eastAsia="Arial" w:hAnsi="Arial"/>
          <w:sz w:val="16"/>
          <w:szCs w:val="16"/>
          <w:color w:val="auto"/>
        </w:rPr>
        <w:t>joined Lantheus as Chief Financial Officer and Treasurer in September 2018. Mr. Marshall brings to the Company more</w:t>
      </w:r>
      <w:r>
        <w:rPr>
          <w:rFonts w:ascii="Arial" w:cs="Arial" w:eastAsia="Arial" w:hAnsi="Arial"/>
          <w:sz w:val="16"/>
          <w:szCs w:val="16"/>
          <w:b w:val="1"/>
          <w:bCs w:val="1"/>
          <w:color w:val="auto"/>
        </w:rPr>
        <w:t xml:space="preserve"> </w:t>
      </w:r>
      <w:r>
        <w:rPr>
          <w:rFonts w:ascii="Arial" w:cs="Arial" w:eastAsia="Arial" w:hAnsi="Arial"/>
          <w:sz w:val="16"/>
          <w:szCs w:val="16"/>
          <w:color w:val="auto"/>
        </w:rPr>
        <w:t>than 30 years of finance experience, including in mergers and acquisitions, capital markets and investor relations. Prior to joining Lantheus,</w:t>
      </w:r>
    </w:p>
    <w:p>
      <w:pPr>
        <w:spacing w:after="0" w:line="1" w:lineRule="exact"/>
        <w:rPr>
          <w:sz w:val="20"/>
          <w:szCs w:val="20"/>
          <w:color w:val="auto"/>
        </w:rPr>
      </w:pPr>
    </w:p>
    <w:p>
      <w:pPr>
        <w:ind w:left="120"/>
        <w:spacing w:after="0" w:line="270" w:lineRule="auto"/>
        <w:rPr>
          <w:sz w:val="20"/>
          <w:szCs w:val="20"/>
          <w:color w:val="auto"/>
        </w:rPr>
      </w:pPr>
      <w:r>
        <w:rPr>
          <w:rFonts w:ascii="Arial" w:cs="Arial" w:eastAsia="Arial" w:hAnsi="Arial"/>
          <w:sz w:val="17"/>
          <w:szCs w:val="17"/>
          <w:color w:val="auto"/>
        </w:rPr>
        <w:t>Mr. Marshall spent 16 years with Zimmer Biomet Holdings, Inc., a global medical device company with a leading position in musculoskeletal health. He held various senior leadership roles, including Vice President, Investor Relations and Corporate Treasurer, and most recently as Vice President, Americas Finance, for the U.S., Canadian and Latin American commercial markets. Prior to Zimmer Biomet, Mr. Marshall was employed with Brown &amp; Williamson Tobacco, a subsidiary of British American Tobacco, p.l.c., in Louisville, Kentucky, where he held several positions of increasing responsibility. Mr. Marshall holds a Master of Business Administration from Indiana University, South Bend, and a Bachelor of Business Administration in Finance from the University of Notre Dame. He also holds the CFA designation.</w:t>
      </w:r>
    </w:p>
    <w:p>
      <w:pPr>
        <w:spacing w:after="0" w:line="11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20"/>
          </w:cols>
          <w:pgMar w:left="320" w:top="459" w:right="4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right="40" w:firstLine="440"/>
        <w:spacing w:after="0" w:line="271" w:lineRule="auto"/>
        <w:rPr>
          <w:sz w:val="20"/>
          <w:szCs w:val="20"/>
          <w:color w:val="auto"/>
        </w:rPr>
      </w:pPr>
      <w:r>
        <w:rPr>
          <w:rFonts w:ascii="Arial" w:cs="Arial" w:eastAsia="Arial" w:hAnsi="Arial"/>
          <w:sz w:val="17"/>
          <w:szCs w:val="17"/>
          <w:b w:val="1"/>
          <w:bCs w:val="1"/>
          <w:color w:val="auto"/>
        </w:rPr>
        <w:t xml:space="preserve">John Bolla </w:t>
      </w:r>
      <w:r>
        <w:rPr>
          <w:rFonts w:ascii="Arial" w:cs="Arial" w:eastAsia="Arial" w:hAnsi="Arial"/>
          <w:sz w:val="17"/>
          <w:szCs w:val="17"/>
          <w:color w:val="auto"/>
        </w:rPr>
        <w:t>has served as our Chief Operations Officer since March 2019, having joined Lantheus as Senior Vice President of Technical</w:t>
      </w:r>
      <w:r>
        <w:rPr>
          <w:rFonts w:ascii="Arial" w:cs="Arial" w:eastAsia="Arial" w:hAnsi="Arial"/>
          <w:sz w:val="17"/>
          <w:szCs w:val="17"/>
          <w:b w:val="1"/>
          <w:bCs w:val="1"/>
          <w:color w:val="auto"/>
        </w:rPr>
        <w:t xml:space="preserve"> </w:t>
      </w:r>
      <w:r>
        <w:rPr>
          <w:rFonts w:ascii="Arial" w:cs="Arial" w:eastAsia="Arial" w:hAnsi="Arial"/>
          <w:sz w:val="17"/>
          <w:szCs w:val="17"/>
          <w:color w:val="auto"/>
        </w:rPr>
        <w:t>Operations in May 2018. In this role, he is responsible for leading the company’s supply chain, manufacturing, operations, engineering and facilities functions. He brings to the role more than 23 years of diverse supply chain, operations and manufacturing experience in the pharmaceutical industry. Prior to joining Lantheus, Mr. Bolla spent 20 years at GlaxoSmithKline plc (“</w:t>
      </w:r>
      <w:r>
        <w:rPr>
          <w:rFonts w:ascii="Arial" w:cs="Arial" w:eastAsia="Arial" w:hAnsi="Arial"/>
          <w:sz w:val="17"/>
          <w:szCs w:val="17"/>
          <w:b w:val="1"/>
          <w:bCs w:val="1"/>
          <w:i w:val="1"/>
          <w:iCs w:val="1"/>
          <w:color w:val="auto"/>
        </w:rPr>
        <w:t>GSK</w:t>
      </w:r>
      <w:r>
        <w:rPr>
          <w:rFonts w:ascii="Arial" w:cs="Arial" w:eastAsia="Arial" w:hAnsi="Arial"/>
          <w:sz w:val="17"/>
          <w:szCs w:val="17"/>
          <w:color w:val="auto"/>
        </w:rPr>
        <w:t>”), a global branded pharmaceutical company. He held various senior leadership roles, including Vice President, Supply Chain, North America, where he was responsible for leading all manufacturing, supply planning, logistics and distribution for GSK’s largest global market. He also held senior roles as Vice President and Site General Manager for a large GSK manufacturing facility in the U.S., as well as Vice President and Global Head of External Supply and Global Contract Manufacturing. He has also served in multiple senior Procurement leadership roles at GSK. Mr. Bolla holds a Bachelor of Science in Business Administration/Accounting from The University of Central Florida.</w:t>
      </w:r>
    </w:p>
    <w:p>
      <w:pPr>
        <w:spacing w:after="0" w:line="174"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b w:val="1"/>
          <w:bCs w:val="1"/>
          <w:color w:val="auto"/>
        </w:rPr>
        <w:t xml:space="preserve">Paul Blanchfield </w:t>
      </w:r>
      <w:r>
        <w:rPr>
          <w:rFonts w:ascii="Arial" w:cs="Arial" w:eastAsia="Arial" w:hAnsi="Arial"/>
          <w:sz w:val="17"/>
          <w:szCs w:val="17"/>
          <w:color w:val="auto"/>
        </w:rPr>
        <w:t>joined Lantheus as Chief Commercial Officer in January 2019. Prior to Lantheus, Mr. Blanchfield served as the Head of the</w:t>
      </w:r>
      <w:r>
        <w:rPr>
          <w:rFonts w:ascii="Arial" w:cs="Arial" w:eastAsia="Arial" w:hAnsi="Arial"/>
          <w:sz w:val="17"/>
          <w:szCs w:val="17"/>
          <w:b w:val="1"/>
          <w:bCs w:val="1"/>
          <w:color w:val="auto"/>
        </w:rPr>
        <w:t xml:space="preserve"> </w:t>
      </w:r>
      <w:r>
        <w:rPr>
          <w:rFonts w:ascii="Arial" w:cs="Arial" w:eastAsia="Arial" w:hAnsi="Arial"/>
          <w:sz w:val="17"/>
          <w:szCs w:val="17"/>
          <w:color w:val="auto"/>
        </w:rPr>
        <w:t>U.S. Immunology Business Unit at Takeda Pharmaceutical Co., managing a multi-billion dollar P&amp;L covering multiple rare diseases products. Prior to his time at Takeda, Mr. Blanchfield served in several different roles at Shire Plc across almost 6 years, including as the Head of U.S. Immunology, General Manager of Nordic-Baltics, Head of Corporate Strategy, and Chief of Staff to the CEO. In his time at Shire, Mr. Blanchfield launched multiple products, worked across nine different countries, oversaw a restructuring to increase commercial focus and reduce costs, and led efforts in M&amp;A, corporate defense, integration, and long-term corporate and portfolio strategy. Prior to his time at Shire, Mr. Blanchfield worked at McKinsey &amp; Company for 5 years, where he focused on health care, marketing, and sales. Mr. Blanchfield earned an MBA / MA in Education from Stanford University and an AB in Economics from Duke University.</w:t>
      </w:r>
    </w:p>
    <w:p>
      <w:pPr>
        <w:spacing w:after="0" w:line="172" w:lineRule="exact"/>
        <w:rPr>
          <w:sz w:val="20"/>
          <w:szCs w:val="20"/>
          <w:color w:val="auto"/>
        </w:rPr>
      </w:pPr>
    </w:p>
    <w:p>
      <w:pPr>
        <w:ind w:left="120" w:right="20" w:firstLine="440"/>
        <w:spacing w:after="0" w:line="270" w:lineRule="auto"/>
        <w:rPr>
          <w:sz w:val="20"/>
          <w:szCs w:val="20"/>
          <w:color w:val="auto"/>
        </w:rPr>
      </w:pPr>
      <w:r>
        <w:rPr>
          <w:rFonts w:ascii="Arial" w:cs="Arial" w:eastAsia="Arial" w:hAnsi="Arial"/>
          <w:sz w:val="17"/>
          <w:szCs w:val="17"/>
          <w:b w:val="1"/>
          <w:bCs w:val="1"/>
          <w:color w:val="auto"/>
        </w:rPr>
        <w:t xml:space="preserve">Dr. Istvan Molnar </w:t>
      </w:r>
      <w:r>
        <w:rPr>
          <w:rFonts w:ascii="Arial" w:cs="Arial" w:eastAsia="Arial" w:hAnsi="Arial"/>
          <w:sz w:val="17"/>
          <w:szCs w:val="17"/>
          <w:color w:val="auto"/>
        </w:rPr>
        <w:t>joined Lantheus as Chief Medical Officer in January 2019. Dr. Molnar is an oncologist with over 12 years of experience in the</w:t>
      </w:r>
      <w:r>
        <w:rPr>
          <w:rFonts w:ascii="Arial" w:cs="Arial" w:eastAsia="Arial" w:hAnsi="Arial"/>
          <w:sz w:val="17"/>
          <w:szCs w:val="17"/>
          <w:b w:val="1"/>
          <w:bCs w:val="1"/>
          <w:color w:val="auto"/>
        </w:rPr>
        <w:t xml:space="preserve"> </w:t>
      </w:r>
      <w:r>
        <w:rPr>
          <w:rFonts w:ascii="Arial" w:cs="Arial" w:eastAsia="Arial" w:hAnsi="Arial"/>
          <w:sz w:val="17"/>
          <w:szCs w:val="17"/>
          <w:color w:val="auto"/>
        </w:rPr>
        <w:t>pharmaceutical industry and the development of early-, mid- and late-stage oncology drugs. Most recently, Dr. Molnar served as Chief Medical Officer of Fusion Pharmaceuticals, a clinical-stage biopharmaceutical company developing targeted alpha-particle radiotherapeutics for the treatment of cancer. Previously, he served as Vice President of Development at Merrimack Pharmaceuticals for 3 years, where he was responsible for development in the liposomal franchise. Prior to his role at Merrimack, Dr. Molnar worked at Bayer HealthCare for almost 7 years, serving in several roles, including Deputy Director of Global Medical Affairs, Director of Global Medical Affairs, Director of Clinical Development/Global Clinical Lead. Before starting his career in the pharmaceutical industry, Dr. Molnar practiced medicine as an internist for 3 years. After completing his fellowship in hematology and oncology at the Wake Forest University School of Medicine, Dr. Molnar became an Assistant Professor at the University, focusing on the care of patients with hematological malignancies for 5 years. Dr. Molnar earned his MD from Semmelweis Medical School in Budapest and achieved board certification in the United States in internal medicine, hematology and oncology.</w:t>
      </w:r>
    </w:p>
    <w:p>
      <w:pPr>
        <w:spacing w:after="0" w:line="17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b w:val="1"/>
          <w:bCs w:val="1"/>
          <w:color w:val="auto"/>
        </w:rPr>
        <w:t xml:space="preserve">Michael P. Duffy </w:t>
      </w:r>
      <w:r>
        <w:rPr>
          <w:rFonts w:ascii="Arial" w:cs="Arial" w:eastAsia="Arial" w:hAnsi="Arial"/>
          <w:sz w:val="17"/>
          <w:szCs w:val="17"/>
          <w:color w:val="auto"/>
        </w:rPr>
        <w:t>has served as our Senior Vice President, Law and Public Policy since 2018, as our Senior Vice President, Strategy and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Development from October 2015 to 2018 and as our General Counsel since January 2008. From 2002 to 2008, he served as Senior Vice President, General Counsel and Secretary of Point Therapeutics, Inc., a Boston-based biopharmaceutical company. Between 1999 and 2001, Mr. Duffy served as Senior Vice President, General Counsel and Secretary of Digital Broadband Communications, Inc., a competitive local exchange carrier. From 1996 to 1999, Mr. Duffy served as Senior Vice President, General Counsel and Secretary of ETC w/tci, a sub-portfolio of TCI Ventures, Inc./Liberty Media Corporation. Mr. Duffy began his legal career with the law firm Ropes &amp; Gray and holds law degrees from the University of Pennsylvania and Oxford University and a Bachelor of Arts degree in History of Science from Harvard College. From 2013 to 2015, Mr. Duffy also served as the Chairman of the Board of Directors of CORAR, the Council on Radionuclides and Radiopharmaceuticals, Inc., a trade association for the radiopharmaceutical industry, and currently serves as a director of that organization.</w:t>
      </w:r>
    </w:p>
    <w:p>
      <w:pPr>
        <w:spacing w:after="0" w:line="173" w:lineRule="exact"/>
        <w:rPr>
          <w:sz w:val="20"/>
          <w:szCs w:val="20"/>
          <w:color w:val="auto"/>
        </w:rPr>
      </w:pPr>
    </w:p>
    <w:p>
      <w:pPr>
        <w:ind w:left="120" w:right="140" w:firstLine="440"/>
        <w:spacing w:after="0" w:line="282" w:lineRule="auto"/>
        <w:rPr>
          <w:sz w:val="20"/>
          <w:szCs w:val="20"/>
          <w:color w:val="auto"/>
        </w:rPr>
      </w:pPr>
      <w:r>
        <w:rPr>
          <w:rFonts w:ascii="Arial" w:cs="Arial" w:eastAsia="Arial" w:hAnsi="Arial"/>
          <w:sz w:val="18"/>
          <w:szCs w:val="18"/>
          <w:b w:val="1"/>
          <w:bCs w:val="1"/>
          <w:color w:val="auto"/>
        </w:rPr>
        <w:t xml:space="preserve">Etienne Montagut </w:t>
      </w:r>
      <w:r>
        <w:rPr>
          <w:rFonts w:ascii="Arial" w:cs="Arial" w:eastAsia="Arial" w:hAnsi="Arial"/>
          <w:sz w:val="18"/>
          <w:szCs w:val="18"/>
          <w:color w:val="auto"/>
        </w:rPr>
        <w:t>joined Lantheus as Senior Vice President, Corporate Development in September 2018. Mr. Montagut brings to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more than 20 years of commercial, portfolio management and business</w:t>
      </w:r>
    </w:p>
    <w:p>
      <w:pPr>
        <w:spacing w:after="0" w:line="9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4" w:lineRule="auto"/>
        <w:rPr>
          <w:sz w:val="20"/>
          <w:szCs w:val="20"/>
          <w:color w:val="auto"/>
        </w:rPr>
      </w:pPr>
      <w:r>
        <w:rPr>
          <w:rFonts w:ascii="Arial" w:cs="Arial" w:eastAsia="Arial" w:hAnsi="Arial"/>
          <w:sz w:val="18"/>
          <w:szCs w:val="18"/>
          <w:color w:val="auto"/>
        </w:rPr>
        <w:t>development and licensing experience. Prior to joining Lantheus, Mr. Montagut spent the last six years with GE Healthcare, part of the General Electric family of companies, and a leading provider of medical imaging, monitoring, biomanufacturing, and cell and gene therapy technologies. He held various senior leadership roles at GE Healthcare, including General Manager, Global SPECT Portfolio &amp; Director of Cardiology, Executive, Global Product Leader SPECT Neurology &amp; Cardiology, and most recently as Executive, General Manager Molecular Imaging Greater China. Prior to GE Healthcare, from 2000 to 2012, Mr. Montagut worked at Ipsen, a global specialty-driven biopharmaceutical group focused on innovation and specialty care. While at Ipsen, Mr. Montagut held both commercial and corporate positions, including Corporate Commercial Development, Business Development &amp; Licensing and Portfolio Management. Mr. Montagut holds a Master of Business Administration from Imperial College, London, and a Master of Business Intelligence from EGE in Paris.</w:t>
      </w:r>
    </w:p>
    <w:p>
      <w:pPr>
        <w:spacing w:after="0" w:line="188" w:lineRule="exact"/>
        <w:rPr>
          <w:sz w:val="20"/>
          <w:szCs w:val="20"/>
          <w:color w:val="auto"/>
        </w:rPr>
      </w:pPr>
    </w:p>
    <w:p>
      <w:pPr>
        <w:ind w:left="120" w:right="80" w:firstLine="440"/>
        <w:spacing w:after="0" w:line="274" w:lineRule="auto"/>
        <w:rPr>
          <w:sz w:val="20"/>
          <w:szCs w:val="20"/>
          <w:color w:val="auto"/>
        </w:rPr>
      </w:pPr>
      <w:r>
        <w:rPr>
          <w:rFonts w:ascii="Arial" w:cs="Arial" w:eastAsia="Arial" w:hAnsi="Arial"/>
          <w:sz w:val="17"/>
          <w:szCs w:val="17"/>
          <w:b w:val="1"/>
          <w:bCs w:val="1"/>
          <w:color w:val="auto"/>
        </w:rPr>
        <w:t xml:space="preserve">Carol Walker </w:t>
      </w:r>
      <w:r>
        <w:rPr>
          <w:rFonts w:ascii="Arial" w:cs="Arial" w:eastAsia="Arial" w:hAnsi="Arial"/>
          <w:sz w:val="17"/>
          <w:szCs w:val="17"/>
          <w:color w:val="auto"/>
        </w:rPr>
        <w:t>has served as our Senior Vice President, Quality since April 2018, having previously served as our as our Vice President, Quality</w:t>
      </w:r>
      <w:r>
        <w:rPr>
          <w:rFonts w:ascii="Arial" w:cs="Arial" w:eastAsia="Arial" w:hAnsi="Arial"/>
          <w:sz w:val="17"/>
          <w:szCs w:val="17"/>
          <w:b w:val="1"/>
          <w:bCs w:val="1"/>
          <w:color w:val="auto"/>
        </w:rPr>
        <w:t xml:space="preserve"> </w:t>
      </w:r>
      <w:r>
        <w:rPr>
          <w:rFonts w:ascii="Arial" w:cs="Arial" w:eastAsia="Arial" w:hAnsi="Arial"/>
          <w:sz w:val="17"/>
          <w:szCs w:val="17"/>
          <w:color w:val="auto"/>
        </w:rPr>
        <w:t>since February 2015. Ms. Walker brings more than 30 years of industry experience in quality and medical technology primarily in the medical device area. Prior to joining Lantheus, Ms. Walker served as Vice President of Quality for Intelligent Medical Devices, Inc. from 2012 to 2015. Previously she held a number of successive Quality management roles at Siemens Healthcare Diagnostics (formerly Bayer Healthcare Diagnostics), including Vice President, Quality Assurance from 2007 to 2011 and Director, Quality Assurance from 2001 to 2007. Ms. Walker received a Bachelor of Science degree in Medical Technology from the Rochester Institute of Technology.</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and Committees</w:t>
      </w:r>
    </w:p>
    <w:p>
      <w:pPr>
        <w:spacing w:after="0" w:line="121" w:lineRule="exact"/>
        <w:rPr>
          <w:sz w:val="20"/>
          <w:szCs w:val="20"/>
          <w:color w:val="auto"/>
        </w:rPr>
      </w:pPr>
    </w:p>
    <w:p>
      <w:pPr>
        <w:ind w:left="120" w:right="240" w:firstLine="440"/>
        <w:spacing w:after="0" w:line="308" w:lineRule="auto"/>
        <w:rPr>
          <w:sz w:val="20"/>
          <w:szCs w:val="20"/>
          <w:color w:val="auto"/>
        </w:rPr>
      </w:pPr>
      <w:r>
        <w:rPr>
          <w:rFonts w:ascii="Arial" w:cs="Arial" w:eastAsia="Arial" w:hAnsi="Arial"/>
          <w:sz w:val="17"/>
          <w:szCs w:val="17"/>
          <w:color w:val="auto"/>
        </w:rPr>
        <w:t>The Board is responsible for overseeing the management of our business and is currently comprised of ten directors, each of whom is elected to serve in his or her position until his or her next election and until his or her successors are duly elected and qualified.</w:t>
      </w:r>
    </w:p>
    <w:p>
      <w:pPr>
        <w:spacing w:after="0" w:line="146"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Our Charter divides the Board into three classes, with one class being elected at each Annual Meeting of Stockholders. Each director serves a three-year term, with terms staggered according to class.</w:t>
      </w:r>
    </w:p>
    <w:p>
      <w:pPr>
        <w:spacing w:after="0" w:line="170"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The current members of the Board and the committees of the Board, each director’s class, date of Board appointment and the term of appointment are shown in the table below:</w:t>
      </w:r>
    </w:p>
    <w:p>
      <w:pPr>
        <w:spacing w:after="0" w:line="176" w:lineRule="exact"/>
        <w:rPr>
          <w:sz w:val="20"/>
          <w:szCs w:val="20"/>
          <w:color w:val="auto"/>
        </w:rPr>
      </w:pPr>
    </w:p>
    <w:tbl>
      <w:tblPr>
        <w:tblLayout w:type="fixed"/>
        <w:tblInd w:w="130" w:type="dxa"/>
        <w:tblCellMar>
          <w:top w:w="0" w:type="dxa"/>
          <w:left w:w="0" w:type="dxa"/>
          <w:bottom w:w="0" w:type="dxa"/>
          <w:right w:w="0" w:type="dxa"/>
        </w:tblCellMar>
      </w:tblPr>
      <w:tr>
        <w:trPr>
          <w:trHeight w:val="161"/>
        </w:trPr>
        <w:tc>
          <w:tcPr>
            <w:tcW w:w="3580" w:type="dxa"/>
            <w:vAlign w:val="bottom"/>
            <w:tcBorders>
              <w:left w:val="single" w:sz="8" w:color="3A70FF"/>
            </w:tcBorders>
            <w:shd w:val="clear" w:color="auto" w:fill="5EB5FC"/>
          </w:tcPr>
          <w:p>
            <w:pPr>
              <w:spacing w:after="0"/>
              <w:rPr>
                <w:sz w:val="14"/>
                <w:szCs w:val="14"/>
                <w:color w:val="auto"/>
              </w:rPr>
            </w:pPr>
          </w:p>
        </w:tc>
        <w:tc>
          <w:tcPr>
            <w:tcW w:w="1080" w:type="dxa"/>
            <w:vAlign w:val="bottom"/>
            <w:shd w:val="clear" w:color="auto" w:fill="5EB5FC"/>
          </w:tcPr>
          <w:p>
            <w:pPr>
              <w:spacing w:after="0"/>
              <w:rPr>
                <w:sz w:val="14"/>
                <w:szCs w:val="14"/>
                <w:color w:val="auto"/>
              </w:rPr>
            </w:pPr>
          </w:p>
        </w:tc>
        <w:tc>
          <w:tcPr>
            <w:tcW w:w="820" w:type="dxa"/>
            <w:vAlign w:val="bottom"/>
            <w:shd w:val="clear" w:color="auto" w:fill="5EB5FC"/>
          </w:tcPr>
          <w:p>
            <w:pPr>
              <w:spacing w:after="0"/>
              <w:rPr>
                <w:sz w:val="14"/>
                <w:szCs w:val="14"/>
                <w:color w:val="auto"/>
              </w:rPr>
            </w:pPr>
          </w:p>
        </w:tc>
        <w:tc>
          <w:tcPr>
            <w:tcW w:w="500" w:type="dxa"/>
            <w:vAlign w:val="bottom"/>
            <w:shd w:val="clear" w:color="auto" w:fill="5EB5FC"/>
          </w:tcPr>
          <w:p>
            <w:pPr>
              <w:spacing w:after="0"/>
              <w:rPr>
                <w:sz w:val="14"/>
                <w:szCs w:val="14"/>
                <w:color w:val="auto"/>
              </w:rPr>
            </w:pPr>
          </w:p>
        </w:tc>
        <w:tc>
          <w:tcPr>
            <w:tcW w:w="112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Expiration of</w:t>
            </w:r>
          </w:p>
        </w:tc>
        <w:tc>
          <w:tcPr>
            <w:tcW w:w="900" w:type="dxa"/>
            <w:vAlign w:val="bottom"/>
            <w:shd w:val="clear" w:color="auto" w:fill="5EB5FC"/>
          </w:tcPr>
          <w:p>
            <w:pPr>
              <w:spacing w:after="0"/>
              <w:rPr>
                <w:sz w:val="14"/>
                <w:szCs w:val="14"/>
                <w:color w:val="auto"/>
              </w:rPr>
            </w:pPr>
          </w:p>
        </w:tc>
        <w:tc>
          <w:tcPr>
            <w:tcW w:w="1100" w:type="dxa"/>
            <w:vAlign w:val="bottom"/>
            <w:shd w:val="clear" w:color="auto" w:fill="5EB5FC"/>
          </w:tcPr>
          <w:p>
            <w:pPr>
              <w:spacing w:after="0"/>
              <w:rPr>
                <w:sz w:val="14"/>
                <w:szCs w:val="14"/>
                <w:color w:val="auto"/>
              </w:rPr>
            </w:pPr>
          </w:p>
        </w:tc>
        <w:tc>
          <w:tcPr>
            <w:tcW w:w="960" w:type="dxa"/>
            <w:vAlign w:val="bottom"/>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Nominating</w:t>
            </w:r>
          </w:p>
        </w:tc>
        <w:tc>
          <w:tcPr>
            <w:tcW w:w="980" w:type="dxa"/>
            <w:vAlign w:val="bottom"/>
            <w:tcBorders>
              <w:right w:val="single" w:sz="8" w:color="3A70FF"/>
            </w:tcBorders>
            <w:shd w:val="clear" w:color="auto" w:fill="5EB5FC"/>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3580" w:type="dxa"/>
            <w:vAlign w:val="bottom"/>
            <w:tcBorders>
              <w:left w:val="single" w:sz="8" w:color="3A70FF"/>
            </w:tcBorders>
            <w:shd w:val="clear" w:color="auto" w:fill="5EB5FC"/>
          </w:tcPr>
          <w:p>
            <w:pPr>
              <w:spacing w:after="0"/>
              <w:rPr>
                <w:sz w:val="12"/>
                <w:szCs w:val="12"/>
                <w:color w:val="auto"/>
              </w:rPr>
            </w:pPr>
          </w:p>
        </w:tc>
        <w:tc>
          <w:tcPr>
            <w:tcW w:w="1080" w:type="dxa"/>
            <w:vAlign w:val="bottom"/>
            <w:shd w:val="clear" w:color="auto" w:fill="5EB5FC"/>
          </w:tcPr>
          <w:p>
            <w:pPr>
              <w:spacing w:after="0"/>
              <w:rPr>
                <w:sz w:val="12"/>
                <w:szCs w:val="12"/>
                <w:color w:val="auto"/>
              </w:rPr>
            </w:pPr>
          </w:p>
        </w:tc>
        <w:tc>
          <w:tcPr>
            <w:tcW w:w="820" w:type="dxa"/>
            <w:vAlign w:val="bottom"/>
            <w:shd w:val="clear" w:color="auto" w:fill="5EB5FC"/>
          </w:tcPr>
          <w:p>
            <w:pPr>
              <w:spacing w:after="0"/>
              <w:rPr>
                <w:sz w:val="12"/>
                <w:szCs w:val="12"/>
                <w:color w:val="auto"/>
              </w:rPr>
            </w:pPr>
          </w:p>
        </w:tc>
        <w:tc>
          <w:tcPr>
            <w:tcW w:w="500" w:type="dxa"/>
            <w:vAlign w:val="bottom"/>
            <w:shd w:val="clear" w:color="auto" w:fill="5EB5FC"/>
          </w:tcPr>
          <w:p>
            <w:pPr>
              <w:spacing w:after="0"/>
              <w:rPr>
                <w:sz w:val="12"/>
                <w:szCs w:val="12"/>
                <w:color w:val="auto"/>
              </w:rPr>
            </w:pPr>
          </w:p>
        </w:tc>
        <w:tc>
          <w:tcPr>
            <w:tcW w:w="1120" w:type="dxa"/>
            <w:vAlign w:val="bottom"/>
            <w:vMerge w:val="continue"/>
            <w:shd w:val="clear" w:color="auto" w:fill="5EB5FC"/>
          </w:tcPr>
          <w:p>
            <w:pPr>
              <w:spacing w:after="0"/>
              <w:rPr>
                <w:sz w:val="12"/>
                <w:szCs w:val="12"/>
                <w:color w:val="auto"/>
              </w:rPr>
            </w:pPr>
          </w:p>
        </w:tc>
        <w:tc>
          <w:tcPr>
            <w:tcW w:w="900" w:type="dxa"/>
            <w:vAlign w:val="bottom"/>
            <w:shd w:val="clear" w:color="auto" w:fill="5EB5FC"/>
          </w:tcPr>
          <w:p>
            <w:pPr>
              <w:spacing w:after="0"/>
              <w:rPr>
                <w:sz w:val="12"/>
                <w:szCs w:val="12"/>
                <w:color w:val="auto"/>
              </w:rPr>
            </w:pPr>
          </w:p>
        </w:tc>
        <w:tc>
          <w:tcPr>
            <w:tcW w:w="1100" w:type="dxa"/>
            <w:vAlign w:val="bottom"/>
            <w:shd w:val="clear" w:color="auto" w:fill="5EB5FC"/>
          </w:tcPr>
          <w:p>
            <w:pPr>
              <w:spacing w:after="0"/>
              <w:rPr>
                <w:sz w:val="12"/>
                <w:szCs w:val="12"/>
                <w:color w:val="auto"/>
              </w:rPr>
            </w:pPr>
          </w:p>
        </w:tc>
        <w:tc>
          <w:tcPr>
            <w:tcW w:w="96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6"/>
              </w:rPr>
              <w:t>and</w:t>
            </w:r>
          </w:p>
        </w:tc>
        <w:tc>
          <w:tcPr>
            <w:tcW w:w="980" w:type="dxa"/>
            <w:vAlign w:val="bottom"/>
            <w:tcBorders>
              <w:right w:val="single" w:sz="8" w:color="3A70FF"/>
            </w:tcBorders>
            <w:vMerge w:val="restart"/>
            <w:shd w:val="clear" w:color="auto" w:fill="5EB5FC"/>
          </w:tcPr>
          <w:p>
            <w:pPr>
              <w:ind w:left="120"/>
              <w:spacing w:after="0"/>
              <w:rPr>
                <w:sz w:val="20"/>
                <w:szCs w:val="20"/>
                <w:color w:val="auto"/>
              </w:rPr>
            </w:pPr>
            <w:r>
              <w:rPr>
                <w:rFonts w:ascii="Arial" w:cs="Arial" w:eastAsia="Arial" w:hAnsi="Arial"/>
                <w:sz w:val="14"/>
                <w:szCs w:val="14"/>
                <w:b w:val="1"/>
                <w:bCs w:val="1"/>
                <w:color w:val="FFFFFF"/>
              </w:rPr>
              <w:t>Finance and</w:t>
            </w:r>
          </w:p>
        </w:tc>
        <w:tc>
          <w:tcPr>
            <w:tcW w:w="0" w:type="dxa"/>
            <w:vAlign w:val="bottom"/>
          </w:tcPr>
          <w:p>
            <w:pPr>
              <w:spacing w:after="0"/>
              <w:rPr>
                <w:sz w:val="1"/>
                <w:szCs w:val="1"/>
                <w:color w:val="auto"/>
              </w:rPr>
            </w:pPr>
          </w:p>
        </w:tc>
      </w:tr>
      <w:tr>
        <w:trPr>
          <w:trHeight w:val="149"/>
        </w:trPr>
        <w:tc>
          <w:tcPr>
            <w:tcW w:w="3580" w:type="dxa"/>
            <w:vAlign w:val="bottom"/>
            <w:tcBorders>
              <w:left w:val="single" w:sz="8" w:color="3A70FF"/>
            </w:tcBorders>
            <w:shd w:val="clear" w:color="auto" w:fill="5EB5FC"/>
          </w:tcPr>
          <w:p>
            <w:pPr>
              <w:spacing w:after="0"/>
              <w:rPr>
                <w:sz w:val="12"/>
                <w:szCs w:val="12"/>
                <w:color w:val="auto"/>
              </w:rPr>
            </w:pPr>
          </w:p>
        </w:tc>
        <w:tc>
          <w:tcPr>
            <w:tcW w:w="1080" w:type="dxa"/>
            <w:vAlign w:val="bottom"/>
            <w:vMerge w:val="restart"/>
            <w:shd w:val="clear" w:color="auto" w:fill="5EB5FC"/>
          </w:tcPr>
          <w:p>
            <w:pPr>
              <w:ind w:left="320"/>
              <w:spacing w:after="0"/>
              <w:rPr>
                <w:sz w:val="20"/>
                <w:szCs w:val="20"/>
                <w:color w:val="auto"/>
              </w:rPr>
            </w:pPr>
            <w:r>
              <w:rPr>
                <w:rFonts w:ascii="Arial" w:cs="Arial" w:eastAsia="Arial" w:hAnsi="Arial"/>
                <w:sz w:val="14"/>
                <w:szCs w:val="14"/>
                <w:b w:val="1"/>
                <w:bCs w:val="1"/>
                <w:color w:val="FFFFFF"/>
              </w:rPr>
              <w:t>Director</w:t>
            </w:r>
          </w:p>
        </w:tc>
        <w:tc>
          <w:tcPr>
            <w:tcW w:w="82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Board of</w:t>
            </w:r>
          </w:p>
        </w:tc>
        <w:tc>
          <w:tcPr>
            <w:tcW w:w="500" w:type="dxa"/>
            <w:vAlign w:val="bottom"/>
            <w:shd w:val="clear" w:color="auto" w:fill="5EB5FC"/>
          </w:tcPr>
          <w:p>
            <w:pPr>
              <w:spacing w:after="0"/>
              <w:rPr>
                <w:sz w:val="12"/>
                <w:szCs w:val="12"/>
                <w:color w:val="auto"/>
              </w:rPr>
            </w:pPr>
          </w:p>
        </w:tc>
        <w:tc>
          <w:tcPr>
            <w:tcW w:w="112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Term at Annual</w:t>
            </w:r>
          </w:p>
        </w:tc>
        <w:tc>
          <w:tcPr>
            <w:tcW w:w="90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Audit</w:t>
            </w:r>
          </w:p>
        </w:tc>
        <w:tc>
          <w:tcPr>
            <w:tcW w:w="110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Compensation</w:t>
            </w:r>
          </w:p>
        </w:tc>
        <w:tc>
          <w:tcPr>
            <w:tcW w:w="96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5"/>
              </w:rPr>
              <w:t>Corporate</w:t>
            </w:r>
          </w:p>
        </w:tc>
        <w:tc>
          <w:tcPr>
            <w:tcW w:w="980" w:type="dxa"/>
            <w:vAlign w:val="bottom"/>
            <w:tcBorders>
              <w:right w:val="single" w:sz="8" w:color="3A70FF"/>
            </w:tcBorders>
            <w:vMerge w:val="continue"/>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580" w:type="dxa"/>
            <w:vAlign w:val="bottom"/>
            <w:tcBorders>
              <w:left w:val="single" w:sz="8" w:color="3A70FF"/>
            </w:tcBorders>
            <w:vMerge w:val="restart"/>
            <w:shd w:val="clear" w:color="auto" w:fill="5EB5FC"/>
          </w:tcPr>
          <w:p>
            <w:pPr>
              <w:ind w:left="580"/>
              <w:spacing w:after="0"/>
              <w:rPr>
                <w:sz w:val="20"/>
                <w:szCs w:val="20"/>
                <w:color w:val="auto"/>
              </w:rPr>
            </w:pPr>
            <w:r>
              <w:rPr>
                <w:rFonts w:ascii="Arial" w:cs="Arial" w:eastAsia="Arial" w:hAnsi="Arial"/>
                <w:sz w:val="14"/>
                <w:szCs w:val="14"/>
                <w:b w:val="1"/>
                <w:bCs w:val="1"/>
                <w:color w:val="FFFFFF"/>
              </w:rPr>
              <w:t>Name</w:t>
            </w:r>
          </w:p>
        </w:tc>
        <w:tc>
          <w:tcPr>
            <w:tcW w:w="1080" w:type="dxa"/>
            <w:vAlign w:val="bottom"/>
            <w:vMerge w:val="continue"/>
            <w:shd w:val="clear" w:color="auto" w:fill="5EB5FC"/>
          </w:tcPr>
          <w:p>
            <w:pPr>
              <w:spacing w:after="0"/>
              <w:rPr>
                <w:sz w:val="12"/>
                <w:szCs w:val="12"/>
                <w:color w:val="auto"/>
              </w:rPr>
            </w:pPr>
          </w:p>
        </w:tc>
        <w:tc>
          <w:tcPr>
            <w:tcW w:w="820" w:type="dxa"/>
            <w:vAlign w:val="bottom"/>
            <w:vMerge w:val="continue"/>
            <w:shd w:val="clear" w:color="auto" w:fill="5EB5FC"/>
          </w:tcPr>
          <w:p>
            <w:pPr>
              <w:spacing w:after="0"/>
              <w:rPr>
                <w:sz w:val="12"/>
                <w:szCs w:val="12"/>
                <w:color w:val="auto"/>
              </w:rPr>
            </w:pPr>
          </w:p>
        </w:tc>
        <w:tc>
          <w:tcPr>
            <w:tcW w:w="50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Class</w:t>
            </w:r>
          </w:p>
        </w:tc>
        <w:tc>
          <w:tcPr>
            <w:tcW w:w="112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Meeting of</w:t>
            </w:r>
          </w:p>
        </w:tc>
        <w:tc>
          <w:tcPr>
            <w:tcW w:w="900" w:type="dxa"/>
            <w:vAlign w:val="bottom"/>
            <w:vMerge w:val="continue"/>
            <w:shd w:val="clear" w:color="auto" w:fill="5EB5FC"/>
          </w:tcPr>
          <w:p>
            <w:pPr>
              <w:spacing w:after="0"/>
              <w:rPr>
                <w:sz w:val="12"/>
                <w:szCs w:val="12"/>
                <w:color w:val="auto"/>
              </w:rPr>
            </w:pPr>
          </w:p>
        </w:tc>
        <w:tc>
          <w:tcPr>
            <w:tcW w:w="1100" w:type="dxa"/>
            <w:vAlign w:val="bottom"/>
            <w:vMerge w:val="continue"/>
            <w:shd w:val="clear" w:color="auto" w:fill="5EB5FC"/>
          </w:tcPr>
          <w:p>
            <w:pPr>
              <w:spacing w:after="0"/>
              <w:rPr>
                <w:sz w:val="12"/>
                <w:szCs w:val="12"/>
                <w:color w:val="auto"/>
              </w:rPr>
            </w:pPr>
          </w:p>
        </w:tc>
        <w:tc>
          <w:tcPr>
            <w:tcW w:w="96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3"/>
              </w:rPr>
              <w:t>Governance</w:t>
            </w:r>
          </w:p>
        </w:tc>
        <w:tc>
          <w:tcPr>
            <w:tcW w:w="980" w:type="dxa"/>
            <w:vAlign w:val="bottom"/>
            <w:tcBorders>
              <w:right w:val="single" w:sz="8" w:color="3A70FF"/>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2"/>
              </w:rPr>
              <w:t>Strategy</w:t>
            </w:r>
          </w:p>
        </w:tc>
        <w:tc>
          <w:tcPr>
            <w:tcW w:w="0" w:type="dxa"/>
            <w:vAlign w:val="bottom"/>
          </w:tcPr>
          <w:p>
            <w:pPr>
              <w:spacing w:after="0"/>
              <w:rPr>
                <w:sz w:val="1"/>
                <w:szCs w:val="1"/>
                <w:color w:val="auto"/>
              </w:rPr>
            </w:pPr>
          </w:p>
        </w:tc>
      </w:tr>
      <w:tr>
        <w:trPr>
          <w:trHeight w:val="219"/>
        </w:trPr>
        <w:tc>
          <w:tcPr>
            <w:tcW w:w="3580" w:type="dxa"/>
            <w:vAlign w:val="bottom"/>
            <w:tcBorders>
              <w:left w:val="single" w:sz="8" w:color="3A70FF"/>
              <w:bottom w:val="single" w:sz="8" w:color="5EB5FC"/>
            </w:tcBorders>
            <w:vMerge w:val="continue"/>
            <w:shd w:val="clear" w:color="auto" w:fill="5EB5FC"/>
          </w:tcPr>
          <w:p>
            <w:pPr>
              <w:spacing w:after="0"/>
              <w:rPr>
                <w:sz w:val="19"/>
                <w:szCs w:val="19"/>
                <w:color w:val="auto"/>
              </w:rPr>
            </w:pPr>
          </w:p>
        </w:tc>
        <w:tc>
          <w:tcPr>
            <w:tcW w:w="1080" w:type="dxa"/>
            <w:vAlign w:val="bottom"/>
            <w:tcBorders>
              <w:bottom w:val="single" w:sz="8" w:color="5EB5FC"/>
            </w:tcBorders>
            <w:shd w:val="clear" w:color="auto" w:fill="5EB5FC"/>
          </w:tcPr>
          <w:p>
            <w:pPr>
              <w:ind w:left="420"/>
              <w:spacing w:after="0"/>
              <w:rPr>
                <w:sz w:val="20"/>
                <w:szCs w:val="20"/>
                <w:color w:val="auto"/>
              </w:rPr>
            </w:pPr>
            <w:r>
              <w:rPr>
                <w:rFonts w:ascii="Arial" w:cs="Arial" w:eastAsia="Arial" w:hAnsi="Arial"/>
                <w:sz w:val="14"/>
                <w:szCs w:val="14"/>
                <w:b w:val="1"/>
                <w:bCs w:val="1"/>
                <w:color w:val="FFFFFF"/>
              </w:rPr>
              <w:t>Since</w:t>
            </w:r>
          </w:p>
        </w:tc>
        <w:tc>
          <w:tcPr>
            <w:tcW w:w="82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Directors</w:t>
            </w:r>
          </w:p>
        </w:tc>
        <w:tc>
          <w:tcPr>
            <w:tcW w:w="500" w:type="dxa"/>
            <w:vAlign w:val="bottom"/>
            <w:tcBorders>
              <w:bottom w:val="single" w:sz="8" w:color="5EB5FC"/>
            </w:tcBorders>
            <w:vMerge w:val="continue"/>
            <w:shd w:val="clear" w:color="auto" w:fill="5EB5FC"/>
          </w:tcPr>
          <w:p>
            <w:pPr>
              <w:spacing w:after="0"/>
              <w:rPr>
                <w:sz w:val="19"/>
                <w:szCs w:val="19"/>
                <w:color w:val="auto"/>
              </w:rPr>
            </w:pPr>
          </w:p>
        </w:tc>
        <w:tc>
          <w:tcPr>
            <w:tcW w:w="112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Stockholders</w:t>
            </w:r>
          </w:p>
        </w:tc>
        <w:tc>
          <w:tcPr>
            <w:tcW w:w="90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110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96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980" w:type="dxa"/>
            <w:vAlign w:val="bottom"/>
            <w:tcBorders>
              <w:bottom w:val="single" w:sz="8" w:color="5EB5FC"/>
              <w:right w:val="single" w:sz="8" w:color="3A70FF"/>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Committee</w:t>
            </w: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shd w:val="clear" w:color="auto" w:fill="DDEDFC"/>
          </w:tcPr>
          <w:p>
            <w:pPr>
              <w:ind w:left="200"/>
              <w:spacing w:after="0"/>
              <w:rPr>
                <w:sz w:val="20"/>
                <w:szCs w:val="20"/>
                <w:color w:val="auto"/>
              </w:rPr>
            </w:pPr>
            <w:r>
              <w:rPr>
                <w:rFonts w:ascii="Arial" w:cs="Arial" w:eastAsia="Arial" w:hAnsi="Arial"/>
                <w:sz w:val="18"/>
                <w:szCs w:val="18"/>
                <w:color w:val="auto"/>
              </w:rPr>
              <w:t>Brian Markison</w:t>
            </w:r>
          </w:p>
        </w:tc>
        <w:tc>
          <w:tcPr>
            <w:tcW w:w="1080" w:type="dxa"/>
            <w:vAlign w:val="bottom"/>
            <w:shd w:val="clear" w:color="auto" w:fill="DDEDFC"/>
          </w:tcPr>
          <w:p>
            <w:pPr>
              <w:ind w:left="200"/>
              <w:spacing w:after="0"/>
              <w:rPr>
                <w:sz w:val="20"/>
                <w:szCs w:val="20"/>
                <w:color w:val="auto"/>
              </w:rPr>
            </w:pPr>
            <w:r>
              <w:rPr>
                <w:rFonts w:ascii="Arial" w:cs="Arial" w:eastAsia="Arial" w:hAnsi="Arial"/>
                <w:sz w:val="18"/>
                <w:szCs w:val="18"/>
                <w:color w:val="auto"/>
                <w:w w:val="98"/>
              </w:rPr>
              <w:t>Sept. 2012</w:t>
            </w:r>
          </w:p>
        </w:tc>
        <w:tc>
          <w:tcPr>
            <w:tcW w:w="8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2"/>
              </w:rPr>
              <w:t>Chair</w:t>
            </w:r>
          </w:p>
        </w:tc>
        <w:tc>
          <w:tcPr>
            <w:tcW w:w="500" w:type="dxa"/>
            <w:vAlign w:val="bottom"/>
            <w:shd w:val="clear" w:color="auto" w:fill="DDEDFC"/>
          </w:tcPr>
          <w:p>
            <w:pPr>
              <w:jc w:val="center"/>
              <w:spacing w:after="0"/>
              <w:rPr>
                <w:sz w:val="20"/>
                <w:szCs w:val="20"/>
                <w:color w:val="auto"/>
              </w:rPr>
            </w:pPr>
            <w:r>
              <w:rPr>
                <w:rFonts w:ascii="Arial" w:cs="Arial" w:eastAsia="Arial" w:hAnsi="Arial"/>
                <w:sz w:val="18"/>
                <w:szCs w:val="18"/>
                <w:color w:val="auto"/>
              </w:rPr>
              <w:t>III</w:t>
            </w:r>
          </w:p>
        </w:tc>
        <w:tc>
          <w:tcPr>
            <w:tcW w:w="11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2021</w:t>
            </w:r>
          </w:p>
        </w:tc>
        <w:tc>
          <w:tcPr>
            <w:tcW w:w="900" w:type="dxa"/>
            <w:vAlign w:val="bottom"/>
            <w:shd w:val="clear" w:color="auto" w:fill="DDEDFC"/>
          </w:tcPr>
          <w:p>
            <w:pPr>
              <w:spacing w:after="0"/>
              <w:rPr>
                <w:sz w:val="23"/>
                <w:szCs w:val="23"/>
                <w:color w:val="auto"/>
              </w:rPr>
            </w:pPr>
          </w:p>
        </w:tc>
        <w:tc>
          <w:tcPr>
            <w:tcW w:w="1100" w:type="dxa"/>
            <w:vAlign w:val="bottom"/>
            <w:shd w:val="clear" w:color="auto" w:fill="DDEDFC"/>
          </w:tcPr>
          <w:p>
            <w:pPr>
              <w:spacing w:after="0"/>
              <w:rPr>
                <w:sz w:val="23"/>
                <w:szCs w:val="23"/>
                <w:color w:val="auto"/>
              </w:rPr>
            </w:pPr>
          </w:p>
        </w:tc>
        <w:tc>
          <w:tcPr>
            <w:tcW w:w="960" w:type="dxa"/>
            <w:vAlign w:val="bottom"/>
            <w:shd w:val="clear" w:color="auto" w:fill="DDEDFC"/>
          </w:tcPr>
          <w:p>
            <w:pPr>
              <w:spacing w:after="0"/>
              <w:rPr>
                <w:sz w:val="23"/>
                <w:szCs w:val="23"/>
                <w:color w:val="auto"/>
              </w:rPr>
            </w:pPr>
          </w:p>
        </w:tc>
        <w:tc>
          <w:tcPr>
            <w:tcW w:w="980" w:type="dxa"/>
            <w:vAlign w:val="bottom"/>
            <w:tcBorders>
              <w:right w:val="single" w:sz="8" w:color="91BCFC"/>
            </w:tcBorders>
            <w:shd w:val="clear" w:color="auto" w:fill="DDEDFC"/>
          </w:tcPr>
          <w:p>
            <w:pPr>
              <w:jc w:val="center"/>
              <w:ind w:left="19"/>
              <w:spacing w:after="0"/>
              <w:rPr>
                <w:sz w:val="20"/>
                <w:szCs w:val="20"/>
                <w:color w:val="auto"/>
              </w:rPr>
            </w:pPr>
            <w:r>
              <w:rPr>
                <w:rFonts w:ascii="Arial" w:cs="Arial" w:eastAsia="Arial" w:hAnsi="Arial"/>
                <w:sz w:val="18"/>
                <w:szCs w:val="18"/>
                <w:color w:val="auto"/>
                <w:w w:val="92"/>
              </w:rPr>
              <w:t>Chair</w:t>
            </w: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tcPr>
          <w:p>
            <w:pPr>
              <w:ind w:left="200"/>
              <w:spacing w:after="0"/>
              <w:rPr>
                <w:sz w:val="20"/>
                <w:szCs w:val="20"/>
                <w:color w:val="auto"/>
              </w:rPr>
            </w:pPr>
            <w:r>
              <w:rPr>
                <w:rFonts w:ascii="Arial" w:cs="Arial" w:eastAsia="Arial" w:hAnsi="Arial"/>
                <w:sz w:val="18"/>
                <w:szCs w:val="18"/>
                <w:color w:val="auto"/>
              </w:rPr>
              <w:t>Mary Anne Heino</w:t>
            </w:r>
          </w:p>
        </w:tc>
        <w:tc>
          <w:tcPr>
            <w:tcW w:w="1080" w:type="dxa"/>
            <w:vAlign w:val="bottom"/>
          </w:tcPr>
          <w:p>
            <w:pPr>
              <w:ind w:left="200"/>
              <w:spacing w:after="0"/>
              <w:rPr>
                <w:sz w:val="20"/>
                <w:szCs w:val="20"/>
                <w:color w:val="auto"/>
              </w:rPr>
            </w:pPr>
            <w:r>
              <w:rPr>
                <w:rFonts w:ascii="Arial" w:cs="Arial" w:eastAsia="Arial" w:hAnsi="Arial"/>
                <w:sz w:val="18"/>
                <w:szCs w:val="18"/>
                <w:color w:val="auto"/>
              </w:rPr>
              <w:t>Aug. 2015</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9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Borders>
              <w:right w:val="single" w:sz="8" w:color="91BCFC"/>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shd w:val="clear" w:color="auto" w:fill="DDEDFC"/>
          </w:tcPr>
          <w:p>
            <w:pPr>
              <w:ind w:left="200"/>
              <w:spacing w:after="0"/>
              <w:rPr>
                <w:sz w:val="20"/>
                <w:szCs w:val="20"/>
                <w:color w:val="auto"/>
              </w:rPr>
            </w:pPr>
            <w:r>
              <w:rPr>
                <w:rFonts w:ascii="Arial" w:cs="Arial" w:eastAsia="Arial" w:hAnsi="Arial"/>
                <w:sz w:val="18"/>
                <w:szCs w:val="18"/>
                <w:color w:val="auto"/>
              </w:rPr>
              <w:t>James Clemmer</w:t>
            </w:r>
          </w:p>
        </w:tc>
        <w:tc>
          <w:tcPr>
            <w:tcW w:w="1080" w:type="dxa"/>
            <w:vAlign w:val="bottom"/>
            <w:shd w:val="clear" w:color="auto" w:fill="DDEDFC"/>
          </w:tcPr>
          <w:p>
            <w:pPr>
              <w:ind w:left="200"/>
              <w:spacing w:after="0"/>
              <w:rPr>
                <w:sz w:val="20"/>
                <w:szCs w:val="20"/>
                <w:color w:val="auto"/>
              </w:rPr>
            </w:pPr>
            <w:r>
              <w:rPr>
                <w:rFonts w:ascii="Arial" w:cs="Arial" w:eastAsia="Arial" w:hAnsi="Arial"/>
                <w:sz w:val="18"/>
                <w:szCs w:val="18"/>
                <w:color w:val="auto"/>
              </w:rPr>
              <w:t>July 2015</w:t>
            </w:r>
          </w:p>
        </w:tc>
        <w:tc>
          <w:tcPr>
            <w:tcW w:w="8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shd w:val="clear" w:color="auto" w:fill="DDEDFC"/>
          </w:tcPr>
          <w:p>
            <w:pPr>
              <w:jc w:val="center"/>
              <w:spacing w:after="0"/>
              <w:rPr>
                <w:sz w:val="20"/>
                <w:szCs w:val="20"/>
                <w:color w:val="auto"/>
              </w:rPr>
            </w:pPr>
            <w:r>
              <w:rPr>
                <w:rFonts w:ascii="Arial" w:cs="Arial" w:eastAsia="Arial" w:hAnsi="Arial"/>
                <w:sz w:val="18"/>
                <w:szCs w:val="18"/>
                <w:color w:val="auto"/>
              </w:rPr>
              <w:t>II</w:t>
            </w:r>
          </w:p>
        </w:tc>
        <w:tc>
          <w:tcPr>
            <w:tcW w:w="11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2020</w:t>
            </w:r>
          </w:p>
        </w:tc>
        <w:tc>
          <w:tcPr>
            <w:tcW w:w="90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3"/>
              </w:rPr>
              <w:t>Member</w:t>
            </w:r>
          </w:p>
        </w:tc>
        <w:tc>
          <w:tcPr>
            <w:tcW w:w="110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0"/>
              </w:rPr>
              <w:t>Member</w:t>
            </w:r>
          </w:p>
        </w:tc>
        <w:tc>
          <w:tcPr>
            <w:tcW w:w="960" w:type="dxa"/>
            <w:vAlign w:val="bottom"/>
            <w:shd w:val="clear" w:color="auto" w:fill="DDEDFC"/>
          </w:tcPr>
          <w:p>
            <w:pPr>
              <w:spacing w:after="0"/>
              <w:rPr>
                <w:sz w:val="23"/>
                <w:szCs w:val="23"/>
                <w:color w:val="auto"/>
              </w:rPr>
            </w:pPr>
          </w:p>
        </w:tc>
        <w:tc>
          <w:tcPr>
            <w:tcW w:w="980" w:type="dxa"/>
            <w:vAlign w:val="bottom"/>
            <w:tcBorders>
              <w:right w:val="single" w:sz="8" w:color="91BCFC"/>
            </w:tcBorders>
            <w:shd w:val="clear" w:color="auto" w:fill="DDED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tcPr>
          <w:p>
            <w:pPr>
              <w:ind w:left="200"/>
              <w:spacing w:after="0"/>
              <w:rPr>
                <w:sz w:val="20"/>
                <w:szCs w:val="20"/>
                <w:color w:val="auto"/>
              </w:rPr>
            </w:pPr>
            <w:r>
              <w:rPr>
                <w:rFonts w:ascii="Arial" w:cs="Arial" w:eastAsia="Arial" w:hAnsi="Arial"/>
                <w:sz w:val="18"/>
                <w:szCs w:val="18"/>
                <w:color w:val="auto"/>
              </w:rPr>
              <w:t>Samuel Leno</w:t>
            </w:r>
          </w:p>
        </w:tc>
        <w:tc>
          <w:tcPr>
            <w:tcW w:w="1080" w:type="dxa"/>
            <w:vAlign w:val="bottom"/>
          </w:tcPr>
          <w:p>
            <w:pPr>
              <w:ind w:left="200"/>
              <w:spacing w:after="0"/>
              <w:rPr>
                <w:sz w:val="20"/>
                <w:szCs w:val="20"/>
                <w:color w:val="auto"/>
              </w:rPr>
            </w:pPr>
            <w:r>
              <w:rPr>
                <w:rFonts w:ascii="Arial" w:cs="Arial" w:eastAsia="Arial" w:hAnsi="Arial"/>
                <w:sz w:val="18"/>
                <w:szCs w:val="18"/>
                <w:color w:val="auto"/>
              </w:rPr>
              <w:t>May 2012</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tcPr>
          <w:p>
            <w:pPr>
              <w:jc w:val="center"/>
              <w:spacing w:after="0"/>
              <w:rPr>
                <w:sz w:val="20"/>
                <w:szCs w:val="20"/>
                <w:color w:val="auto"/>
              </w:rPr>
            </w:pPr>
            <w:r>
              <w:rPr>
                <w:rFonts w:ascii="Arial" w:cs="Arial" w:eastAsia="Arial" w:hAnsi="Arial"/>
                <w:sz w:val="18"/>
                <w:szCs w:val="18"/>
                <w:color w:val="auto"/>
              </w:rPr>
              <w:t>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90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1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Borders>
              <w:right w:val="single" w:sz="8" w:color="91BCFC"/>
            </w:tcBorders>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shd w:val="clear" w:color="auto" w:fill="DDEDFC"/>
          </w:tcPr>
          <w:p>
            <w:pPr>
              <w:ind w:left="200"/>
              <w:spacing w:after="0"/>
              <w:rPr>
                <w:sz w:val="20"/>
                <w:szCs w:val="20"/>
                <w:color w:val="auto"/>
              </w:rPr>
            </w:pPr>
            <w:r>
              <w:rPr>
                <w:rFonts w:ascii="Arial" w:cs="Arial" w:eastAsia="Arial" w:hAnsi="Arial"/>
                <w:sz w:val="18"/>
                <w:szCs w:val="18"/>
                <w:color w:val="auto"/>
              </w:rPr>
              <w:t>Julie McHugh</w:t>
            </w:r>
          </w:p>
        </w:tc>
        <w:tc>
          <w:tcPr>
            <w:tcW w:w="1080" w:type="dxa"/>
            <w:vAlign w:val="bottom"/>
            <w:shd w:val="clear" w:color="auto" w:fill="DDEDFC"/>
          </w:tcPr>
          <w:p>
            <w:pPr>
              <w:ind w:left="200"/>
              <w:spacing w:after="0"/>
              <w:rPr>
                <w:sz w:val="20"/>
                <w:szCs w:val="20"/>
                <w:color w:val="auto"/>
              </w:rPr>
            </w:pPr>
            <w:r>
              <w:rPr>
                <w:rFonts w:ascii="Arial" w:cs="Arial" w:eastAsia="Arial" w:hAnsi="Arial"/>
                <w:sz w:val="18"/>
                <w:szCs w:val="18"/>
                <w:color w:val="auto"/>
              </w:rPr>
              <w:t>Jan. 2017</w:t>
            </w:r>
          </w:p>
        </w:tc>
        <w:tc>
          <w:tcPr>
            <w:tcW w:w="8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shd w:val="clear" w:color="auto" w:fill="DDEDFC"/>
          </w:tcPr>
          <w:p>
            <w:pPr>
              <w:jc w:val="center"/>
              <w:spacing w:after="0"/>
              <w:rPr>
                <w:sz w:val="20"/>
                <w:szCs w:val="20"/>
                <w:color w:val="auto"/>
              </w:rPr>
            </w:pPr>
            <w:r>
              <w:rPr>
                <w:rFonts w:ascii="Arial" w:cs="Arial" w:eastAsia="Arial" w:hAnsi="Arial"/>
                <w:sz w:val="18"/>
                <w:szCs w:val="18"/>
                <w:color w:val="auto"/>
              </w:rPr>
              <w:t>II</w:t>
            </w:r>
          </w:p>
        </w:tc>
        <w:tc>
          <w:tcPr>
            <w:tcW w:w="11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2020</w:t>
            </w:r>
          </w:p>
        </w:tc>
        <w:tc>
          <w:tcPr>
            <w:tcW w:w="900" w:type="dxa"/>
            <w:vAlign w:val="bottom"/>
            <w:shd w:val="clear" w:color="auto" w:fill="DDEDFC"/>
          </w:tcPr>
          <w:p>
            <w:pPr>
              <w:spacing w:after="0"/>
              <w:rPr>
                <w:sz w:val="23"/>
                <w:szCs w:val="23"/>
                <w:color w:val="auto"/>
              </w:rPr>
            </w:pPr>
          </w:p>
        </w:tc>
        <w:tc>
          <w:tcPr>
            <w:tcW w:w="110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2"/>
              </w:rPr>
              <w:t>Chair</w:t>
            </w:r>
          </w:p>
        </w:tc>
        <w:tc>
          <w:tcPr>
            <w:tcW w:w="960" w:type="dxa"/>
            <w:vAlign w:val="bottom"/>
            <w:shd w:val="clear" w:color="auto" w:fill="DDEDFC"/>
          </w:tcPr>
          <w:p>
            <w:pPr>
              <w:spacing w:after="0"/>
              <w:rPr>
                <w:sz w:val="23"/>
                <w:szCs w:val="23"/>
                <w:color w:val="auto"/>
              </w:rPr>
            </w:pPr>
          </w:p>
        </w:tc>
        <w:tc>
          <w:tcPr>
            <w:tcW w:w="980" w:type="dxa"/>
            <w:vAlign w:val="bottom"/>
            <w:tcBorders>
              <w:right w:val="single" w:sz="8" w:color="91BCFC"/>
            </w:tcBorders>
            <w:shd w:val="clear" w:color="auto" w:fill="DDED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tcPr>
          <w:p>
            <w:pPr>
              <w:ind w:left="200"/>
              <w:spacing w:after="0"/>
              <w:rPr>
                <w:sz w:val="20"/>
                <w:szCs w:val="20"/>
                <w:color w:val="auto"/>
              </w:rPr>
            </w:pPr>
            <w:r>
              <w:rPr>
                <w:rFonts w:ascii="Arial" w:cs="Arial" w:eastAsia="Arial" w:hAnsi="Arial"/>
                <w:sz w:val="18"/>
                <w:szCs w:val="18"/>
                <w:color w:val="auto"/>
              </w:rPr>
              <w:t>Gary Pruden</w:t>
            </w:r>
          </w:p>
        </w:tc>
        <w:tc>
          <w:tcPr>
            <w:tcW w:w="1080" w:type="dxa"/>
            <w:vAlign w:val="bottom"/>
          </w:tcPr>
          <w:p>
            <w:pPr>
              <w:ind w:left="200"/>
              <w:spacing w:after="0"/>
              <w:rPr>
                <w:sz w:val="20"/>
                <w:szCs w:val="20"/>
                <w:color w:val="auto"/>
              </w:rPr>
            </w:pPr>
            <w:r>
              <w:rPr>
                <w:rFonts w:ascii="Arial" w:cs="Arial" w:eastAsia="Arial" w:hAnsi="Arial"/>
                <w:sz w:val="18"/>
                <w:szCs w:val="18"/>
                <w:color w:val="auto"/>
              </w:rPr>
              <w:t>Feb. 2018</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tcPr>
          <w:p>
            <w:pPr>
              <w:jc w:val="center"/>
              <w:spacing w:after="0"/>
              <w:rPr>
                <w:sz w:val="20"/>
                <w:szCs w:val="20"/>
                <w:color w:val="auto"/>
              </w:rPr>
            </w:pPr>
            <w:r>
              <w:rPr>
                <w:rFonts w:ascii="Arial" w:cs="Arial" w:eastAsia="Arial" w:hAnsi="Arial"/>
                <w:sz w:val="18"/>
                <w:szCs w:val="18"/>
                <w:color w:val="auto"/>
              </w:rPr>
              <w:t>III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980" w:type="dxa"/>
            <w:vAlign w:val="bottom"/>
            <w:tcBorders>
              <w:right w:val="single" w:sz="8" w:color="91BCFC"/>
            </w:tcBorders>
          </w:tcPr>
          <w:p>
            <w:pPr>
              <w:jc w:val="center"/>
              <w:spacing w:after="0"/>
              <w:rPr>
                <w:sz w:val="20"/>
                <w:szCs w:val="20"/>
                <w:color w:val="auto"/>
              </w:rPr>
            </w:pPr>
            <w:r>
              <w:rPr>
                <w:rFonts w:ascii="Arial" w:cs="Arial" w:eastAsia="Arial" w:hAnsi="Arial"/>
                <w:sz w:val="18"/>
                <w:szCs w:val="18"/>
                <w:color w:val="auto"/>
                <w:w w:val="93"/>
              </w:rPr>
              <w:t>Member</w:t>
            </w: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shd w:val="clear" w:color="auto" w:fill="DDEDFC"/>
          </w:tcPr>
          <w:p>
            <w:pPr>
              <w:ind w:left="200"/>
              <w:spacing w:after="0"/>
              <w:rPr>
                <w:sz w:val="20"/>
                <w:szCs w:val="20"/>
                <w:color w:val="auto"/>
              </w:rPr>
            </w:pPr>
            <w:r>
              <w:rPr>
                <w:rFonts w:ascii="Arial" w:cs="Arial" w:eastAsia="Arial" w:hAnsi="Arial"/>
                <w:sz w:val="18"/>
                <w:szCs w:val="18"/>
                <w:color w:val="auto"/>
              </w:rPr>
              <w:t>Kenneth Pucel</w:t>
            </w:r>
          </w:p>
        </w:tc>
        <w:tc>
          <w:tcPr>
            <w:tcW w:w="1080" w:type="dxa"/>
            <w:vAlign w:val="bottom"/>
            <w:shd w:val="clear" w:color="auto" w:fill="DDEDFC"/>
          </w:tcPr>
          <w:p>
            <w:pPr>
              <w:ind w:left="200"/>
              <w:spacing w:after="0"/>
              <w:rPr>
                <w:sz w:val="20"/>
                <w:szCs w:val="20"/>
                <w:color w:val="auto"/>
              </w:rPr>
            </w:pPr>
            <w:r>
              <w:rPr>
                <w:rFonts w:ascii="Arial" w:cs="Arial" w:eastAsia="Arial" w:hAnsi="Arial"/>
                <w:sz w:val="18"/>
                <w:szCs w:val="18"/>
                <w:color w:val="auto"/>
              </w:rPr>
              <w:t>Feb. 2018</w:t>
            </w:r>
          </w:p>
        </w:tc>
        <w:tc>
          <w:tcPr>
            <w:tcW w:w="8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shd w:val="clear" w:color="auto" w:fill="DDEDFC"/>
          </w:tcPr>
          <w:p>
            <w:pPr>
              <w:jc w:val="center"/>
              <w:spacing w:after="0"/>
              <w:rPr>
                <w:sz w:val="20"/>
                <w:szCs w:val="20"/>
                <w:color w:val="auto"/>
              </w:rPr>
            </w:pPr>
            <w:r>
              <w:rPr>
                <w:rFonts w:ascii="Arial" w:cs="Arial" w:eastAsia="Arial" w:hAnsi="Arial"/>
                <w:sz w:val="18"/>
                <w:szCs w:val="18"/>
                <w:color w:val="auto"/>
              </w:rPr>
              <w:t>III</w:t>
            </w:r>
          </w:p>
        </w:tc>
        <w:tc>
          <w:tcPr>
            <w:tcW w:w="11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2021</w:t>
            </w:r>
          </w:p>
        </w:tc>
        <w:tc>
          <w:tcPr>
            <w:tcW w:w="900" w:type="dxa"/>
            <w:vAlign w:val="bottom"/>
            <w:shd w:val="clear" w:color="auto" w:fill="DDEDFC"/>
          </w:tcPr>
          <w:p>
            <w:pPr>
              <w:spacing w:after="0"/>
              <w:rPr>
                <w:sz w:val="23"/>
                <w:szCs w:val="23"/>
                <w:color w:val="auto"/>
              </w:rPr>
            </w:pPr>
          </w:p>
        </w:tc>
        <w:tc>
          <w:tcPr>
            <w:tcW w:w="110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0"/>
              </w:rPr>
              <w:t>Member</w:t>
            </w:r>
          </w:p>
        </w:tc>
        <w:tc>
          <w:tcPr>
            <w:tcW w:w="960" w:type="dxa"/>
            <w:vAlign w:val="bottom"/>
            <w:shd w:val="clear" w:color="auto" w:fill="DDEDFC"/>
          </w:tcPr>
          <w:p>
            <w:pPr>
              <w:spacing w:after="0"/>
              <w:rPr>
                <w:sz w:val="23"/>
                <w:szCs w:val="23"/>
                <w:color w:val="auto"/>
              </w:rPr>
            </w:pPr>
          </w:p>
        </w:tc>
        <w:tc>
          <w:tcPr>
            <w:tcW w:w="980" w:type="dxa"/>
            <w:vAlign w:val="bottom"/>
            <w:tcBorders>
              <w:right w:val="single" w:sz="8" w:color="91BCFC"/>
            </w:tcBorders>
            <w:shd w:val="clear" w:color="auto" w:fill="DDED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tcPr>
          <w:p>
            <w:pPr>
              <w:ind w:left="200"/>
              <w:spacing w:after="0"/>
              <w:rPr>
                <w:sz w:val="20"/>
                <w:szCs w:val="20"/>
                <w:color w:val="auto"/>
              </w:rPr>
            </w:pPr>
            <w:r>
              <w:rPr>
                <w:rFonts w:ascii="Arial" w:cs="Arial" w:eastAsia="Arial" w:hAnsi="Arial"/>
                <w:sz w:val="18"/>
                <w:szCs w:val="18"/>
                <w:color w:val="auto"/>
              </w:rPr>
              <w:t>Dr. Frederick Robertson</w:t>
            </w:r>
          </w:p>
        </w:tc>
        <w:tc>
          <w:tcPr>
            <w:tcW w:w="1080" w:type="dxa"/>
            <w:vAlign w:val="bottom"/>
          </w:tcPr>
          <w:p>
            <w:pPr>
              <w:ind w:left="200"/>
              <w:spacing w:after="0"/>
              <w:rPr>
                <w:sz w:val="20"/>
                <w:szCs w:val="20"/>
                <w:color w:val="auto"/>
              </w:rPr>
            </w:pPr>
            <w:r>
              <w:rPr>
                <w:rFonts w:ascii="Arial" w:cs="Arial" w:eastAsia="Arial" w:hAnsi="Arial"/>
                <w:sz w:val="18"/>
                <w:szCs w:val="18"/>
                <w:color w:val="auto"/>
              </w:rPr>
              <w:t>Mar. 2016</w:t>
            </w:r>
          </w:p>
        </w:tc>
        <w:tc>
          <w:tcPr>
            <w:tcW w:w="82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tcPr>
          <w:p>
            <w:pPr>
              <w:jc w:val="center"/>
              <w:spacing w:after="0"/>
              <w:rPr>
                <w:sz w:val="20"/>
                <w:szCs w:val="20"/>
                <w:color w:val="auto"/>
              </w:rPr>
            </w:pPr>
            <w:r>
              <w:rPr>
                <w:rFonts w:ascii="Arial" w:cs="Arial" w:eastAsia="Arial" w:hAnsi="Arial"/>
                <w:sz w:val="18"/>
                <w:szCs w:val="18"/>
                <w:color w:val="auto"/>
              </w:rPr>
              <w:t>II</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900" w:type="dxa"/>
            <w:vAlign w:val="bottom"/>
          </w:tcPr>
          <w:p>
            <w:pPr>
              <w:jc w:val="center"/>
              <w:spacing w:after="0"/>
              <w:rPr>
                <w:sz w:val="20"/>
                <w:szCs w:val="20"/>
                <w:color w:val="auto"/>
              </w:rPr>
            </w:pPr>
            <w:r>
              <w:rPr>
                <w:rFonts w:ascii="Arial" w:cs="Arial" w:eastAsia="Arial" w:hAnsi="Arial"/>
                <w:sz w:val="18"/>
                <w:szCs w:val="18"/>
                <w:color w:val="auto"/>
                <w:w w:val="93"/>
              </w:rPr>
              <w:t>Member</w:t>
            </w:r>
          </w:p>
        </w:tc>
        <w:tc>
          <w:tcPr>
            <w:tcW w:w="1100" w:type="dxa"/>
            <w:vAlign w:val="bottom"/>
          </w:tcPr>
          <w:p>
            <w:pPr>
              <w:spacing w:after="0"/>
              <w:rPr>
                <w:sz w:val="23"/>
                <w:szCs w:val="23"/>
                <w:color w:val="auto"/>
              </w:rPr>
            </w:pPr>
          </w:p>
        </w:tc>
        <w:tc>
          <w:tcPr>
            <w:tcW w:w="960" w:type="dxa"/>
            <w:vAlign w:val="bottom"/>
          </w:tcPr>
          <w:p>
            <w:pPr>
              <w:jc w:val="center"/>
              <w:spacing w:after="0"/>
              <w:rPr>
                <w:sz w:val="20"/>
                <w:szCs w:val="20"/>
                <w:color w:val="auto"/>
              </w:rPr>
            </w:pPr>
            <w:r>
              <w:rPr>
                <w:rFonts w:ascii="Arial" w:cs="Arial" w:eastAsia="Arial" w:hAnsi="Arial"/>
                <w:sz w:val="18"/>
                <w:szCs w:val="18"/>
                <w:color w:val="auto"/>
                <w:w w:val="92"/>
              </w:rPr>
              <w:t>Chair</w:t>
            </w:r>
          </w:p>
        </w:tc>
        <w:tc>
          <w:tcPr>
            <w:tcW w:w="980" w:type="dxa"/>
            <w:vAlign w:val="bottom"/>
            <w:tcBorders>
              <w:right w:val="single" w:sz="8" w:color="91BCFC"/>
            </w:tcBorders>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tcBorders>
            <w:shd w:val="clear" w:color="auto" w:fill="DDEDFC"/>
          </w:tcPr>
          <w:p>
            <w:pPr>
              <w:ind w:left="200"/>
              <w:spacing w:after="0"/>
              <w:rPr>
                <w:sz w:val="20"/>
                <w:szCs w:val="20"/>
                <w:color w:val="auto"/>
              </w:rPr>
            </w:pPr>
            <w:r>
              <w:rPr>
                <w:rFonts w:ascii="Arial" w:cs="Arial" w:eastAsia="Arial" w:hAnsi="Arial"/>
                <w:sz w:val="18"/>
                <w:szCs w:val="18"/>
                <w:color w:val="auto"/>
              </w:rPr>
              <w:t>Dr. Derace Schaffer</w:t>
            </w:r>
          </w:p>
        </w:tc>
        <w:tc>
          <w:tcPr>
            <w:tcW w:w="1080" w:type="dxa"/>
            <w:vAlign w:val="bottom"/>
            <w:shd w:val="clear" w:color="auto" w:fill="DDEDFC"/>
          </w:tcPr>
          <w:p>
            <w:pPr>
              <w:ind w:left="200"/>
              <w:spacing w:after="0"/>
              <w:rPr>
                <w:sz w:val="20"/>
                <w:szCs w:val="20"/>
                <w:color w:val="auto"/>
              </w:rPr>
            </w:pPr>
            <w:r>
              <w:rPr>
                <w:rFonts w:ascii="Arial" w:cs="Arial" w:eastAsia="Arial" w:hAnsi="Arial"/>
                <w:sz w:val="18"/>
                <w:szCs w:val="18"/>
                <w:color w:val="auto"/>
              </w:rPr>
              <w:t>Mar. 2016</w:t>
            </w:r>
          </w:p>
        </w:tc>
        <w:tc>
          <w:tcPr>
            <w:tcW w:w="8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shd w:val="clear" w:color="auto" w:fill="DDEDFC"/>
          </w:tcPr>
          <w:p>
            <w:pPr>
              <w:jc w:val="center"/>
              <w:spacing w:after="0"/>
              <w:rPr>
                <w:sz w:val="20"/>
                <w:szCs w:val="20"/>
                <w:color w:val="auto"/>
              </w:rPr>
            </w:pPr>
            <w:r>
              <w:rPr>
                <w:rFonts w:ascii="Arial" w:cs="Arial" w:eastAsia="Arial" w:hAnsi="Arial"/>
                <w:sz w:val="18"/>
                <w:szCs w:val="18"/>
                <w:color w:val="auto"/>
              </w:rPr>
              <w:t>I</w:t>
            </w:r>
          </w:p>
        </w:tc>
        <w:tc>
          <w:tcPr>
            <w:tcW w:w="112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2022</w:t>
            </w:r>
          </w:p>
        </w:tc>
        <w:tc>
          <w:tcPr>
            <w:tcW w:w="900" w:type="dxa"/>
            <w:vAlign w:val="bottom"/>
            <w:shd w:val="clear" w:color="auto" w:fill="DDEDFC"/>
          </w:tcPr>
          <w:p>
            <w:pPr>
              <w:spacing w:after="0"/>
              <w:rPr>
                <w:sz w:val="23"/>
                <w:szCs w:val="23"/>
                <w:color w:val="auto"/>
              </w:rPr>
            </w:pPr>
          </w:p>
        </w:tc>
        <w:tc>
          <w:tcPr>
            <w:tcW w:w="110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0"/>
              </w:rPr>
              <w:t>Member</w:t>
            </w:r>
          </w:p>
        </w:tc>
        <w:tc>
          <w:tcPr>
            <w:tcW w:w="96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0"/>
              </w:rPr>
              <w:t>Member</w:t>
            </w:r>
          </w:p>
        </w:tc>
        <w:tc>
          <w:tcPr>
            <w:tcW w:w="980" w:type="dxa"/>
            <w:vAlign w:val="bottom"/>
            <w:tcBorders>
              <w:right w:val="single" w:sz="8" w:color="91BCFC"/>
            </w:tcBorders>
            <w:shd w:val="clear" w:color="auto" w:fill="DDEDFC"/>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80" w:type="dxa"/>
            <w:vAlign w:val="bottom"/>
            <w:tcBorders>
              <w:left w:val="single" w:sz="8" w:color="91BCFC"/>
              <w:bottom w:val="single" w:sz="8" w:color="91BCFC"/>
            </w:tcBorders>
          </w:tcPr>
          <w:p>
            <w:pPr>
              <w:ind w:left="200"/>
              <w:spacing w:after="0"/>
              <w:rPr>
                <w:sz w:val="20"/>
                <w:szCs w:val="20"/>
                <w:color w:val="auto"/>
              </w:rPr>
            </w:pPr>
            <w:r>
              <w:rPr>
                <w:rFonts w:ascii="Arial" w:cs="Arial" w:eastAsia="Arial" w:hAnsi="Arial"/>
                <w:sz w:val="18"/>
                <w:szCs w:val="18"/>
                <w:color w:val="auto"/>
              </w:rPr>
              <w:t>Dr. James Thrall</w:t>
            </w:r>
          </w:p>
        </w:tc>
        <w:tc>
          <w:tcPr>
            <w:tcW w:w="1080" w:type="dxa"/>
            <w:vAlign w:val="bottom"/>
            <w:tcBorders>
              <w:bottom w:val="single" w:sz="8" w:color="91BCFC"/>
            </w:tcBorders>
          </w:tcPr>
          <w:p>
            <w:pPr>
              <w:ind w:left="200"/>
              <w:spacing w:after="0"/>
              <w:rPr>
                <w:sz w:val="20"/>
                <w:szCs w:val="20"/>
                <w:color w:val="auto"/>
              </w:rPr>
            </w:pPr>
            <w:r>
              <w:rPr>
                <w:rFonts w:ascii="Arial" w:cs="Arial" w:eastAsia="Arial" w:hAnsi="Arial"/>
                <w:sz w:val="18"/>
                <w:szCs w:val="18"/>
                <w:color w:val="auto"/>
              </w:rPr>
              <w:t>Feb. 2018</w:t>
            </w:r>
          </w:p>
        </w:tc>
        <w:tc>
          <w:tcPr>
            <w:tcW w:w="820" w:type="dxa"/>
            <w:vAlign w:val="bottom"/>
            <w:tcBorders>
              <w:bottom w:val="single" w:sz="8" w:color="91BCFC"/>
            </w:tcBorders>
          </w:tcPr>
          <w:p>
            <w:pPr>
              <w:jc w:val="center"/>
              <w:spacing w:after="0"/>
              <w:rPr>
                <w:sz w:val="20"/>
                <w:szCs w:val="20"/>
                <w:color w:val="auto"/>
              </w:rPr>
            </w:pPr>
            <w:r>
              <w:rPr>
                <w:rFonts w:ascii="Arial" w:cs="Arial" w:eastAsia="Arial" w:hAnsi="Arial"/>
                <w:sz w:val="18"/>
                <w:szCs w:val="18"/>
                <w:color w:val="auto"/>
                <w:w w:val="93"/>
              </w:rPr>
              <w:t>Member</w:t>
            </w:r>
          </w:p>
        </w:tc>
        <w:tc>
          <w:tcPr>
            <w:tcW w:w="500" w:type="dxa"/>
            <w:vAlign w:val="bottom"/>
            <w:tcBorders>
              <w:bottom w:val="single" w:sz="8" w:color="91BCFC"/>
            </w:tcBorders>
          </w:tcPr>
          <w:p>
            <w:pPr>
              <w:jc w:val="center"/>
              <w:spacing w:after="0"/>
              <w:rPr>
                <w:sz w:val="20"/>
                <w:szCs w:val="20"/>
                <w:color w:val="auto"/>
              </w:rPr>
            </w:pPr>
            <w:r>
              <w:rPr>
                <w:rFonts w:ascii="Arial" w:cs="Arial" w:eastAsia="Arial" w:hAnsi="Arial"/>
                <w:sz w:val="18"/>
                <w:szCs w:val="18"/>
                <w:color w:val="auto"/>
              </w:rPr>
              <w:t>III</w:t>
            </w:r>
          </w:p>
        </w:tc>
        <w:tc>
          <w:tcPr>
            <w:tcW w:w="1120" w:type="dxa"/>
            <w:vAlign w:val="bottom"/>
            <w:tcBorders>
              <w:bottom w:val="single" w:sz="8" w:color="91BCFC"/>
            </w:tcBorders>
          </w:tcPr>
          <w:p>
            <w:pPr>
              <w:jc w:val="center"/>
              <w:spacing w:after="0"/>
              <w:rPr>
                <w:sz w:val="20"/>
                <w:szCs w:val="20"/>
                <w:color w:val="auto"/>
              </w:rPr>
            </w:pPr>
            <w:r>
              <w:rPr>
                <w:rFonts w:ascii="Arial" w:cs="Arial" w:eastAsia="Arial" w:hAnsi="Arial"/>
                <w:sz w:val="18"/>
                <w:szCs w:val="18"/>
                <w:color w:val="auto"/>
                <w:w w:val="89"/>
              </w:rPr>
              <w:t>2021</w:t>
            </w:r>
          </w:p>
        </w:tc>
        <w:tc>
          <w:tcPr>
            <w:tcW w:w="900" w:type="dxa"/>
            <w:vAlign w:val="bottom"/>
            <w:tcBorders>
              <w:bottom w:val="single" w:sz="8" w:color="91BCFC"/>
            </w:tcBorders>
          </w:tcPr>
          <w:p>
            <w:pPr>
              <w:spacing w:after="0"/>
              <w:rPr>
                <w:sz w:val="23"/>
                <w:szCs w:val="23"/>
                <w:color w:val="auto"/>
              </w:rPr>
            </w:pPr>
          </w:p>
        </w:tc>
        <w:tc>
          <w:tcPr>
            <w:tcW w:w="1100" w:type="dxa"/>
            <w:vAlign w:val="bottom"/>
            <w:tcBorders>
              <w:bottom w:val="single" w:sz="8" w:color="91BCFC"/>
            </w:tcBorders>
          </w:tcPr>
          <w:p>
            <w:pPr>
              <w:spacing w:after="0"/>
              <w:rPr>
                <w:sz w:val="23"/>
                <w:szCs w:val="23"/>
                <w:color w:val="auto"/>
              </w:rPr>
            </w:pPr>
          </w:p>
        </w:tc>
        <w:tc>
          <w:tcPr>
            <w:tcW w:w="960" w:type="dxa"/>
            <w:vAlign w:val="bottom"/>
            <w:tcBorders>
              <w:bottom w:val="single" w:sz="8" w:color="91BCFC"/>
            </w:tcBorders>
          </w:tcPr>
          <w:p>
            <w:pPr>
              <w:jc w:val="center"/>
              <w:spacing w:after="0"/>
              <w:rPr>
                <w:sz w:val="20"/>
                <w:szCs w:val="20"/>
                <w:color w:val="auto"/>
              </w:rPr>
            </w:pPr>
            <w:r>
              <w:rPr>
                <w:rFonts w:ascii="Arial" w:cs="Arial" w:eastAsia="Arial" w:hAnsi="Arial"/>
                <w:sz w:val="18"/>
                <w:szCs w:val="18"/>
                <w:color w:val="auto"/>
                <w:w w:val="90"/>
              </w:rPr>
              <w:t>Member</w:t>
            </w:r>
          </w:p>
        </w:tc>
        <w:tc>
          <w:tcPr>
            <w:tcW w:w="980" w:type="dxa"/>
            <w:vAlign w:val="bottom"/>
            <w:tcBorders>
              <w:bottom w:val="single" w:sz="8" w:color="91BCFC"/>
              <w:right w:val="single" w:sz="8" w:color="91BCFC"/>
            </w:tcBorders>
          </w:tcPr>
          <w:p>
            <w:pPr>
              <w:spacing w:after="0"/>
              <w:rPr>
                <w:sz w:val="23"/>
                <w:szCs w:val="23"/>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of Directors and Committee Meetings; Annual Meeting Attendance</w:t>
      </w:r>
    </w:p>
    <w:p>
      <w:pPr>
        <w:spacing w:after="0" w:line="117"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In 2019, the Board held seventeen meetings and acted by written consent in lieu of a meeting one time, the Audit Committee held seven meetings, the Compensation Committee held five meetings, the Nominating and</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459" w:right="4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93" w:lineRule="auto"/>
        <w:rPr>
          <w:sz w:val="20"/>
          <w:szCs w:val="20"/>
          <w:color w:val="auto"/>
        </w:rPr>
      </w:pPr>
      <w:r>
        <w:rPr>
          <w:rFonts w:ascii="Arial" w:cs="Arial" w:eastAsia="Arial" w:hAnsi="Arial"/>
          <w:sz w:val="16"/>
          <w:szCs w:val="16"/>
          <w:color w:val="auto"/>
        </w:rPr>
        <w:t>Corporate Governance Committee held four meetings and the Finance and Strategy Committee held eight meetings. During 2019, each director attended at least 75% of the total number of meetings held by the Board and those of its committees on which that director served, except for Mr. Clemmer, who had, on a couple of occasions, a conflicting schedule of board of directors and committee meetings for the public company at which he serves as a director and chief executive officer. The non-employee directors of the Company meet in executive session without management present at the end of most meetings of the Board. Under the Corporate Governance Guidelines and Principles adopted by the Board, the independent Chairperson of the Board presides at those executive sessions, and those executive sessions must occur no less frequently than twice per year.</w:t>
      </w:r>
    </w:p>
    <w:p>
      <w:pPr>
        <w:spacing w:after="0" w:line="164"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We have no formal policy with respect to director attendance at our Annual Meetings of Stockholders, however, we encourage all directors to attend. All but one of our then-serving directors attended the 2019 Annual Meeting of Stockholders.</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Director Independence</w:t>
      </w:r>
    </w:p>
    <w:p>
      <w:pPr>
        <w:spacing w:after="0" w:line="117" w:lineRule="exact"/>
        <w:rPr>
          <w:sz w:val="20"/>
          <w:szCs w:val="20"/>
          <w:color w:val="auto"/>
        </w:rPr>
      </w:pPr>
    </w:p>
    <w:p>
      <w:pPr>
        <w:ind w:left="120" w:firstLine="440"/>
        <w:spacing w:after="0" w:line="286" w:lineRule="auto"/>
        <w:rPr>
          <w:sz w:val="20"/>
          <w:szCs w:val="20"/>
          <w:color w:val="auto"/>
        </w:rPr>
      </w:pPr>
      <w:r>
        <w:rPr>
          <w:rFonts w:ascii="Arial" w:cs="Arial" w:eastAsia="Arial" w:hAnsi="Arial"/>
          <w:sz w:val="17"/>
          <w:szCs w:val="17"/>
          <w:color w:val="auto"/>
        </w:rPr>
        <w:t>Nine out of ten members of the Board are independent directors. In addition, the Audit Committee, Compensation Committee and Nominating and Corporate Governance Committee are each comprised entirely of directors meeting the requirements of the Sarbanes-Oxley Act and the Nasdaq audit, compensation and nominating and corporate governance committee independence requirements, as applicable.</w:t>
      </w:r>
    </w:p>
    <w:p>
      <w:pPr>
        <w:spacing w:after="0" w:line="165"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The Board has reviewed its composition, the composition of its committees and the independence of each director and considered whether any director has a material relationship with the Company that could compromise his or her ability to exercise independent judgment in carrying out his or her responsibilities. The Board has affirmatively determined that each of Messrs. Markison, Clemmer, Leno, Pruden and Pucel, Ms. McHugh and Drs. Robertson, Schaffer and Thrall is an “independent director” under the Nasdaq rules and Exchange Act Rule 10A-3(b)(1) and that none of those directors has relationships with the Company that would interfere with that director’s exercise of independent judgment in carrying out his or her responsibilities as a director of the Company.</w:t>
      </w:r>
    </w:p>
    <w:p>
      <w:pPr>
        <w:spacing w:after="0" w:line="300"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of Directors Leadership Structure and Over-Boarding Policy</w:t>
      </w:r>
    </w:p>
    <w:p>
      <w:pPr>
        <w:spacing w:after="0" w:line="117" w:lineRule="exact"/>
        <w:rPr>
          <w:sz w:val="20"/>
          <w:szCs w:val="20"/>
          <w:color w:val="auto"/>
        </w:rPr>
      </w:pPr>
    </w:p>
    <w:p>
      <w:pPr>
        <w:ind w:left="120" w:right="260" w:firstLine="440"/>
        <w:spacing w:after="0" w:line="263" w:lineRule="auto"/>
        <w:rPr>
          <w:sz w:val="20"/>
          <w:szCs w:val="20"/>
          <w:color w:val="auto"/>
        </w:rPr>
      </w:pPr>
      <w:r>
        <w:rPr>
          <w:rFonts w:ascii="Arial" w:cs="Arial" w:eastAsia="Arial" w:hAnsi="Arial"/>
          <w:sz w:val="18"/>
          <w:szCs w:val="18"/>
          <w:color w:val="auto"/>
        </w:rPr>
        <w:t>Under our Corporate Governance Guidelines and Principles, the Board currently requires the separation of the offices of the Chairperson of the Board and the Company’s Chief Executive Officer (“</w:t>
      </w:r>
      <w:r>
        <w:rPr>
          <w:rFonts w:ascii="Arial" w:cs="Arial" w:eastAsia="Arial" w:hAnsi="Arial"/>
          <w:sz w:val="18"/>
          <w:szCs w:val="18"/>
          <w:b w:val="1"/>
          <w:bCs w:val="1"/>
          <w:i w:val="1"/>
          <w:iCs w:val="1"/>
          <w:color w:val="auto"/>
        </w:rPr>
        <w:t>CEO</w:t>
      </w:r>
      <w:r>
        <w:rPr>
          <w:rFonts w:ascii="Arial" w:cs="Arial" w:eastAsia="Arial" w:hAnsi="Arial"/>
          <w:sz w:val="18"/>
          <w:szCs w:val="18"/>
          <w:color w:val="auto"/>
        </w:rPr>
        <w:t>”). The Board periodically reviews its leadership structure and may make changes in the future.</w:t>
      </w:r>
    </w:p>
    <w:p>
      <w:pPr>
        <w:spacing w:after="0" w:line="184" w:lineRule="exact"/>
        <w:rPr>
          <w:sz w:val="20"/>
          <w:szCs w:val="20"/>
          <w:color w:val="auto"/>
        </w:rPr>
      </w:pPr>
    </w:p>
    <w:p>
      <w:pPr>
        <w:ind w:left="120" w:firstLine="440"/>
        <w:spacing w:after="0" w:line="263" w:lineRule="auto"/>
        <w:rPr>
          <w:sz w:val="20"/>
          <w:szCs w:val="20"/>
          <w:color w:val="auto"/>
        </w:rPr>
      </w:pPr>
      <w:r>
        <w:rPr>
          <w:rFonts w:ascii="Arial" w:cs="Arial" w:eastAsia="Arial" w:hAnsi="Arial"/>
          <w:sz w:val="18"/>
          <w:szCs w:val="18"/>
          <w:color w:val="auto"/>
        </w:rPr>
        <w:t>Also under our Corporate Governance Guidelines and Principles, the Board currently prohibits a director from serving on more than five total public company boards (including our Board) and, if the director is the chief executive officer of a public company, then he or she may serve on no more than two other public company boards (other than his or her own).</w:t>
      </w:r>
    </w:p>
    <w:p>
      <w:pPr>
        <w:spacing w:after="0" w:line="184" w:lineRule="exact"/>
        <w:rPr>
          <w:sz w:val="20"/>
          <w:szCs w:val="20"/>
          <w:color w:val="auto"/>
        </w:rPr>
      </w:pPr>
    </w:p>
    <w:p>
      <w:pPr>
        <w:ind w:left="120" w:right="440" w:firstLine="440"/>
        <w:spacing w:after="0" w:line="277" w:lineRule="auto"/>
        <w:rPr>
          <w:sz w:val="20"/>
          <w:szCs w:val="20"/>
          <w:color w:val="auto"/>
        </w:rPr>
      </w:pPr>
      <w:r>
        <w:rPr>
          <w:rFonts w:ascii="Arial" w:cs="Arial" w:eastAsia="Arial" w:hAnsi="Arial"/>
          <w:sz w:val="18"/>
          <w:szCs w:val="18"/>
          <w:color w:val="auto"/>
        </w:rPr>
        <w:t>Our written Corporate Governance Guidelines and Principles adopted by the Board are available in the Corporate Governance section of our Investor Relations website at http://investor.lantheus.com.</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Board of Directors Role in Risk Oversight</w:t>
      </w:r>
    </w:p>
    <w:p>
      <w:pPr>
        <w:spacing w:after="0" w:line="117"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The Company’s management is primarily responsible for the day-to-day management of the Company. However, the Board believes that oversight of risk management is one of its fundamental responsibilities and has delegated to its committees oversight and management of specific risks, which those committees report to the Board. The Audit Committee is primarily responsible for oversight of the quality and integrity of the Company’s financial reporting process, internal controls over financial reporting, compliance programs, enterprise risk management and information technology systems, processes and data, including physical security and cybersecurity. The Compensation Committee is responsible for reviewing compensation-related</w:t>
      </w:r>
    </w:p>
    <w:p>
      <w:pPr>
        <w:spacing w:after="0" w:line="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120"/>
          </w:cols>
          <w:pgMar w:left="320" w:top="459" w:right="4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301" w:lineRule="auto"/>
        <w:rPr>
          <w:sz w:val="20"/>
          <w:szCs w:val="20"/>
          <w:color w:val="auto"/>
        </w:rPr>
      </w:pPr>
      <w:r>
        <w:rPr>
          <w:rFonts w:ascii="Arial" w:cs="Arial" w:eastAsia="Arial" w:hAnsi="Arial"/>
          <w:sz w:val="16"/>
          <w:szCs w:val="16"/>
          <w:color w:val="auto"/>
        </w:rPr>
        <w:t>risks and non-CEO senior management succession planning. The Nominating and Corporate Governance Committee is responsible for oversight of CEO succession planning, the Company’s corporate governance and environmental, social and governance initiatives. The Financing and Strategy Committee is responsible for oversight of the Company’s capital structure and transactional-related risks. Management regularly reports to the Board and its committees on the risks that the Company may face and the steps that management is taking to mitigate those risks.</w:t>
      </w:r>
    </w:p>
    <w:p>
      <w:pPr>
        <w:spacing w:after="0" w:line="157"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Audit Committee is also responsible for reviewing and discussing with our management our policies and processes relating to risk assessment and risk management. With respect to cybersecurity risks, the Company has invested and continues to invest in new information and cybersecurity services and technologies and provides employee awareness training around phishing, malware and other cybersecurity risks, all in a manner reasonably intended to protect the Company against cybersecurity risks and security breaches.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Committees</w:t>
      </w:r>
    </w:p>
    <w:p>
      <w:pPr>
        <w:spacing w:after="0" w:line="12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The Board has the authority to appoint committees to perform certain management and administrative functions. Currently, the Board has four committees: the Audit Committee, the Compensation Committee, the Nominating and Corporate Governance Committee, and the Financing and Strategy Committee. The Board has adopted written charter for each committee, copies of which are available on the Corporate Governance section of our Investor Relations website at http://investor.lantheus.com.</w:t>
      </w:r>
    </w:p>
    <w:p>
      <w:pPr>
        <w:spacing w:after="0" w:line="295"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 of the Audit Committee is to assist the Board in overseeing:</w:t>
      </w:r>
    </w:p>
    <w:p>
      <w:pPr>
        <w:spacing w:after="0" w:line="131" w:lineRule="exact"/>
        <w:rPr>
          <w:sz w:val="20"/>
          <w:szCs w:val="20"/>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integrity of our financial statements;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systems of internal control over financial reporting and disclosure controls and procedures;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independent auditors’ qualifications, engagement, compensation and independence;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performance of our independent auditors and our internal audit function;</w:t>
      </w:r>
    </w:p>
    <w:p>
      <w:pPr>
        <w:spacing w:after="0" w:line="130"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legal and regulatory compliance, assessment and management of enterprise risk, our “see something, say something” ethics and compliance philosophy and our whistleblower hotline and website;</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Company’s information technology systems, processes and data, including physical security and cybersecurity;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related person transaction policy.</w:t>
      </w:r>
    </w:p>
    <w:p>
      <w:pPr>
        <w:spacing w:after="0" w:line="225" w:lineRule="exact"/>
        <w:rPr>
          <w:sz w:val="20"/>
          <w:szCs w:val="20"/>
          <w:color w:val="auto"/>
        </w:rPr>
      </w:pPr>
    </w:p>
    <w:p>
      <w:pPr>
        <w:ind w:left="120" w:right="60" w:firstLine="440"/>
        <w:spacing w:after="0" w:line="257" w:lineRule="auto"/>
        <w:rPr>
          <w:sz w:val="20"/>
          <w:szCs w:val="20"/>
          <w:color w:val="auto"/>
        </w:rPr>
      </w:pPr>
      <w:r>
        <w:rPr>
          <w:rFonts w:ascii="Arial" w:cs="Arial" w:eastAsia="Arial" w:hAnsi="Arial"/>
          <w:sz w:val="18"/>
          <w:szCs w:val="18"/>
          <w:color w:val="auto"/>
        </w:rPr>
        <w:t>The Audit Committee is currently composed of Messrs. Leno, Clemmer and Pruden and Dr. Robertson, and Mr. Leno serves as the Chairperson. The Board has affirmatively determined that each of the current members of the Audit Committee meets the definition of “independent director” for the purposes of serving on the Audit Committee under the SEC and Nasdaq rules and has “financial sophistication” as defined under the Nasdaq rules. In addition, the Board has determined that Mr. Leno meets the definition of “Audit Committee Financial Expert,” as that term is defined by the SEC in Item 407(d)(5) of Regulation S-K.</w:t>
      </w:r>
    </w:p>
    <w:p>
      <w:pPr>
        <w:spacing w:after="0" w:line="188"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Pursuant to its charter, the Audit Committee may delegate its responsibilities to a subcommittee so long as that subcommittee is solely comprised of one or more members of the Audit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 of the Compensation Committee is to assist the Board in overseeing:</w:t>
      </w:r>
    </w:p>
    <w:p>
      <w:pPr>
        <w:spacing w:after="0" w:line="131" w:lineRule="exact"/>
        <w:rPr>
          <w:sz w:val="20"/>
          <w:szCs w:val="20"/>
          <w:color w:val="auto"/>
        </w:rPr>
      </w:pPr>
    </w:p>
    <w:p>
      <w:pPr>
        <w:ind w:left="1080" w:hanging="424"/>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management compensation policies and practices;</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100"/>
          </w:cols>
          <w:pgMar w:left="320" w:top="459" w:right="47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determination and approval of the compensation of our executive officers and other members of senior management;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administration of our equity and cash incentive compensation plans;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succession planning for senior management (other than the CEO).</w:t>
      </w:r>
    </w:p>
    <w:p>
      <w:pPr>
        <w:spacing w:after="0" w:line="225"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The Compensation Committee is currently composed of Ms. McHugh, Messrs. Clemmer and Pucel and Dr. Schaffer, and Ms. McHugh serves as the Chairperson. The Board has affirmatively determined that each of the current members of the Compensation Committee meets the definition of “independent director” for purposes of serving on the Compensation Committee under SEC and Nasdaq rules.</w:t>
      </w:r>
    </w:p>
    <w:p>
      <w:pPr>
        <w:spacing w:after="0" w:line="165" w:lineRule="exact"/>
        <w:rPr>
          <w:sz w:val="20"/>
          <w:szCs w:val="20"/>
          <w:color w:val="auto"/>
        </w:rPr>
      </w:pPr>
    </w:p>
    <w:p>
      <w:pPr>
        <w:ind w:left="120" w:right="300" w:firstLine="440"/>
        <w:spacing w:after="0" w:line="263" w:lineRule="auto"/>
        <w:rPr>
          <w:sz w:val="20"/>
          <w:szCs w:val="20"/>
          <w:color w:val="auto"/>
        </w:rPr>
      </w:pPr>
      <w:r>
        <w:rPr>
          <w:rFonts w:ascii="Arial" w:cs="Arial" w:eastAsia="Arial" w:hAnsi="Arial"/>
          <w:sz w:val="18"/>
          <w:szCs w:val="18"/>
          <w:color w:val="auto"/>
        </w:rPr>
        <w:t>Pursuant to its charter, the Compensation Committee may delegate its responsibilities to a subcommittee so long as that subcommittee is solely comprised of one or more members of the Compensation Committee, and may, as permitted by law, delegate its responsibilities to management, employees and other persons.</w:t>
      </w:r>
    </w:p>
    <w:p>
      <w:pPr>
        <w:spacing w:after="0" w:line="29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 of the Nominating and Corporate Governance Committee is to:</w:t>
      </w:r>
    </w:p>
    <w:p>
      <w:pPr>
        <w:spacing w:after="0" w:line="131" w:lineRule="exact"/>
        <w:rPr>
          <w:sz w:val="20"/>
          <w:szCs w:val="20"/>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our corporate governance guidelines and principles;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review the overall corporate governance of the Company and recommend to the Board improvements when necessary;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identify and recommend to the Board individuals qualified to serve as directors of the Company and on committees of the Board;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succession planning for the CEO;</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oversee our environmental, social and governance initiatives; and</w:t>
      </w:r>
    </w:p>
    <w:p>
      <w:pPr>
        <w:spacing w:after="0" w:line="130" w:lineRule="exact"/>
        <w:rPr>
          <w:rFonts w:ascii="Arial" w:cs="Arial" w:eastAsia="Arial" w:hAnsi="Arial"/>
          <w:sz w:val="18"/>
          <w:szCs w:val="18"/>
          <w:color w:val="auto"/>
        </w:rPr>
      </w:pPr>
    </w:p>
    <w:p>
      <w:pPr>
        <w:ind w:left="1080" w:right="280" w:hanging="424"/>
        <w:spacing w:after="0" w:line="277" w:lineRule="auto"/>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assist the Board in overseeing our policies and procedures for the receipt of stockholder suggestions regarding Board compensation and recommendations of the Board.</w:t>
      </w:r>
    </w:p>
    <w:p>
      <w:pPr>
        <w:spacing w:after="0" w:line="170" w:lineRule="exact"/>
        <w:rPr>
          <w:sz w:val="20"/>
          <w:szCs w:val="20"/>
          <w:color w:val="auto"/>
        </w:rPr>
      </w:pPr>
    </w:p>
    <w:p>
      <w:pPr>
        <w:ind w:left="120" w:firstLine="440"/>
        <w:spacing w:after="0" w:line="259" w:lineRule="auto"/>
        <w:rPr>
          <w:sz w:val="20"/>
          <w:szCs w:val="20"/>
          <w:color w:val="auto"/>
        </w:rPr>
      </w:pPr>
      <w:r>
        <w:rPr>
          <w:rFonts w:ascii="Arial" w:cs="Arial" w:eastAsia="Arial" w:hAnsi="Arial"/>
          <w:sz w:val="18"/>
          <w:szCs w:val="18"/>
          <w:color w:val="auto"/>
        </w:rPr>
        <w:t>The Nominating and Corporate Governance Committee is currently comprised of Drs. Robertson, Schaffer and Thrall, and Dr. Robertson serves as the Chairperson. The Board has affirmatively determined that that each of the current members of the Nominating and Corporate Governance Committee meets the definition of “independent director” for purposes of serving on the Nominating and Corporate Governance Committee under SEC and Nasdaq rules.</w:t>
      </w:r>
    </w:p>
    <w:p>
      <w:pPr>
        <w:spacing w:after="0" w:line="187"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Pursuant to its charter, the Nominating and Corporate Governance Committee may delegate its responsibilities to a subcommittee so long as that subcommittee is solely comprised of one or more members of the Nominating and Corporate Governance Committee.</w:t>
      </w:r>
    </w:p>
    <w:p>
      <w:pPr>
        <w:spacing w:after="0" w:line="2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Financing and Strategy Committee</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primary purpose of the Financing and Strategy Committee is to:</w:t>
      </w:r>
    </w:p>
    <w:p>
      <w:pPr>
        <w:spacing w:after="0" w:line="131" w:lineRule="exact"/>
        <w:rPr>
          <w:sz w:val="20"/>
          <w:szCs w:val="20"/>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and make recommendations to the Board about the strategic plan of the Company;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strategic transactions;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oversee the financing activities of the Company;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review and make recommendations to the Board about the financing plans, strategies and instruments of the Company.</w:t>
      </w:r>
    </w:p>
    <w:p>
      <w:pPr>
        <w:spacing w:after="0" w:line="225" w:lineRule="exact"/>
        <w:rPr>
          <w:sz w:val="20"/>
          <w:szCs w:val="20"/>
          <w:color w:val="auto"/>
        </w:rPr>
      </w:pPr>
    </w:p>
    <w:p>
      <w:pPr>
        <w:ind w:left="120" w:right="920" w:firstLine="440"/>
        <w:spacing w:after="0" w:line="277" w:lineRule="auto"/>
        <w:rPr>
          <w:sz w:val="20"/>
          <w:szCs w:val="20"/>
          <w:color w:val="auto"/>
        </w:rPr>
      </w:pPr>
      <w:r>
        <w:rPr>
          <w:rFonts w:ascii="Arial" w:cs="Arial" w:eastAsia="Arial" w:hAnsi="Arial"/>
          <w:sz w:val="18"/>
          <w:szCs w:val="18"/>
          <w:color w:val="auto"/>
        </w:rPr>
        <w:t>The Financing and Strategy Committee is currently composed of Messrs. Markison, Leno and Pruden, and Mr. Markison serves as the Chairperson.</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459" w:right="4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Code of Ethics</w:t>
      </w:r>
    </w:p>
    <w:p>
      <w:pPr>
        <w:spacing w:after="0" w:line="121"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We have codes of business conduct and ethics that are applicable to all of our employees, including our principal executive, financial and accounting officers and our controller, or persons performing similar functions, and all of the non-employee directors on the Board. Our Company Code of Conduct and Ethics and our Supplemental Code of Ethics are available on the Corporate Governance section of our Investor Relations website at http://investor.lantheus.com. We intend to provide any required disclosure of any amendment to or waiver from any code that applies to our principal executive officer, principal financial officer, principal accounting officer or controller, or persons performing similar functions to the extent required by law, on the Corporate Governance section of our Investor Relations website.</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left="120" w:right="200" w:firstLine="440"/>
        <w:spacing w:after="0" w:line="308" w:lineRule="auto"/>
        <w:rPr>
          <w:sz w:val="20"/>
          <w:szCs w:val="20"/>
          <w:color w:val="auto"/>
        </w:rPr>
      </w:pPr>
      <w:r>
        <w:rPr>
          <w:rFonts w:ascii="Arial" w:cs="Arial" w:eastAsia="Arial" w:hAnsi="Arial"/>
          <w:sz w:val="17"/>
          <w:szCs w:val="17"/>
          <w:color w:val="auto"/>
        </w:rPr>
        <w:t>None of our executive officers currently serves, or has served during the last completed fiscal year, on the compensation committee or board of directors of any other entity that has one or more executive officers serving on our Board or Compensation Committee.</w:t>
      </w:r>
    </w:p>
    <w:p>
      <w:pPr>
        <w:spacing w:after="0" w:line="25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and Committee Evaluations</w:t>
      </w:r>
    </w:p>
    <w:p>
      <w:pPr>
        <w:spacing w:after="0" w:line="121" w:lineRule="exact"/>
        <w:rPr>
          <w:sz w:val="20"/>
          <w:szCs w:val="20"/>
          <w:color w:val="auto"/>
        </w:rPr>
      </w:pPr>
    </w:p>
    <w:p>
      <w:pPr>
        <w:ind w:left="120" w:right="60" w:firstLine="440"/>
        <w:spacing w:after="0" w:line="273" w:lineRule="auto"/>
        <w:rPr>
          <w:sz w:val="20"/>
          <w:szCs w:val="20"/>
          <w:color w:val="auto"/>
        </w:rPr>
      </w:pPr>
      <w:r>
        <w:rPr>
          <w:rFonts w:ascii="Arial" w:cs="Arial" w:eastAsia="Arial" w:hAnsi="Arial"/>
          <w:sz w:val="17"/>
          <w:szCs w:val="17"/>
          <w:color w:val="auto"/>
        </w:rPr>
        <w:t>Each year, our Board and each of its committees conduct self-evaluations to evaluate their performance and effectiveness. The Nominating and Corporate Governance Committee recommends to the Board the methodology for those evaluations and oversees their administration. Each member of the Board completes a comprehensive questionnaire to assess that member’s own performance and skill set and the performance of the Board and any committee on which that member serves. The questionnaire seeks answers to questions based both on numerical ratings and qualitative comments. The collective comments and ratings are compiled for and reviewed by the Chairperson of the Nominating and Corporate Governance Committee and then discussed with that Committee and the Board.</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left="120" w:right="100" w:firstLine="440"/>
        <w:spacing w:after="0" w:line="308" w:lineRule="auto"/>
        <w:rPr>
          <w:sz w:val="20"/>
          <w:szCs w:val="20"/>
          <w:color w:val="auto"/>
        </w:rPr>
      </w:pPr>
      <w:r>
        <w:rPr>
          <w:rFonts w:ascii="Arial" w:cs="Arial" w:eastAsia="Arial" w:hAnsi="Arial"/>
          <w:sz w:val="17"/>
          <w:szCs w:val="17"/>
          <w:color w:val="auto"/>
        </w:rPr>
        <w:t>We believe that our Board members have the experience and skills necessary to enable the Company to set and pursue its strategic goals, and the following summarizes key information as of the date of this proxy statement relating to the composition of our Board: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982345</wp:posOffset>
            </wp:positionH>
            <wp:positionV relativeFrom="paragraph">
              <wp:posOffset>119380</wp:posOffset>
            </wp:positionV>
            <wp:extent cx="5186045" cy="25203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86045" cy="2520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060"/>
          </w:cols>
          <w:pgMar w:left="320" w:top="459" w:right="51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Director Nomination Process and Diversity Policy</w:t>
      </w:r>
    </w:p>
    <w:p>
      <w:pPr>
        <w:spacing w:after="0" w:line="121" w:lineRule="exact"/>
        <w:rPr>
          <w:sz w:val="20"/>
          <w:szCs w:val="20"/>
          <w:color w:val="auto"/>
        </w:rPr>
      </w:pPr>
    </w:p>
    <w:p>
      <w:pPr>
        <w:ind w:left="120" w:right="800" w:firstLine="440"/>
        <w:spacing w:after="0" w:line="342" w:lineRule="auto"/>
        <w:rPr>
          <w:sz w:val="20"/>
          <w:szCs w:val="20"/>
          <w:color w:val="auto"/>
        </w:rPr>
      </w:pPr>
      <w:r>
        <w:rPr>
          <w:rFonts w:ascii="Arial" w:cs="Arial" w:eastAsia="Arial" w:hAnsi="Arial"/>
          <w:sz w:val="16"/>
          <w:szCs w:val="16"/>
          <w:color w:val="auto"/>
        </w:rPr>
        <w:t>Each year, the Nominating and Corporate Governance Committee recommends, and the Board proposes, a slate of director nominees to stockholders for election at the Annual Meeting of Stockholders. Stockholders may also nominate directors, as described below.</w:t>
      </w:r>
    </w:p>
    <w:p>
      <w:pPr>
        <w:spacing w:after="0" w:line="124" w:lineRule="exact"/>
        <w:rPr>
          <w:sz w:val="20"/>
          <w:szCs w:val="20"/>
          <w:color w:val="auto"/>
        </w:rPr>
      </w:pPr>
    </w:p>
    <w:p>
      <w:pPr>
        <w:ind w:left="120" w:right="60" w:firstLine="440"/>
        <w:spacing w:after="0" w:line="289" w:lineRule="auto"/>
        <w:rPr>
          <w:sz w:val="20"/>
          <w:szCs w:val="20"/>
          <w:color w:val="auto"/>
        </w:rPr>
      </w:pPr>
      <w:r>
        <w:rPr>
          <w:rFonts w:ascii="Arial" w:cs="Arial" w:eastAsia="Arial" w:hAnsi="Arial"/>
          <w:sz w:val="16"/>
          <w:szCs w:val="16"/>
          <w:color w:val="auto"/>
        </w:rPr>
        <w:t>The Board recognizes the value of appointing individual directors who bring a variety of diverse viewpoints, backgrounds, skills, experiences and expertise to the Board. The Board believes that having a diverse board of directors fosters more productive and beneficial discussions and decision-making processes in support of the Company’s strategic objectives. The Board has adopted a formal diversity policy, a copy of which is available on the Corporate Governance section of our Investor Relations website at http://investor.lantheus.com. Pursuant to our diversity policy, the Nominating and Corporate Governance Committee is responsible for identifying, screening and recommending to the full Board for approval, potential director candidates. In selecting director candidates, the Nominating and Corporate Governance Committee considers a range of matters of diversity, including race, gender, ethnicity, culture, thought, geography, education and competencies, with the goal of having a Board, which as a whole, reflects a range of viewpoints, backgrounds, skills, experience and expertise. The Nominating and Corporate Governance Committee also considers the results of the Board and committee self-evaluations described above, in making its nomination recommendations.</w:t>
      </w:r>
    </w:p>
    <w:p>
      <w:pPr>
        <w:spacing w:after="0" w:line="166" w:lineRule="exact"/>
        <w:rPr>
          <w:sz w:val="20"/>
          <w:szCs w:val="20"/>
          <w:color w:val="auto"/>
        </w:rPr>
      </w:pPr>
    </w:p>
    <w:p>
      <w:pPr>
        <w:ind w:left="120" w:right="220" w:firstLine="440"/>
        <w:spacing w:after="0" w:line="301" w:lineRule="auto"/>
        <w:rPr>
          <w:sz w:val="20"/>
          <w:szCs w:val="20"/>
          <w:color w:val="auto"/>
        </w:rPr>
      </w:pPr>
      <w:r>
        <w:rPr>
          <w:rFonts w:ascii="Arial" w:cs="Arial" w:eastAsia="Arial" w:hAnsi="Arial"/>
          <w:sz w:val="16"/>
          <w:szCs w:val="16"/>
          <w:color w:val="auto"/>
        </w:rPr>
        <w:t>The Nominating and Corporate Governance Committee values the input of stockholders in identifying director candidates. The Nominating and Corporate Governance Committee considers recommendations for Board candidates submitted by stockholders using substantially the same criteria it applies to recommendations from the Nominating and Corporate Governance Committee, directors and members of management. The stockholder making the recommendation must follow the procedures and provide the information set forth in our amended and restated bylaws.</w:t>
      </w:r>
    </w:p>
    <w:p>
      <w:pPr>
        <w:spacing w:after="0" w:line="157"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Stockholders may submit recommendations by providing the person’s name and appropriate background and biographical information by writing to the attention of the Nominating and Corporate Governance Committee at Lantheus Holdings, Inc., 331 Treble Cove Road, North Billerica, MA 01862, Attention: Corporate Secretary. Stockholder nominations may be made at any time. However, in order for a candidate to be included in the slate of director nominees for approval by stockholders in connection with a meeting of stockholders and for information about the candidate to be included in the Company’s proxy materials for such a meeting, the stockholder must submit the information required by our amended and restated bylaws and other information reasonably requested by the Company within the timeframe described in our amended and restated bylaws under “</w:t>
      </w:r>
      <w:r>
        <w:rPr>
          <w:rFonts w:ascii="Arial" w:cs="Arial" w:eastAsia="Arial" w:hAnsi="Arial"/>
          <w:sz w:val="17"/>
          <w:szCs w:val="17"/>
          <w:i w:val="1"/>
          <w:iCs w:val="1"/>
          <w:color w:val="auto"/>
        </w:rPr>
        <w:t>Additional</w:t>
      </w:r>
      <w:r>
        <w:rPr>
          <w:rFonts w:ascii="Arial" w:cs="Arial" w:eastAsia="Arial" w:hAnsi="Arial"/>
          <w:sz w:val="17"/>
          <w:szCs w:val="17"/>
          <w:color w:val="auto"/>
        </w:rPr>
        <w:t xml:space="preserve"> </w:t>
      </w:r>
      <w:r>
        <w:rPr>
          <w:rFonts w:ascii="Arial" w:cs="Arial" w:eastAsia="Arial" w:hAnsi="Arial"/>
          <w:sz w:val="17"/>
          <w:szCs w:val="17"/>
          <w:i w:val="1"/>
          <w:iCs w:val="1"/>
          <w:color w:val="auto"/>
        </w:rPr>
        <w:t>Information—Procedures for Submitting Stockholder Proposals</w:t>
      </w:r>
      <w:r>
        <w:rPr>
          <w:rFonts w:ascii="Arial" w:cs="Arial" w:eastAsia="Arial" w:hAnsi="Arial"/>
          <w:sz w:val="17"/>
          <w:szCs w:val="17"/>
          <w:color w:val="auto"/>
        </w:rPr>
        <w:t>.”</w:t>
      </w:r>
    </w:p>
    <w:p>
      <w:pPr>
        <w:spacing w:after="0" w:line="28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Communication with the Board of Directors</w:t>
      </w:r>
    </w:p>
    <w:p>
      <w:pPr>
        <w:spacing w:after="0" w:line="121"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Any stockholder or other interested parties who would like to communicate with the Board or any of its committees, the independent directors as a group or any specific member or members of the Board should send those communications to Lantheus Holdings, Inc., 331 Treble Cove Rd., North Billerica, MA 01862, Attention: Corporate Secretary. Communications should specifically indicate for which member or members of the Board or any of its committees the communication is intended. Those communications will generally be forwarded to the intended recipients. However, our Corporate Secretary may, in his sole discretion, decline to forward any communications that are inappropriate.</w:t>
      </w:r>
    </w:p>
    <w:p>
      <w:pPr>
        <w:spacing w:after="0" w:line="10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20"/>
          </w:cols>
          <w:pgMar w:left="320" w:top="459" w:right="4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For 2019, each of our non-employee directors was eligible to receive the following annual compensation in cash (which is paid quarterly in advance and prorated for partial periods of service) and equity grants for services as a director and, as applicable, Board committee member:</w:t>
      </w:r>
    </w:p>
    <w:p>
      <w:pPr>
        <w:spacing w:after="0" w:line="165" w:lineRule="exact"/>
        <w:rPr>
          <w:sz w:val="20"/>
          <w:szCs w:val="20"/>
          <w:color w:val="auto"/>
        </w:rPr>
      </w:pPr>
    </w:p>
    <w:tbl>
      <w:tblPr>
        <w:tblLayout w:type="fixed"/>
        <w:tblInd w:w="130" w:type="dxa"/>
        <w:tblCellMar>
          <w:top w:w="0" w:type="dxa"/>
          <w:left w:w="0" w:type="dxa"/>
          <w:bottom w:w="0" w:type="dxa"/>
          <w:right w:w="0" w:type="dxa"/>
        </w:tblCellMar>
      </w:tblPr>
      <w:tr>
        <w:trPr>
          <w:trHeight w:val="193"/>
        </w:trPr>
        <w:tc>
          <w:tcPr>
            <w:tcW w:w="3840" w:type="dxa"/>
            <w:vAlign w:val="bottom"/>
            <w:tcBorders>
              <w:left w:val="single" w:sz="8" w:color="3A70FF"/>
            </w:tcBorders>
            <w:shd w:val="clear" w:color="auto" w:fill="5EB5FC"/>
          </w:tcPr>
          <w:p>
            <w:pPr>
              <w:spacing w:after="0"/>
              <w:rPr>
                <w:sz w:val="16"/>
                <w:szCs w:val="16"/>
                <w:color w:val="auto"/>
              </w:rPr>
            </w:pPr>
          </w:p>
        </w:tc>
        <w:tc>
          <w:tcPr>
            <w:tcW w:w="2400" w:type="dxa"/>
            <w:vAlign w:val="bottom"/>
            <w:shd w:val="clear" w:color="auto" w:fill="5EB5FC"/>
          </w:tcPr>
          <w:p>
            <w:pPr>
              <w:spacing w:after="0"/>
              <w:rPr>
                <w:sz w:val="16"/>
                <w:szCs w:val="16"/>
                <w:color w:val="auto"/>
              </w:rPr>
            </w:pPr>
          </w:p>
        </w:tc>
        <w:tc>
          <w:tcPr>
            <w:tcW w:w="2260" w:type="dxa"/>
            <w:vAlign w:val="bottom"/>
            <w:shd w:val="clear" w:color="auto" w:fill="5EB5FC"/>
          </w:tcPr>
          <w:p>
            <w:pPr>
              <w:spacing w:after="0"/>
              <w:rPr>
                <w:sz w:val="16"/>
                <w:szCs w:val="16"/>
                <w:color w:val="auto"/>
              </w:rPr>
            </w:pPr>
          </w:p>
        </w:tc>
        <w:tc>
          <w:tcPr>
            <w:tcW w:w="2540" w:type="dxa"/>
            <w:vAlign w:val="bottom"/>
            <w:tcBorders>
              <w:right w:val="single" w:sz="8" w:color="3A70FF"/>
            </w:tcBorders>
            <w:shd w:val="clear" w:color="auto" w:fill="5EB5FC"/>
          </w:tcPr>
          <w:p>
            <w:pPr>
              <w:ind w:left="800"/>
              <w:spacing w:after="0"/>
              <w:rPr>
                <w:sz w:val="20"/>
                <w:szCs w:val="20"/>
                <w:color w:val="auto"/>
              </w:rPr>
            </w:pPr>
            <w:r>
              <w:rPr>
                <w:rFonts w:ascii="Arial" w:cs="Arial" w:eastAsia="Arial" w:hAnsi="Arial"/>
                <w:sz w:val="14"/>
                <w:szCs w:val="14"/>
                <w:b w:val="1"/>
                <w:bCs w:val="1"/>
                <w:color w:val="FFFFFF"/>
              </w:rPr>
              <w:t>Grant Date Fair Value of</w:t>
            </w:r>
          </w:p>
        </w:tc>
      </w:tr>
      <w:tr>
        <w:trPr>
          <w:trHeight w:val="200"/>
        </w:trPr>
        <w:tc>
          <w:tcPr>
            <w:tcW w:w="3840" w:type="dxa"/>
            <w:vAlign w:val="bottom"/>
            <w:tcBorders>
              <w:left w:val="single" w:sz="8" w:color="3A70FF"/>
            </w:tcBorders>
            <w:shd w:val="clear" w:color="auto" w:fill="5EB5FC"/>
          </w:tcPr>
          <w:p>
            <w:pPr>
              <w:ind w:left="1420"/>
              <w:spacing w:after="0"/>
              <w:rPr>
                <w:sz w:val="20"/>
                <w:szCs w:val="20"/>
                <w:color w:val="auto"/>
              </w:rPr>
            </w:pPr>
            <w:r>
              <w:rPr>
                <w:rFonts w:ascii="Arial" w:cs="Arial" w:eastAsia="Arial" w:hAnsi="Arial"/>
                <w:sz w:val="14"/>
                <w:szCs w:val="14"/>
                <w:b w:val="1"/>
                <w:bCs w:val="1"/>
                <w:color w:val="FFFFFF"/>
              </w:rPr>
              <w:t>Board / Committee</w:t>
            </w:r>
          </w:p>
        </w:tc>
        <w:tc>
          <w:tcPr>
            <w:tcW w:w="2400" w:type="dxa"/>
            <w:vAlign w:val="bottom"/>
            <w:shd w:val="clear" w:color="auto" w:fill="5EB5FC"/>
          </w:tcPr>
          <w:p>
            <w:pPr>
              <w:ind w:left="1040"/>
              <w:spacing w:after="0"/>
              <w:rPr>
                <w:sz w:val="20"/>
                <w:szCs w:val="20"/>
                <w:color w:val="auto"/>
              </w:rPr>
            </w:pPr>
            <w:r>
              <w:rPr>
                <w:rFonts w:ascii="Arial" w:cs="Arial" w:eastAsia="Arial" w:hAnsi="Arial"/>
                <w:sz w:val="14"/>
                <w:szCs w:val="14"/>
                <w:b w:val="1"/>
                <w:bCs w:val="1"/>
                <w:color w:val="FFFFFF"/>
              </w:rPr>
              <w:t>Member</w:t>
            </w:r>
          </w:p>
        </w:tc>
        <w:tc>
          <w:tcPr>
            <w:tcW w:w="2260" w:type="dxa"/>
            <w:vAlign w:val="bottom"/>
            <w:shd w:val="clear" w:color="auto" w:fill="5EB5FC"/>
          </w:tcPr>
          <w:p>
            <w:pPr>
              <w:ind w:left="940"/>
              <w:spacing w:after="0"/>
              <w:rPr>
                <w:sz w:val="20"/>
                <w:szCs w:val="20"/>
                <w:color w:val="auto"/>
              </w:rPr>
            </w:pPr>
            <w:r>
              <w:rPr>
                <w:rFonts w:ascii="Arial" w:cs="Arial" w:eastAsia="Arial" w:hAnsi="Arial"/>
                <w:sz w:val="14"/>
                <w:szCs w:val="14"/>
                <w:b w:val="1"/>
                <w:bCs w:val="1"/>
                <w:color w:val="FFFFFF"/>
              </w:rPr>
              <w:t>Chair</w:t>
            </w:r>
          </w:p>
        </w:tc>
        <w:tc>
          <w:tcPr>
            <w:tcW w:w="2540" w:type="dxa"/>
            <w:vAlign w:val="bottom"/>
            <w:tcBorders>
              <w:right w:val="single" w:sz="8" w:color="3A70FF"/>
            </w:tcBorders>
            <w:shd w:val="clear" w:color="auto" w:fill="5EB5FC"/>
          </w:tcPr>
          <w:p>
            <w:pPr>
              <w:ind w:left="980"/>
              <w:spacing w:after="0"/>
              <w:rPr>
                <w:sz w:val="20"/>
                <w:szCs w:val="20"/>
                <w:color w:val="auto"/>
              </w:rPr>
            </w:pPr>
            <w:r>
              <w:rPr>
                <w:rFonts w:ascii="Arial" w:cs="Arial" w:eastAsia="Arial" w:hAnsi="Arial"/>
                <w:sz w:val="14"/>
                <w:szCs w:val="14"/>
                <w:b w:val="1"/>
                <w:bCs w:val="1"/>
                <w:color w:val="FFFFFF"/>
              </w:rPr>
              <w:t>Annual Equity Grant</w:t>
            </w:r>
          </w:p>
        </w:tc>
      </w:tr>
      <w:tr>
        <w:trPr>
          <w:trHeight w:val="93"/>
        </w:trPr>
        <w:tc>
          <w:tcPr>
            <w:tcW w:w="3840" w:type="dxa"/>
            <w:vAlign w:val="bottom"/>
            <w:tcBorders>
              <w:left w:val="single" w:sz="8" w:color="3A70FF"/>
            </w:tcBorders>
            <w:shd w:val="clear" w:color="auto" w:fill="5EB5FC"/>
          </w:tcPr>
          <w:p>
            <w:pPr>
              <w:spacing w:after="0"/>
              <w:rPr>
                <w:sz w:val="8"/>
                <w:szCs w:val="8"/>
                <w:color w:val="auto"/>
              </w:rPr>
            </w:pPr>
          </w:p>
        </w:tc>
        <w:tc>
          <w:tcPr>
            <w:tcW w:w="2400" w:type="dxa"/>
            <w:vAlign w:val="bottom"/>
            <w:shd w:val="clear" w:color="auto" w:fill="5EB5FC"/>
          </w:tcPr>
          <w:p>
            <w:pPr>
              <w:spacing w:after="0"/>
              <w:rPr>
                <w:sz w:val="8"/>
                <w:szCs w:val="8"/>
                <w:color w:val="auto"/>
              </w:rPr>
            </w:pPr>
          </w:p>
        </w:tc>
        <w:tc>
          <w:tcPr>
            <w:tcW w:w="2260" w:type="dxa"/>
            <w:vAlign w:val="bottom"/>
            <w:shd w:val="clear" w:color="auto" w:fill="5EB5FC"/>
          </w:tcPr>
          <w:p>
            <w:pPr>
              <w:spacing w:after="0"/>
              <w:rPr>
                <w:sz w:val="8"/>
                <w:szCs w:val="8"/>
                <w:color w:val="auto"/>
              </w:rPr>
            </w:pPr>
          </w:p>
        </w:tc>
        <w:tc>
          <w:tcPr>
            <w:tcW w:w="2540" w:type="dxa"/>
            <w:vAlign w:val="bottom"/>
            <w:tcBorders>
              <w:right w:val="single" w:sz="8" w:color="3A70FF"/>
            </w:tcBorders>
            <w:shd w:val="clear" w:color="auto" w:fill="5EB5FC"/>
          </w:tcPr>
          <w:p>
            <w:pPr>
              <w:spacing w:after="0"/>
              <w:rPr>
                <w:sz w:val="8"/>
                <w:szCs w:val="8"/>
                <w:color w:val="auto"/>
              </w:rPr>
            </w:pPr>
          </w:p>
        </w:tc>
      </w:tr>
      <w:tr>
        <w:trPr>
          <w:trHeight w:val="283"/>
        </w:trPr>
        <w:tc>
          <w:tcPr>
            <w:tcW w:w="3840" w:type="dxa"/>
            <w:vAlign w:val="bottom"/>
            <w:tcBorders>
              <w:left w:val="single" w:sz="8" w:color="91BCFC"/>
            </w:tcBorders>
            <w:shd w:val="clear" w:color="auto" w:fill="DDEDFC"/>
          </w:tcPr>
          <w:p>
            <w:pPr>
              <w:ind w:left="240"/>
              <w:spacing w:after="0"/>
              <w:rPr>
                <w:sz w:val="20"/>
                <w:szCs w:val="20"/>
                <w:color w:val="auto"/>
              </w:rPr>
            </w:pPr>
            <w:r>
              <w:rPr>
                <w:rFonts w:ascii="Arial" w:cs="Arial" w:eastAsia="Arial" w:hAnsi="Arial"/>
                <w:sz w:val="18"/>
                <w:szCs w:val="18"/>
                <w:color w:val="auto"/>
              </w:rPr>
              <w:t>Board of Directors</w:t>
            </w:r>
          </w:p>
        </w:tc>
        <w:tc>
          <w:tcPr>
            <w:tcW w:w="2400" w:type="dxa"/>
            <w:vAlign w:val="bottom"/>
            <w:shd w:val="clear" w:color="auto" w:fill="DDEDFC"/>
          </w:tcPr>
          <w:p>
            <w:pPr>
              <w:jc w:val="center"/>
              <w:ind w:left="113"/>
              <w:spacing w:after="0"/>
              <w:rPr>
                <w:sz w:val="20"/>
                <w:szCs w:val="20"/>
                <w:color w:val="auto"/>
              </w:rPr>
            </w:pPr>
            <w:r>
              <w:rPr>
                <w:rFonts w:ascii="Arial" w:cs="Arial" w:eastAsia="Arial" w:hAnsi="Arial"/>
                <w:sz w:val="18"/>
                <w:szCs w:val="18"/>
                <w:color w:val="auto"/>
                <w:w w:val="92"/>
              </w:rPr>
              <w:t>$50,000</w:t>
            </w:r>
          </w:p>
        </w:tc>
        <w:tc>
          <w:tcPr>
            <w:tcW w:w="226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7"/>
              </w:rPr>
              <w:t>$112,500</w:t>
            </w:r>
          </w:p>
        </w:tc>
        <w:tc>
          <w:tcPr>
            <w:tcW w:w="2540" w:type="dxa"/>
            <w:vAlign w:val="bottom"/>
            <w:tcBorders>
              <w:right w:val="single" w:sz="8" w:color="91BCFC"/>
            </w:tcBorders>
            <w:shd w:val="clear" w:color="auto" w:fill="DDEDFC"/>
          </w:tcPr>
          <w:p>
            <w:pPr>
              <w:jc w:val="center"/>
              <w:ind w:left="695"/>
              <w:spacing w:after="0"/>
              <w:rPr>
                <w:sz w:val="20"/>
                <w:szCs w:val="20"/>
                <w:color w:val="auto"/>
              </w:rPr>
            </w:pPr>
            <w:r>
              <w:rPr>
                <w:rFonts w:ascii="Arial" w:cs="Arial" w:eastAsia="Arial" w:hAnsi="Arial"/>
                <w:sz w:val="18"/>
                <w:szCs w:val="18"/>
                <w:color w:val="auto"/>
                <w:w w:val="90"/>
              </w:rPr>
              <w:t>$125,000</w:t>
            </w:r>
          </w:p>
        </w:tc>
      </w:tr>
      <w:tr>
        <w:trPr>
          <w:trHeight w:val="135"/>
        </w:trPr>
        <w:tc>
          <w:tcPr>
            <w:tcW w:w="3840" w:type="dxa"/>
            <w:vAlign w:val="bottom"/>
            <w:tcBorders>
              <w:left w:val="single" w:sz="8" w:color="91BCFC"/>
            </w:tcBorders>
            <w:shd w:val="clear" w:color="auto" w:fill="DDEDFC"/>
          </w:tcPr>
          <w:p>
            <w:pPr>
              <w:spacing w:after="0"/>
              <w:rPr>
                <w:sz w:val="11"/>
                <w:szCs w:val="11"/>
                <w:color w:val="auto"/>
              </w:rPr>
            </w:pPr>
          </w:p>
        </w:tc>
        <w:tc>
          <w:tcPr>
            <w:tcW w:w="2400" w:type="dxa"/>
            <w:vAlign w:val="bottom"/>
            <w:shd w:val="clear" w:color="auto" w:fill="DDEDFC"/>
          </w:tcPr>
          <w:p>
            <w:pPr>
              <w:spacing w:after="0"/>
              <w:rPr>
                <w:sz w:val="11"/>
                <w:szCs w:val="11"/>
                <w:color w:val="auto"/>
              </w:rPr>
            </w:pPr>
          </w:p>
        </w:tc>
        <w:tc>
          <w:tcPr>
            <w:tcW w:w="2260" w:type="dxa"/>
            <w:vAlign w:val="bottom"/>
            <w:shd w:val="clear" w:color="auto" w:fill="DDEDFC"/>
          </w:tcPr>
          <w:p>
            <w:pPr>
              <w:spacing w:after="0"/>
              <w:rPr>
                <w:sz w:val="11"/>
                <w:szCs w:val="11"/>
                <w:color w:val="auto"/>
              </w:rPr>
            </w:pPr>
          </w:p>
        </w:tc>
        <w:tc>
          <w:tcPr>
            <w:tcW w:w="2540" w:type="dxa"/>
            <w:vAlign w:val="bottom"/>
            <w:tcBorders>
              <w:right w:val="single" w:sz="8" w:color="91BCFC"/>
            </w:tcBorders>
            <w:shd w:val="clear" w:color="auto" w:fill="DDEDFC"/>
          </w:tcPr>
          <w:p>
            <w:pPr>
              <w:spacing w:after="0"/>
              <w:rPr>
                <w:sz w:val="11"/>
                <w:szCs w:val="11"/>
                <w:color w:val="auto"/>
              </w:rPr>
            </w:pPr>
          </w:p>
        </w:tc>
      </w:tr>
      <w:tr>
        <w:trPr>
          <w:trHeight w:val="283"/>
        </w:trPr>
        <w:tc>
          <w:tcPr>
            <w:tcW w:w="384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Audit Committee</w:t>
            </w:r>
          </w:p>
        </w:tc>
        <w:tc>
          <w:tcPr>
            <w:tcW w:w="2400" w:type="dxa"/>
            <w:vAlign w:val="bottom"/>
          </w:tcPr>
          <w:p>
            <w:pPr>
              <w:jc w:val="center"/>
              <w:ind w:left="113"/>
              <w:spacing w:after="0"/>
              <w:rPr>
                <w:sz w:val="20"/>
                <w:szCs w:val="20"/>
                <w:color w:val="auto"/>
              </w:rPr>
            </w:pPr>
            <w:r>
              <w:rPr>
                <w:rFonts w:ascii="Arial" w:cs="Arial" w:eastAsia="Arial" w:hAnsi="Arial"/>
                <w:sz w:val="18"/>
                <w:szCs w:val="18"/>
                <w:color w:val="auto"/>
                <w:w w:val="92"/>
              </w:rPr>
              <w:t>$10,000</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$20,000</w:t>
            </w:r>
          </w:p>
        </w:tc>
        <w:tc>
          <w:tcPr>
            <w:tcW w:w="2540" w:type="dxa"/>
            <w:vAlign w:val="bottom"/>
            <w:tcBorders>
              <w:right w:val="single" w:sz="8" w:color="91BCFC"/>
            </w:tcBorders>
          </w:tcPr>
          <w:p>
            <w:pPr>
              <w:jc w:val="center"/>
              <w:ind w:left="675"/>
              <w:spacing w:after="0"/>
              <w:rPr>
                <w:sz w:val="20"/>
                <w:szCs w:val="20"/>
                <w:color w:val="auto"/>
              </w:rPr>
            </w:pPr>
            <w:r>
              <w:rPr>
                <w:rFonts w:ascii="Arial" w:cs="Arial" w:eastAsia="Arial" w:hAnsi="Arial"/>
                <w:sz w:val="18"/>
                <w:szCs w:val="18"/>
                <w:color w:val="auto"/>
                <w:w w:val="99"/>
              </w:rPr>
              <w:t>—</w:t>
            </w:r>
          </w:p>
        </w:tc>
      </w:tr>
      <w:tr>
        <w:trPr>
          <w:trHeight w:val="135"/>
        </w:trPr>
        <w:tc>
          <w:tcPr>
            <w:tcW w:w="3840" w:type="dxa"/>
            <w:vAlign w:val="bottom"/>
            <w:tcBorders>
              <w:left w:val="single" w:sz="8" w:color="91BCFC"/>
            </w:tcBorders>
          </w:tcPr>
          <w:p>
            <w:pPr>
              <w:spacing w:after="0"/>
              <w:rPr>
                <w:sz w:val="11"/>
                <w:szCs w:val="11"/>
                <w:color w:val="auto"/>
              </w:rPr>
            </w:pPr>
          </w:p>
        </w:tc>
        <w:tc>
          <w:tcPr>
            <w:tcW w:w="2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540" w:type="dxa"/>
            <w:vAlign w:val="bottom"/>
            <w:tcBorders>
              <w:right w:val="single" w:sz="8" w:color="91BCFC"/>
            </w:tcBorders>
          </w:tcPr>
          <w:p>
            <w:pPr>
              <w:spacing w:after="0"/>
              <w:rPr>
                <w:sz w:val="11"/>
                <w:szCs w:val="11"/>
                <w:color w:val="auto"/>
              </w:rPr>
            </w:pPr>
          </w:p>
        </w:tc>
      </w:tr>
      <w:tr>
        <w:trPr>
          <w:trHeight w:val="283"/>
        </w:trPr>
        <w:tc>
          <w:tcPr>
            <w:tcW w:w="3840" w:type="dxa"/>
            <w:vAlign w:val="bottom"/>
            <w:tcBorders>
              <w:left w:val="single" w:sz="8" w:color="91BCFC"/>
            </w:tcBorders>
            <w:shd w:val="clear" w:color="auto" w:fill="DDEDFC"/>
          </w:tcPr>
          <w:p>
            <w:pPr>
              <w:ind w:left="240"/>
              <w:spacing w:after="0"/>
              <w:rPr>
                <w:sz w:val="20"/>
                <w:szCs w:val="20"/>
                <w:color w:val="auto"/>
              </w:rPr>
            </w:pPr>
            <w:r>
              <w:rPr>
                <w:rFonts w:ascii="Arial" w:cs="Arial" w:eastAsia="Arial" w:hAnsi="Arial"/>
                <w:sz w:val="18"/>
                <w:szCs w:val="18"/>
                <w:color w:val="auto"/>
              </w:rPr>
              <w:t>Compensation Committee</w:t>
            </w:r>
          </w:p>
        </w:tc>
        <w:tc>
          <w:tcPr>
            <w:tcW w:w="2400" w:type="dxa"/>
            <w:vAlign w:val="bottom"/>
            <w:shd w:val="clear" w:color="auto" w:fill="DDEDFC"/>
          </w:tcPr>
          <w:p>
            <w:pPr>
              <w:jc w:val="center"/>
              <w:ind w:left="113"/>
              <w:spacing w:after="0"/>
              <w:rPr>
                <w:sz w:val="20"/>
                <w:szCs w:val="20"/>
                <w:color w:val="auto"/>
              </w:rPr>
            </w:pPr>
            <w:r>
              <w:rPr>
                <w:rFonts w:ascii="Arial" w:cs="Arial" w:eastAsia="Arial" w:hAnsi="Arial"/>
                <w:sz w:val="18"/>
                <w:szCs w:val="18"/>
                <w:color w:val="auto"/>
                <w:w w:val="87"/>
              </w:rPr>
              <w:t>$7,500</w:t>
            </w:r>
          </w:p>
        </w:tc>
        <w:tc>
          <w:tcPr>
            <w:tcW w:w="226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89"/>
              </w:rPr>
              <w:t>$15,000</w:t>
            </w:r>
          </w:p>
        </w:tc>
        <w:tc>
          <w:tcPr>
            <w:tcW w:w="2540" w:type="dxa"/>
            <w:vAlign w:val="bottom"/>
            <w:tcBorders>
              <w:right w:val="single" w:sz="8" w:color="91BCFC"/>
            </w:tcBorders>
            <w:shd w:val="clear" w:color="auto" w:fill="DDEDFC"/>
          </w:tcPr>
          <w:p>
            <w:pPr>
              <w:jc w:val="center"/>
              <w:ind w:left="675"/>
              <w:spacing w:after="0"/>
              <w:rPr>
                <w:sz w:val="20"/>
                <w:szCs w:val="20"/>
                <w:color w:val="auto"/>
              </w:rPr>
            </w:pPr>
            <w:r>
              <w:rPr>
                <w:rFonts w:ascii="Arial" w:cs="Arial" w:eastAsia="Arial" w:hAnsi="Arial"/>
                <w:sz w:val="18"/>
                <w:szCs w:val="18"/>
                <w:color w:val="auto"/>
                <w:w w:val="99"/>
              </w:rPr>
              <w:t>—</w:t>
            </w:r>
          </w:p>
        </w:tc>
      </w:tr>
      <w:tr>
        <w:trPr>
          <w:trHeight w:val="135"/>
        </w:trPr>
        <w:tc>
          <w:tcPr>
            <w:tcW w:w="3840" w:type="dxa"/>
            <w:vAlign w:val="bottom"/>
            <w:tcBorders>
              <w:left w:val="single" w:sz="8" w:color="91BCFC"/>
            </w:tcBorders>
            <w:shd w:val="clear" w:color="auto" w:fill="DDEDFC"/>
          </w:tcPr>
          <w:p>
            <w:pPr>
              <w:spacing w:after="0"/>
              <w:rPr>
                <w:sz w:val="11"/>
                <w:szCs w:val="11"/>
                <w:color w:val="auto"/>
              </w:rPr>
            </w:pPr>
          </w:p>
        </w:tc>
        <w:tc>
          <w:tcPr>
            <w:tcW w:w="2400" w:type="dxa"/>
            <w:vAlign w:val="bottom"/>
            <w:shd w:val="clear" w:color="auto" w:fill="DDEDFC"/>
          </w:tcPr>
          <w:p>
            <w:pPr>
              <w:spacing w:after="0"/>
              <w:rPr>
                <w:sz w:val="11"/>
                <w:szCs w:val="11"/>
                <w:color w:val="auto"/>
              </w:rPr>
            </w:pPr>
          </w:p>
        </w:tc>
        <w:tc>
          <w:tcPr>
            <w:tcW w:w="2260" w:type="dxa"/>
            <w:vAlign w:val="bottom"/>
            <w:shd w:val="clear" w:color="auto" w:fill="DDEDFC"/>
          </w:tcPr>
          <w:p>
            <w:pPr>
              <w:spacing w:after="0"/>
              <w:rPr>
                <w:sz w:val="11"/>
                <w:szCs w:val="11"/>
                <w:color w:val="auto"/>
              </w:rPr>
            </w:pPr>
          </w:p>
        </w:tc>
        <w:tc>
          <w:tcPr>
            <w:tcW w:w="2540" w:type="dxa"/>
            <w:vAlign w:val="bottom"/>
            <w:tcBorders>
              <w:right w:val="single" w:sz="8" w:color="91BCFC"/>
            </w:tcBorders>
            <w:shd w:val="clear" w:color="auto" w:fill="DDEDFC"/>
          </w:tcPr>
          <w:p>
            <w:pPr>
              <w:spacing w:after="0"/>
              <w:rPr>
                <w:sz w:val="11"/>
                <w:szCs w:val="11"/>
                <w:color w:val="auto"/>
              </w:rPr>
            </w:pPr>
          </w:p>
        </w:tc>
      </w:tr>
      <w:tr>
        <w:trPr>
          <w:trHeight w:val="269"/>
        </w:trPr>
        <w:tc>
          <w:tcPr>
            <w:tcW w:w="384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Nominating and Corporate Governance</w:t>
            </w:r>
          </w:p>
        </w:tc>
        <w:tc>
          <w:tcPr>
            <w:tcW w:w="2400" w:type="dxa"/>
            <w:vAlign w:val="bottom"/>
          </w:tcPr>
          <w:p>
            <w:pPr>
              <w:spacing w:after="0"/>
              <w:rPr>
                <w:sz w:val="23"/>
                <w:szCs w:val="23"/>
                <w:color w:val="auto"/>
              </w:rPr>
            </w:pPr>
          </w:p>
        </w:tc>
        <w:tc>
          <w:tcPr>
            <w:tcW w:w="2260" w:type="dxa"/>
            <w:vAlign w:val="bottom"/>
          </w:tcPr>
          <w:p>
            <w:pPr>
              <w:spacing w:after="0"/>
              <w:rPr>
                <w:sz w:val="23"/>
                <w:szCs w:val="23"/>
                <w:color w:val="auto"/>
              </w:rPr>
            </w:pPr>
          </w:p>
        </w:tc>
        <w:tc>
          <w:tcPr>
            <w:tcW w:w="2540" w:type="dxa"/>
            <w:vAlign w:val="bottom"/>
            <w:tcBorders>
              <w:right w:val="single" w:sz="8" w:color="91BCFC"/>
            </w:tcBorders>
          </w:tcPr>
          <w:p>
            <w:pPr>
              <w:spacing w:after="0"/>
              <w:rPr>
                <w:sz w:val="23"/>
                <w:szCs w:val="23"/>
                <w:color w:val="auto"/>
              </w:rPr>
            </w:pPr>
          </w:p>
        </w:tc>
      </w:tr>
      <w:tr>
        <w:trPr>
          <w:trHeight w:val="230"/>
        </w:trPr>
        <w:tc>
          <w:tcPr>
            <w:tcW w:w="3840" w:type="dxa"/>
            <w:vAlign w:val="bottom"/>
            <w:tcBorders>
              <w:left w:val="single" w:sz="8" w:color="91BCFC"/>
            </w:tcBorders>
          </w:tcPr>
          <w:p>
            <w:pPr>
              <w:ind w:left="240"/>
              <w:spacing w:after="0"/>
              <w:rPr>
                <w:sz w:val="20"/>
                <w:szCs w:val="20"/>
                <w:color w:val="auto"/>
              </w:rPr>
            </w:pPr>
            <w:r>
              <w:rPr>
                <w:rFonts w:ascii="Arial" w:cs="Arial" w:eastAsia="Arial" w:hAnsi="Arial"/>
                <w:sz w:val="18"/>
                <w:szCs w:val="18"/>
                <w:color w:val="auto"/>
              </w:rPr>
              <w:t>Committee</w:t>
            </w:r>
          </w:p>
        </w:tc>
        <w:tc>
          <w:tcPr>
            <w:tcW w:w="2400" w:type="dxa"/>
            <w:vAlign w:val="bottom"/>
          </w:tcPr>
          <w:p>
            <w:pPr>
              <w:jc w:val="center"/>
              <w:ind w:left="113"/>
              <w:spacing w:after="0"/>
              <w:rPr>
                <w:sz w:val="20"/>
                <w:szCs w:val="20"/>
                <w:color w:val="auto"/>
              </w:rPr>
            </w:pPr>
            <w:r>
              <w:rPr>
                <w:rFonts w:ascii="Arial" w:cs="Arial" w:eastAsia="Arial" w:hAnsi="Arial"/>
                <w:sz w:val="18"/>
                <w:szCs w:val="18"/>
                <w:color w:val="auto"/>
                <w:w w:val="87"/>
              </w:rPr>
              <w:t>$5,000</w:t>
            </w:r>
          </w:p>
        </w:tc>
        <w:tc>
          <w:tcPr>
            <w:tcW w:w="2260" w:type="dxa"/>
            <w:vAlign w:val="bottom"/>
          </w:tcPr>
          <w:p>
            <w:pPr>
              <w:jc w:val="center"/>
              <w:spacing w:after="0"/>
              <w:rPr>
                <w:sz w:val="20"/>
                <w:szCs w:val="20"/>
                <w:color w:val="auto"/>
              </w:rPr>
            </w:pPr>
            <w:r>
              <w:rPr>
                <w:rFonts w:ascii="Arial" w:cs="Arial" w:eastAsia="Arial" w:hAnsi="Arial"/>
                <w:sz w:val="18"/>
                <w:szCs w:val="18"/>
                <w:color w:val="auto"/>
                <w:w w:val="89"/>
              </w:rPr>
              <w:t>$10,000</w:t>
            </w:r>
          </w:p>
        </w:tc>
        <w:tc>
          <w:tcPr>
            <w:tcW w:w="2540" w:type="dxa"/>
            <w:vAlign w:val="bottom"/>
            <w:tcBorders>
              <w:right w:val="single" w:sz="8" w:color="91BCFC"/>
            </w:tcBorders>
          </w:tcPr>
          <w:p>
            <w:pPr>
              <w:jc w:val="center"/>
              <w:ind w:left="675"/>
              <w:spacing w:after="0"/>
              <w:rPr>
                <w:sz w:val="20"/>
                <w:szCs w:val="20"/>
                <w:color w:val="auto"/>
              </w:rPr>
            </w:pPr>
            <w:r>
              <w:rPr>
                <w:rFonts w:ascii="Arial" w:cs="Arial" w:eastAsia="Arial" w:hAnsi="Arial"/>
                <w:sz w:val="18"/>
                <w:szCs w:val="18"/>
                <w:color w:val="auto"/>
                <w:w w:val="99"/>
              </w:rPr>
              <w:t>—</w:t>
            </w:r>
          </w:p>
        </w:tc>
      </w:tr>
      <w:tr>
        <w:trPr>
          <w:trHeight w:val="135"/>
        </w:trPr>
        <w:tc>
          <w:tcPr>
            <w:tcW w:w="3840" w:type="dxa"/>
            <w:vAlign w:val="bottom"/>
            <w:tcBorders>
              <w:left w:val="single" w:sz="8" w:color="91BCFC"/>
            </w:tcBorders>
          </w:tcPr>
          <w:p>
            <w:pPr>
              <w:spacing w:after="0"/>
              <w:rPr>
                <w:sz w:val="11"/>
                <w:szCs w:val="11"/>
                <w:color w:val="auto"/>
              </w:rPr>
            </w:pPr>
          </w:p>
        </w:tc>
        <w:tc>
          <w:tcPr>
            <w:tcW w:w="2400" w:type="dxa"/>
            <w:vAlign w:val="bottom"/>
          </w:tcPr>
          <w:p>
            <w:pPr>
              <w:spacing w:after="0"/>
              <w:rPr>
                <w:sz w:val="11"/>
                <w:szCs w:val="11"/>
                <w:color w:val="auto"/>
              </w:rPr>
            </w:pPr>
          </w:p>
        </w:tc>
        <w:tc>
          <w:tcPr>
            <w:tcW w:w="2260" w:type="dxa"/>
            <w:vAlign w:val="bottom"/>
          </w:tcPr>
          <w:p>
            <w:pPr>
              <w:spacing w:after="0"/>
              <w:rPr>
                <w:sz w:val="11"/>
                <w:szCs w:val="11"/>
                <w:color w:val="auto"/>
              </w:rPr>
            </w:pPr>
          </w:p>
        </w:tc>
        <w:tc>
          <w:tcPr>
            <w:tcW w:w="2540" w:type="dxa"/>
            <w:vAlign w:val="bottom"/>
            <w:tcBorders>
              <w:right w:val="single" w:sz="8" w:color="91BCFC"/>
            </w:tcBorders>
          </w:tcPr>
          <w:p>
            <w:pPr>
              <w:spacing w:after="0"/>
              <w:rPr>
                <w:sz w:val="11"/>
                <w:szCs w:val="11"/>
                <w:color w:val="auto"/>
              </w:rPr>
            </w:pPr>
          </w:p>
        </w:tc>
      </w:tr>
      <w:tr>
        <w:trPr>
          <w:trHeight w:val="283"/>
        </w:trPr>
        <w:tc>
          <w:tcPr>
            <w:tcW w:w="3840" w:type="dxa"/>
            <w:vAlign w:val="bottom"/>
            <w:tcBorders>
              <w:left w:val="single" w:sz="8" w:color="91BCFC"/>
            </w:tcBorders>
            <w:shd w:val="clear" w:color="auto" w:fill="DDEDFC"/>
          </w:tcPr>
          <w:p>
            <w:pPr>
              <w:ind w:left="240"/>
              <w:spacing w:after="0"/>
              <w:rPr>
                <w:sz w:val="20"/>
                <w:szCs w:val="20"/>
                <w:color w:val="auto"/>
              </w:rPr>
            </w:pPr>
            <w:r>
              <w:rPr>
                <w:rFonts w:ascii="Arial" w:cs="Arial" w:eastAsia="Arial" w:hAnsi="Arial"/>
                <w:sz w:val="18"/>
                <w:szCs w:val="18"/>
                <w:color w:val="auto"/>
              </w:rPr>
              <w:t>Finance and Strategy Committee</w:t>
            </w:r>
          </w:p>
        </w:tc>
        <w:tc>
          <w:tcPr>
            <w:tcW w:w="2400" w:type="dxa"/>
            <w:vAlign w:val="bottom"/>
            <w:shd w:val="clear" w:color="auto" w:fill="DDEDFC"/>
          </w:tcPr>
          <w:p>
            <w:pPr>
              <w:jc w:val="center"/>
              <w:ind w:left="113"/>
              <w:spacing w:after="0"/>
              <w:rPr>
                <w:sz w:val="20"/>
                <w:szCs w:val="20"/>
                <w:color w:val="auto"/>
              </w:rPr>
            </w:pPr>
            <w:r>
              <w:rPr>
                <w:rFonts w:ascii="Arial" w:cs="Arial" w:eastAsia="Arial" w:hAnsi="Arial"/>
                <w:sz w:val="18"/>
                <w:szCs w:val="18"/>
                <w:color w:val="auto"/>
                <w:w w:val="87"/>
              </w:rPr>
              <w:t>$5,000</w:t>
            </w:r>
          </w:p>
        </w:tc>
        <w:tc>
          <w:tcPr>
            <w:tcW w:w="2260" w:type="dxa"/>
            <w:vAlign w:val="bottom"/>
            <w:shd w:val="clear" w:color="auto" w:fill="DDEDFC"/>
          </w:tcPr>
          <w:p>
            <w:pPr>
              <w:jc w:val="center"/>
              <w:spacing w:after="0"/>
              <w:rPr>
                <w:sz w:val="20"/>
                <w:szCs w:val="20"/>
                <w:color w:val="auto"/>
              </w:rPr>
            </w:pPr>
            <w:r>
              <w:rPr>
                <w:rFonts w:ascii="Arial" w:cs="Arial" w:eastAsia="Arial" w:hAnsi="Arial"/>
                <w:sz w:val="18"/>
                <w:szCs w:val="18"/>
                <w:color w:val="auto"/>
                <w:w w:val="90"/>
              </w:rPr>
              <w:t>$7,500</w:t>
            </w:r>
          </w:p>
        </w:tc>
        <w:tc>
          <w:tcPr>
            <w:tcW w:w="2540" w:type="dxa"/>
            <w:vAlign w:val="bottom"/>
            <w:tcBorders>
              <w:right w:val="single" w:sz="8" w:color="91BCFC"/>
            </w:tcBorders>
            <w:shd w:val="clear" w:color="auto" w:fill="DDEDFC"/>
          </w:tcPr>
          <w:p>
            <w:pPr>
              <w:jc w:val="center"/>
              <w:ind w:left="675"/>
              <w:spacing w:after="0"/>
              <w:rPr>
                <w:sz w:val="20"/>
                <w:szCs w:val="20"/>
                <w:color w:val="auto"/>
              </w:rPr>
            </w:pPr>
            <w:r>
              <w:rPr>
                <w:rFonts w:ascii="Arial" w:cs="Arial" w:eastAsia="Arial" w:hAnsi="Arial"/>
                <w:sz w:val="18"/>
                <w:szCs w:val="18"/>
                <w:color w:val="auto"/>
                <w:w w:val="99"/>
              </w:rPr>
              <w:t>—</w:t>
            </w:r>
          </w:p>
        </w:tc>
      </w:tr>
      <w:tr>
        <w:trPr>
          <w:trHeight w:val="135"/>
        </w:trPr>
        <w:tc>
          <w:tcPr>
            <w:tcW w:w="3840" w:type="dxa"/>
            <w:vAlign w:val="bottom"/>
            <w:tcBorders>
              <w:left w:val="single" w:sz="8" w:color="91BCFC"/>
              <w:bottom w:val="single" w:sz="8" w:color="91BCFC"/>
            </w:tcBorders>
            <w:shd w:val="clear" w:color="auto" w:fill="DDEDFC"/>
          </w:tcPr>
          <w:p>
            <w:pPr>
              <w:spacing w:after="0"/>
              <w:rPr>
                <w:sz w:val="11"/>
                <w:szCs w:val="11"/>
                <w:color w:val="auto"/>
              </w:rPr>
            </w:pPr>
          </w:p>
        </w:tc>
        <w:tc>
          <w:tcPr>
            <w:tcW w:w="2400" w:type="dxa"/>
            <w:vAlign w:val="bottom"/>
            <w:tcBorders>
              <w:bottom w:val="single" w:sz="8" w:color="91BCFC"/>
            </w:tcBorders>
            <w:shd w:val="clear" w:color="auto" w:fill="DDEDFC"/>
          </w:tcPr>
          <w:p>
            <w:pPr>
              <w:spacing w:after="0"/>
              <w:rPr>
                <w:sz w:val="11"/>
                <w:szCs w:val="11"/>
                <w:color w:val="auto"/>
              </w:rPr>
            </w:pPr>
          </w:p>
        </w:tc>
        <w:tc>
          <w:tcPr>
            <w:tcW w:w="2260" w:type="dxa"/>
            <w:vAlign w:val="bottom"/>
            <w:tcBorders>
              <w:bottom w:val="single" w:sz="8" w:color="91BCFC"/>
            </w:tcBorders>
            <w:shd w:val="clear" w:color="auto" w:fill="DDEDFC"/>
          </w:tcPr>
          <w:p>
            <w:pPr>
              <w:spacing w:after="0"/>
              <w:rPr>
                <w:sz w:val="11"/>
                <w:szCs w:val="11"/>
                <w:color w:val="auto"/>
              </w:rPr>
            </w:pPr>
          </w:p>
        </w:tc>
        <w:tc>
          <w:tcPr>
            <w:tcW w:w="2540" w:type="dxa"/>
            <w:vAlign w:val="bottom"/>
            <w:tcBorders>
              <w:bottom w:val="single" w:sz="8" w:color="91BCFC"/>
              <w:right w:val="single" w:sz="8" w:color="91BCFC"/>
            </w:tcBorders>
            <w:shd w:val="clear" w:color="auto" w:fill="DDEDFC"/>
          </w:tcPr>
          <w:p>
            <w:pPr>
              <w:spacing w:after="0"/>
              <w:rPr>
                <w:sz w:val="11"/>
                <w:szCs w:val="11"/>
                <w:color w:val="auto"/>
              </w:rPr>
            </w:pPr>
          </w:p>
        </w:tc>
      </w:tr>
    </w:tbl>
    <w:p>
      <w:pPr>
        <w:spacing w:after="0" w:line="202"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Non-employee directors are also entitled to reimbursement for out-of-pocket expenses incurred in connection with rendering those services for so long as they serve as directors.</w:t>
      </w:r>
    </w:p>
    <w:p>
      <w:pPr>
        <w:spacing w:after="0" w:line="170" w:lineRule="exact"/>
        <w:rPr>
          <w:sz w:val="20"/>
          <w:szCs w:val="20"/>
          <w:color w:val="auto"/>
        </w:rPr>
      </w:pPr>
    </w:p>
    <w:p>
      <w:pPr>
        <w:ind w:left="120" w:right="100" w:firstLine="440"/>
        <w:spacing w:after="0" w:line="290" w:lineRule="auto"/>
        <w:rPr>
          <w:sz w:val="20"/>
          <w:szCs w:val="20"/>
          <w:color w:val="auto"/>
        </w:rPr>
      </w:pPr>
      <w:r>
        <w:rPr>
          <w:rFonts w:ascii="Arial" w:cs="Arial" w:eastAsia="Arial" w:hAnsi="Arial"/>
          <w:sz w:val="16"/>
          <w:szCs w:val="16"/>
          <w:color w:val="auto"/>
        </w:rPr>
        <w:t>The Compensation Committee engages Pearl Meyer to review the Company’s non-employee director compensation program every other year, with the most recent review occurring at the beginning of 2019. The review covers the levels of cash and equity compensation that are provided to non-employee directors, as well as the overall structure of the program, against the same peer group of public companies used for executive compensation benchmarking purposes. Pearl Meyer makes recommendations to the Compensation Committee for consideration, and the Compensation Committee shares the recommendation with the Nominating and Corporate Governance Committee for recommendation of any changes to the non-employee director compensation program for the Board’s approval. After reviewing the results of a compensation study prepared by Pearl Meyer, the Compensation Committee and Nominating and Corporate Governance Committee recommended, and the Board approved, an increase to the annual fee for each member of the Nominating and Corporate Governance Committee from $4,000 to $5,000 for 2019.</w:t>
      </w:r>
    </w:p>
    <w:p>
      <w:pPr>
        <w:spacing w:after="0" w:line="165"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Directors who are employees of the Company (i.e., our CEO) do not receive separate or additional compensation for their services as directors or committee members.</w:t>
      </w:r>
    </w:p>
    <w:p>
      <w:pPr>
        <w:spacing w:after="0" w:line="170" w:lineRule="exact"/>
        <w:rPr>
          <w:sz w:val="20"/>
          <w:szCs w:val="20"/>
          <w:color w:val="auto"/>
        </w:rPr>
      </w:pPr>
    </w:p>
    <w:p>
      <w:pPr>
        <w:ind w:left="120" w:right="80" w:firstLine="440"/>
        <w:spacing w:after="0" w:line="254" w:lineRule="auto"/>
        <w:rPr>
          <w:sz w:val="20"/>
          <w:szCs w:val="20"/>
          <w:color w:val="auto"/>
        </w:rPr>
      </w:pPr>
      <w:r>
        <w:rPr>
          <w:rFonts w:ascii="Arial" w:cs="Arial" w:eastAsia="Arial" w:hAnsi="Arial"/>
          <w:sz w:val="18"/>
          <w:szCs w:val="18"/>
          <w:color w:val="auto"/>
        </w:rPr>
        <w:t>Consistent with 2018, in 2019, each non-employee director was granted an annual equity award with a grant date fair value of $125,000, which was made in the form of time-based restricted stock units (“</w:t>
      </w:r>
      <w:r>
        <w:rPr>
          <w:rFonts w:ascii="Arial" w:cs="Arial" w:eastAsia="Arial" w:hAnsi="Arial"/>
          <w:sz w:val="18"/>
          <w:szCs w:val="18"/>
          <w:b w:val="1"/>
          <w:bCs w:val="1"/>
          <w:i w:val="1"/>
          <w:iCs w:val="1"/>
          <w:color w:val="auto"/>
        </w:rPr>
        <w:t>RSUs</w:t>
      </w:r>
      <w:r>
        <w:rPr>
          <w:rFonts w:ascii="Arial" w:cs="Arial" w:eastAsia="Arial" w:hAnsi="Arial"/>
          <w:sz w:val="18"/>
          <w:szCs w:val="18"/>
          <w:color w:val="auto"/>
        </w:rPr>
        <w:t>”). In 2019, each non-employee director was granted 5,353 RSUs under our 2015 Equity Incentive Plan. These 2019 awards vested in full on February 26, 2020. On March 3, 2020, each non-employee director was granted 8,095 RSUs under our 2015 Equity Incentive Plan. These 2020 annual equity awards will vest in full on March 3, 2021, generally subject to continued service through that date. In the event a non-employee director’s service ceases as a result of (i) the Board Restructuring or (ii) the Board’s composition as contemplated by the Progenics Acquisition, then a prorata portion of the 2020 annual equity award granted to the non-employee director will vest in connection with such termination.</w:t>
      </w:r>
    </w:p>
    <w:p>
      <w:pPr>
        <w:spacing w:after="0" w:line="195" w:lineRule="exact"/>
        <w:rPr>
          <w:sz w:val="20"/>
          <w:szCs w:val="20"/>
          <w:color w:val="auto"/>
        </w:rPr>
      </w:pPr>
    </w:p>
    <w:p>
      <w:pPr>
        <w:ind w:left="120" w:right="40" w:firstLine="440"/>
        <w:spacing w:after="0" w:line="275" w:lineRule="auto"/>
        <w:rPr>
          <w:sz w:val="20"/>
          <w:szCs w:val="20"/>
          <w:color w:val="auto"/>
        </w:rPr>
      </w:pPr>
      <w:r>
        <w:rPr>
          <w:rFonts w:ascii="Arial" w:cs="Arial" w:eastAsia="Arial" w:hAnsi="Arial"/>
          <w:sz w:val="17"/>
          <w:szCs w:val="17"/>
          <w:color w:val="auto"/>
        </w:rPr>
        <w:t>All non-employee directors are subject to the Company’s Stock Ownership and Retention Guidelines described below, which require each director to hold Shares valued at an amount equal to three times the annual cash retainer received for Board services (excluding committee and chair retainers). Until a non-employee director achieves his or her required ownership level, he or she is required to retain 50% of all after-tax Shares issued upon (i) the exercise of any vested Company stock option award (calculated on a net exercise basis) or (ii) the vesting of any other equity award (such as the RSAs, RSUs, PSAs and PSUs) granted in or after 2019. Our non-employee directors are required to</w:t>
      </w:r>
    </w:p>
    <w:p>
      <w:pPr>
        <w:spacing w:after="0" w:line="10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20"/>
        <w:spacing w:after="0" w:line="263" w:lineRule="auto"/>
        <w:rPr>
          <w:sz w:val="20"/>
          <w:szCs w:val="20"/>
          <w:color w:val="auto"/>
        </w:rPr>
      </w:pPr>
      <w:r>
        <w:rPr>
          <w:rFonts w:ascii="Arial" w:cs="Arial" w:eastAsia="Arial" w:hAnsi="Arial"/>
          <w:sz w:val="18"/>
          <w:szCs w:val="18"/>
          <w:color w:val="auto"/>
        </w:rPr>
        <w:t>comply with the Stock Ownership and Retention Guidelines within five years of when the Stock Ownership and Retention Guidelines first apply to them. As of December 31, 2019, Messrs. Markison, Clemmer, Leno and Pucel, Ms. McHugh and Drs. Robertson and Schaffer each had already achieved the requirements under the stock ownership guidelines.</w:t>
      </w:r>
    </w:p>
    <w:p>
      <w:pPr>
        <w:spacing w:after="0" w:line="184"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In addition, all directors are subject to the prohibitions on transacting in Company securities described under “</w:t>
      </w:r>
      <w:r>
        <w:rPr>
          <w:rFonts w:ascii="Arial" w:cs="Arial" w:eastAsia="Arial" w:hAnsi="Arial"/>
          <w:sz w:val="18"/>
          <w:szCs w:val="18"/>
          <w:i w:val="1"/>
          <w:iCs w:val="1"/>
          <w:color w:val="auto"/>
        </w:rPr>
        <w:t>Short Term Trading, Hedging and</w:t>
      </w:r>
      <w:r>
        <w:rPr>
          <w:rFonts w:ascii="Arial" w:cs="Arial" w:eastAsia="Arial" w:hAnsi="Arial"/>
          <w:sz w:val="18"/>
          <w:szCs w:val="18"/>
          <w:color w:val="auto"/>
        </w:rPr>
        <w:t xml:space="preserve"> </w:t>
      </w:r>
      <w:r>
        <w:rPr>
          <w:rFonts w:ascii="Arial" w:cs="Arial" w:eastAsia="Arial" w:hAnsi="Arial"/>
          <w:sz w:val="18"/>
          <w:szCs w:val="18"/>
          <w:i w:val="1"/>
          <w:iCs w:val="1"/>
          <w:color w:val="auto"/>
        </w:rPr>
        <w:t>Pledging Prohibition</w:t>
      </w:r>
      <w:r>
        <w:rPr>
          <w:rFonts w:ascii="Arial" w:cs="Arial" w:eastAsia="Arial" w:hAnsi="Arial"/>
          <w:sz w:val="18"/>
          <w:szCs w:val="18"/>
          <w:color w:val="auto"/>
        </w:rPr>
        <w:t>.”</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compensation paid to the individuals who served as our non-employee directors in 2019:</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244"/>
        </w:trPr>
        <w:tc>
          <w:tcPr>
            <w:tcW w:w="2780" w:type="dxa"/>
            <w:vAlign w:val="bottom"/>
            <w:tcBorders>
              <w:left w:val="single" w:sz="8" w:color="5EB5FC"/>
              <w:right w:val="single" w:sz="8" w:color="5EB5FC"/>
            </w:tcBorders>
            <w:gridSpan w:val="2"/>
            <w:shd w:val="clear" w:color="auto" w:fill="5EB5FC"/>
          </w:tcPr>
          <w:p>
            <w:pPr>
              <w:ind w:left="1200"/>
              <w:spacing w:after="0"/>
              <w:rPr>
                <w:sz w:val="20"/>
                <w:szCs w:val="20"/>
                <w:color w:val="auto"/>
              </w:rPr>
            </w:pPr>
            <w:r>
              <w:rPr>
                <w:rFonts w:ascii="Arial" w:cs="Arial" w:eastAsia="Arial" w:hAnsi="Arial"/>
                <w:sz w:val="14"/>
                <w:szCs w:val="14"/>
                <w:b w:val="1"/>
                <w:bCs w:val="1"/>
                <w:color w:val="FFFFFF"/>
              </w:rPr>
              <w:t>Name</w:t>
            </w:r>
            <w:r>
              <w:rPr>
                <w:rFonts w:ascii="Arial" w:cs="Arial" w:eastAsia="Arial" w:hAnsi="Arial"/>
                <w:sz w:val="12"/>
                <w:szCs w:val="12"/>
                <w:b w:val="1"/>
                <w:bCs w:val="1"/>
                <w:color w:val="FFFFFF"/>
              </w:rPr>
              <w:t>(1)</w:t>
            </w:r>
          </w:p>
        </w:tc>
        <w:tc>
          <w:tcPr>
            <w:tcW w:w="2780" w:type="dxa"/>
            <w:vAlign w:val="bottom"/>
            <w:tcBorders>
              <w:right w:val="single" w:sz="8" w:color="5EB5FC"/>
            </w:tcBorders>
            <w:shd w:val="clear" w:color="auto" w:fill="5EB5FC"/>
          </w:tcPr>
          <w:p>
            <w:pPr>
              <w:ind w:left="560"/>
              <w:spacing w:after="0"/>
              <w:rPr>
                <w:sz w:val="20"/>
                <w:szCs w:val="20"/>
                <w:color w:val="auto"/>
              </w:rPr>
            </w:pPr>
            <w:r>
              <w:rPr>
                <w:rFonts w:ascii="Arial" w:cs="Arial" w:eastAsia="Arial" w:hAnsi="Arial"/>
                <w:sz w:val="14"/>
                <w:szCs w:val="14"/>
                <w:b w:val="1"/>
                <w:bCs w:val="1"/>
                <w:color w:val="FFFFFF"/>
              </w:rPr>
              <w:t>Fees Earned or Paid in Cash</w:t>
            </w:r>
          </w:p>
        </w:tc>
        <w:tc>
          <w:tcPr>
            <w:tcW w:w="27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Stock Awards</w:t>
            </w:r>
            <w:r>
              <w:rPr>
                <w:rFonts w:ascii="Arial" w:cs="Arial" w:eastAsia="Arial" w:hAnsi="Arial"/>
                <w:sz w:val="12"/>
                <w:szCs w:val="12"/>
                <w:b w:val="1"/>
                <w:bCs w:val="1"/>
                <w:color w:val="FFFFFF"/>
                <w:w w:val="91"/>
              </w:rPr>
              <w:t>(2)</w:t>
            </w:r>
          </w:p>
        </w:tc>
        <w:tc>
          <w:tcPr>
            <w:tcW w:w="27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r>
      <w:tr>
        <w:trPr>
          <w:trHeight w:val="93"/>
        </w:trPr>
        <w:tc>
          <w:tcPr>
            <w:tcW w:w="1220" w:type="dxa"/>
            <w:vAlign w:val="bottom"/>
            <w:tcBorders>
              <w:left w:val="single" w:sz="8" w:color="5EB5FC"/>
            </w:tcBorders>
            <w:shd w:val="clear" w:color="auto" w:fill="5EB5FC"/>
          </w:tcPr>
          <w:p>
            <w:pPr>
              <w:spacing w:after="0"/>
              <w:rPr>
                <w:sz w:val="8"/>
                <w:szCs w:val="8"/>
                <w:color w:val="auto"/>
              </w:rPr>
            </w:pPr>
          </w:p>
        </w:tc>
        <w:tc>
          <w:tcPr>
            <w:tcW w:w="1560" w:type="dxa"/>
            <w:vAlign w:val="bottom"/>
            <w:tcBorders>
              <w:right w:val="single" w:sz="8" w:color="5EB5FC"/>
            </w:tcBorders>
            <w:shd w:val="clear" w:color="auto" w:fill="5EB5FC"/>
          </w:tcPr>
          <w:p>
            <w:pPr>
              <w:spacing w:after="0"/>
              <w:rPr>
                <w:sz w:val="8"/>
                <w:szCs w:val="8"/>
                <w:color w:val="auto"/>
              </w:rPr>
            </w:pPr>
          </w:p>
        </w:tc>
        <w:tc>
          <w:tcPr>
            <w:tcW w:w="2780" w:type="dxa"/>
            <w:vAlign w:val="bottom"/>
            <w:tcBorders>
              <w:right w:val="single" w:sz="8" w:color="5EB5FC"/>
            </w:tcBorders>
            <w:shd w:val="clear" w:color="auto" w:fill="5EB5FC"/>
          </w:tcPr>
          <w:p>
            <w:pPr>
              <w:spacing w:after="0"/>
              <w:rPr>
                <w:sz w:val="8"/>
                <w:szCs w:val="8"/>
                <w:color w:val="auto"/>
              </w:rPr>
            </w:pPr>
          </w:p>
        </w:tc>
        <w:tc>
          <w:tcPr>
            <w:tcW w:w="2740" w:type="dxa"/>
            <w:vAlign w:val="bottom"/>
            <w:tcBorders>
              <w:right w:val="single" w:sz="8" w:color="5EB5FC"/>
            </w:tcBorders>
            <w:shd w:val="clear" w:color="auto" w:fill="5EB5FC"/>
          </w:tcPr>
          <w:p>
            <w:pPr>
              <w:spacing w:after="0"/>
              <w:rPr>
                <w:sz w:val="8"/>
                <w:szCs w:val="8"/>
                <w:color w:val="auto"/>
              </w:rPr>
            </w:pPr>
          </w:p>
        </w:tc>
        <w:tc>
          <w:tcPr>
            <w:tcW w:w="2740" w:type="dxa"/>
            <w:vAlign w:val="bottom"/>
            <w:tcBorders>
              <w:right w:val="single" w:sz="8" w:color="5EB5FC"/>
            </w:tcBorders>
            <w:shd w:val="clear" w:color="auto" w:fill="5EB5FC"/>
          </w:tcPr>
          <w:p>
            <w:pPr>
              <w:spacing w:after="0"/>
              <w:rPr>
                <w:sz w:val="8"/>
                <w:szCs w:val="8"/>
                <w:color w:val="auto"/>
              </w:rPr>
            </w:pPr>
          </w:p>
        </w:tc>
      </w:tr>
      <w:tr>
        <w:trPr>
          <w:trHeight w:val="284"/>
        </w:trPr>
        <w:tc>
          <w:tcPr>
            <w:tcW w:w="2780" w:type="dxa"/>
            <w:vAlign w:val="bottom"/>
            <w:tcBorders>
              <w:left w:val="single" w:sz="8" w:color="A0DBF9"/>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color w:val="auto"/>
              </w:rPr>
              <w:t>Brian Markison</w:t>
            </w:r>
            <w:r>
              <w:rPr>
                <w:rFonts w:ascii="Arial" w:cs="Arial" w:eastAsia="Arial" w:hAnsi="Arial"/>
                <w:sz w:val="15"/>
                <w:szCs w:val="15"/>
                <w:color w:val="auto"/>
              </w:rPr>
              <w:t>(3)</w:t>
            </w:r>
          </w:p>
        </w:tc>
        <w:tc>
          <w:tcPr>
            <w:tcW w:w="27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$120,000</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$244,993</w:t>
            </w:r>
          </w:p>
        </w:tc>
      </w:tr>
      <w:tr>
        <w:trPr>
          <w:trHeight w:val="108"/>
        </w:trPr>
        <w:tc>
          <w:tcPr>
            <w:tcW w:w="1220" w:type="dxa"/>
            <w:vAlign w:val="bottom"/>
            <w:tcBorders>
              <w:left w:val="single" w:sz="8" w:color="A0DBF9"/>
              <w:bottom w:val="single" w:sz="8" w:color="91BCFC"/>
            </w:tcBorders>
            <w:shd w:val="clear" w:color="auto" w:fill="E2F4FC"/>
          </w:tcPr>
          <w:p>
            <w:pPr>
              <w:spacing w:after="0"/>
              <w:rPr>
                <w:sz w:val="9"/>
                <w:szCs w:val="9"/>
                <w:color w:val="auto"/>
              </w:rPr>
            </w:pPr>
          </w:p>
        </w:tc>
        <w:tc>
          <w:tcPr>
            <w:tcW w:w="1560" w:type="dxa"/>
            <w:vAlign w:val="bottom"/>
            <w:tcBorders>
              <w:bottom w:val="single" w:sz="8" w:color="91BCFC"/>
              <w:right w:val="single" w:sz="8" w:color="A0DBF9"/>
            </w:tcBorders>
            <w:shd w:val="clear" w:color="auto" w:fill="E2F4FC"/>
          </w:tcPr>
          <w:p>
            <w:pPr>
              <w:spacing w:after="0"/>
              <w:rPr>
                <w:sz w:val="9"/>
                <w:szCs w:val="9"/>
                <w:color w:val="auto"/>
              </w:rPr>
            </w:pPr>
          </w:p>
        </w:tc>
        <w:tc>
          <w:tcPr>
            <w:tcW w:w="278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r>
      <w:tr>
        <w:trPr>
          <w:trHeight w:val="263"/>
        </w:trPr>
        <w:tc>
          <w:tcPr>
            <w:tcW w:w="2780" w:type="dxa"/>
            <w:vAlign w:val="bottom"/>
            <w:tcBorders>
              <w:left w:val="single" w:sz="8" w:color="A0DBF9"/>
              <w:right w:val="single" w:sz="8" w:color="A0DBF9"/>
            </w:tcBorders>
            <w:gridSpan w:val="2"/>
          </w:tcPr>
          <w:p>
            <w:pPr>
              <w:ind w:left="240"/>
              <w:spacing w:after="0"/>
              <w:rPr>
                <w:sz w:val="20"/>
                <w:szCs w:val="20"/>
                <w:color w:val="auto"/>
              </w:rPr>
            </w:pPr>
            <w:r>
              <w:rPr>
                <w:rFonts w:ascii="Arial" w:cs="Arial" w:eastAsia="Arial" w:hAnsi="Arial"/>
                <w:sz w:val="18"/>
                <w:szCs w:val="18"/>
                <w:color w:val="auto"/>
              </w:rPr>
              <w:t>James C. Clemmer</w:t>
            </w:r>
            <w:r>
              <w:rPr>
                <w:rFonts w:ascii="Arial" w:cs="Arial" w:eastAsia="Arial" w:hAnsi="Arial"/>
                <w:sz w:val="15"/>
                <w:szCs w:val="15"/>
                <w:color w:val="auto"/>
              </w:rPr>
              <w:t>(4)</w:t>
            </w:r>
          </w:p>
        </w:tc>
        <w:tc>
          <w:tcPr>
            <w:tcW w:w="27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$67,500</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$192,493</w:t>
            </w:r>
          </w:p>
        </w:tc>
      </w:tr>
      <w:tr>
        <w:trPr>
          <w:trHeight w:val="108"/>
        </w:trPr>
        <w:tc>
          <w:tcPr>
            <w:tcW w:w="1220" w:type="dxa"/>
            <w:vAlign w:val="bottom"/>
            <w:tcBorders>
              <w:left w:val="single" w:sz="8" w:color="A0DBF9"/>
              <w:bottom w:val="single" w:sz="8" w:color="91BCFC"/>
            </w:tcBorders>
          </w:tcPr>
          <w:p>
            <w:pPr>
              <w:spacing w:after="0"/>
              <w:rPr>
                <w:sz w:val="9"/>
                <w:szCs w:val="9"/>
                <w:color w:val="auto"/>
              </w:rPr>
            </w:pPr>
          </w:p>
        </w:tc>
        <w:tc>
          <w:tcPr>
            <w:tcW w:w="1560" w:type="dxa"/>
            <w:vAlign w:val="bottom"/>
            <w:tcBorders>
              <w:bottom w:val="single" w:sz="8" w:color="91BCFC"/>
              <w:right w:val="single" w:sz="8" w:color="A0DBF9"/>
            </w:tcBorders>
          </w:tcPr>
          <w:p>
            <w:pPr>
              <w:spacing w:after="0"/>
              <w:rPr>
                <w:sz w:val="9"/>
                <w:szCs w:val="9"/>
                <w:color w:val="auto"/>
              </w:rPr>
            </w:pPr>
          </w:p>
        </w:tc>
        <w:tc>
          <w:tcPr>
            <w:tcW w:w="278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r>
      <w:tr>
        <w:trPr>
          <w:trHeight w:val="264"/>
        </w:trPr>
        <w:tc>
          <w:tcPr>
            <w:tcW w:w="2780" w:type="dxa"/>
            <w:vAlign w:val="bottom"/>
            <w:tcBorders>
              <w:left w:val="single" w:sz="8" w:color="A0DBF9"/>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color w:val="auto"/>
              </w:rPr>
              <w:t>Samuel Leno</w:t>
            </w:r>
            <w:r>
              <w:rPr>
                <w:rFonts w:ascii="Arial" w:cs="Arial" w:eastAsia="Arial" w:hAnsi="Arial"/>
                <w:sz w:val="15"/>
                <w:szCs w:val="15"/>
                <w:color w:val="auto"/>
              </w:rPr>
              <w:t>(5)</w:t>
            </w:r>
          </w:p>
        </w:tc>
        <w:tc>
          <w:tcPr>
            <w:tcW w:w="27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$75,000</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$199,993</w:t>
            </w:r>
          </w:p>
        </w:tc>
      </w:tr>
      <w:tr>
        <w:trPr>
          <w:trHeight w:val="108"/>
        </w:trPr>
        <w:tc>
          <w:tcPr>
            <w:tcW w:w="1220" w:type="dxa"/>
            <w:vAlign w:val="bottom"/>
            <w:tcBorders>
              <w:left w:val="single" w:sz="8" w:color="A0DBF9"/>
              <w:bottom w:val="single" w:sz="8" w:color="91BCFC"/>
            </w:tcBorders>
            <w:shd w:val="clear" w:color="auto" w:fill="E2F4FC"/>
          </w:tcPr>
          <w:p>
            <w:pPr>
              <w:spacing w:after="0"/>
              <w:rPr>
                <w:sz w:val="9"/>
                <w:szCs w:val="9"/>
                <w:color w:val="auto"/>
              </w:rPr>
            </w:pPr>
          </w:p>
        </w:tc>
        <w:tc>
          <w:tcPr>
            <w:tcW w:w="1560" w:type="dxa"/>
            <w:vAlign w:val="bottom"/>
            <w:tcBorders>
              <w:bottom w:val="single" w:sz="8" w:color="91BCFC"/>
              <w:right w:val="single" w:sz="8" w:color="A0DBF9"/>
            </w:tcBorders>
            <w:shd w:val="clear" w:color="auto" w:fill="E2F4FC"/>
          </w:tcPr>
          <w:p>
            <w:pPr>
              <w:spacing w:after="0"/>
              <w:rPr>
                <w:sz w:val="9"/>
                <w:szCs w:val="9"/>
                <w:color w:val="auto"/>
              </w:rPr>
            </w:pPr>
          </w:p>
        </w:tc>
        <w:tc>
          <w:tcPr>
            <w:tcW w:w="278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r>
      <w:tr>
        <w:trPr>
          <w:trHeight w:val="263"/>
        </w:trPr>
        <w:tc>
          <w:tcPr>
            <w:tcW w:w="2780" w:type="dxa"/>
            <w:vAlign w:val="bottom"/>
            <w:tcBorders>
              <w:left w:val="single" w:sz="8" w:color="A0DBF9"/>
              <w:right w:val="single" w:sz="8" w:color="A0DBF9"/>
            </w:tcBorders>
            <w:gridSpan w:val="2"/>
          </w:tcPr>
          <w:p>
            <w:pPr>
              <w:ind w:left="240"/>
              <w:spacing w:after="0"/>
              <w:rPr>
                <w:sz w:val="20"/>
                <w:szCs w:val="20"/>
                <w:color w:val="auto"/>
              </w:rPr>
            </w:pPr>
            <w:r>
              <w:rPr>
                <w:rFonts w:ascii="Arial" w:cs="Arial" w:eastAsia="Arial" w:hAnsi="Arial"/>
                <w:sz w:val="18"/>
                <w:szCs w:val="18"/>
                <w:color w:val="auto"/>
              </w:rPr>
              <w:t>Julie McHugh</w:t>
            </w:r>
            <w:r>
              <w:rPr>
                <w:rFonts w:ascii="Arial" w:cs="Arial" w:eastAsia="Arial" w:hAnsi="Arial"/>
                <w:sz w:val="15"/>
                <w:szCs w:val="15"/>
                <w:color w:val="auto"/>
              </w:rPr>
              <w:t>(6)</w:t>
            </w:r>
          </w:p>
        </w:tc>
        <w:tc>
          <w:tcPr>
            <w:tcW w:w="27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$65,000</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$189,993</w:t>
            </w:r>
          </w:p>
        </w:tc>
      </w:tr>
      <w:tr>
        <w:trPr>
          <w:trHeight w:val="108"/>
        </w:trPr>
        <w:tc>
          <w:tcPr>
            <w:tcW w:w="1220" w:type="dxa"/>
            <w:vAlign w:val="bottom"/>
            <w:tcBorders>
              <w:left w:val="single" w:sz="8" w:color="A0DBF9"/>
              <w:bottom w:val="single" w:sz="8" w:color="91BCFC"/>
            </w:tcBorders>
          </w:tcPr>
          <w:p>
            <w:pPr>
              <w:spacing w:after="0"/>
              <w:rPr>
                <w:sz w:val="9"/>
                <w:szCs w:val="9"/>
                <w:color w:val="auto"/>
              </w:rPr>
            </w:pPr>
          </w:p>
        </w:tc>
        <w:tc>
          <w:tcPr>
            <w:tcW w:w="1560" w:type="dxa"/>
            <w:vAlign w:val="bottom"/>
            <w:tcBorders>
              <w:bottom w:val="single" w:sz="8" w:color="91BCFC"/>
              <w:right w:val="single" w:sz="8" w:color="A0DBF9"/>
            </w:tcBorders>
          </w:tcPr>
          <w:p>
            <w:pPr>
              <w:spacing w:after="0"/>
              <w:rPr>
                <w:sz w:val="9"/>
                <w:szCs w:val="9"/>
                <w:color w:val="auto"/>
              </w:rPr>
            </w:pPr>
          </w:p>
        </w:tc>
        <w:tc>
          <w:tcPr>
            <w:tcW w:w="278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r>
      <w:tr>
        <w:trPr>
          <w:trHeight w:val="264"/>
        </w:trPr>
        <w:tc>
          <w:tcPr>
            <w:tcW w:w="2780" w:type="dxa"/>
            <w:vAlign w:val="bottom"/>
            <w:tcBorders>
              <w:left w:val="single" w:sz="8" w:color="A0DBF9"/>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color w:val="auto"/>
              </w:rPr>
              <w:t>Gary Pruden</w:t>
            </w:r>
            <w:r>
              <w:rPr>
                <w:rFonts w:ascii="Arial" w:cs="Arial" w:eastAsia="Arial" w:hAnsi="Arial"/>
                <w:sz w:val="15"/>
                <w:szCs w:val="15"/>
                <w:color w:val="auto"/>
              </w:rPr>
              <w:t>(7)</w:t>
            </w:r>
          </w:p>
        </w:tc>
        <w:tc>
          <w:tcPr>
            <w:tcW w:w="27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$65,000</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$189,993</w:t>
            </w:r>
          </w:p>
        </w:tc>
      </w:tr>
      <w:tr>
        <w:trPr>
          <w:trHeight w:val="108"/>
        </w:trPr>
        <w:tc>
          <w:tcPr>
            <w:tcW w:w="1220" w:type="dxa"/>
            <w:vAlign w:val="bottom"/>
            <w:tcBorders>
              <w:left w:val="single" w:sz="8" w:color="A0DBF9"/>
              <w:bottom w:val="single" w:sz="8" w:color="91BCFC"/>
            </w:tcBorders>
            <w:shd w:val="clear" w:color="auto" w:fill="E2F4FC"/>
          </w:tcPr>
          <w:p>
            <w:pPr>
              <w:spacing w:after="0"/>
              <w:rPr>
                <w:sz w:val="9"/>
                <w:szCs w:val="9"/>
                <w:color w:val="auto"/>
              </w:rPr>
            </w:pPr>
          </w:p>
        </w:tc>
        <w:tc>
          <w:tcPr>
            <w:tcW w:w="1560" w:type="dxa"/>
            <w:vAlign w:val="bottom"/>
            <w:tcBorders>
              <w:bottom w:val="single" w:sz="8" w:color="91BCFC"/>
              <w:right w:val="single" w:sz="8" w:color="A0DBF9"/>
            </w:tcBorders>
            <w:shd w:val="clear" w:color="auto" w:fill="E2F4FC"/>
          </w:tcPr>
          <w:p>
            <w:pPr>
              <w:spacing w:after="0"/>
              <w:rPr>
                <w:sz w:val="9"/>
                <w:szCs w:val="9"/>
                <w:color w:val="auto"/>
              </w:rPr>
            </w:pPr>
          </w:p>
        </w:tc>
        <w:tc>
          <w:tcPr>
            <w:tcW w:w="278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r>
      <w:tr>
        <w:trPr>
          <w:trHeight w:val="264"/>
        </w:trPr>
        <w:tc>
          <w:tcPr>
            <w:tcW w:w="2780" w:type="dxa"/>
            <w:vAlign w:val="bottom"/>
            <w:tcBorders>
              <w:left w:val="single" w:sz="8" w:color="A0DBF9"/>
              <w:right w:val="single" w:sz="8" w:color="A0DBF9"/>
            </w:tcBorders>
            <w:gridSpan w:val="2"/>
          </w:tcPr>
          <w:p>
            <w:pPr>
              <w:ind w:left="240"/>
              <w:spacing w:after="0"/>
              <w:rPr>
                <w:sz w:val="20"/>
                <w:szCs w:val="20"/>
                <w:color w:val="auto"/>
              </w:rPr>
            </w:pPr>
            <w:r>
              <w:rPr>
                <w:rFonts w:ascii="Arial" w:cs="Arial" w:eastAsia="Arial" w:hAnsi="Arial"/>
                <w:sz w:val="18"/>
                <w:szCs w:val="18"/>
                <w:color w:val="auto"/>
              </w:rPr>
              <w:t>Kenneth Pucel</w:t>
            </w:r>
            <w:r>
              <w:rPr>
                <w:rFonts w:ascii="Arial" w:cs="Arial" w:eastAsia="Arial" w:hAnsi="Arial"/>
                <w:sz w:val="15"/>
                <w:szCs w:val="15"/>
                <w:color w:val="auto"/>
              </w:rPr>
              <w:t>(8)</w:t>
            </w:r>
          </w:p>
        </w:tc>
        <w:tc>
          <w:tcPr>
            <w:tcW w:w="27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$57,500</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$182,493</w:t>
            </w:r>
          </w:p>
        </w:tc>
      </w:tr>
      <w:tr>
        <w:trPr>
          <w:trHeight w:val="108"/>
        </w:trPr>
        <w:tc>
          <w:tcPr>
            <w:tcW w:w="1220" w:type="dxa"/>
            <w:vAlign w:val="bottom"/>
            <w:tcBorders>
              <w:left w:val="single" w:sz="8" w:color="A0DBF9"/>
              <w:bottom w:val="single" w:sz="8" w:color="91BCFC"/>
            </w:tcBorders>
          </w:tcPr>
          <w:p>
            <w:pPr>
              <w:spacing w:after="0"/>
              <w:rPr>
                <w:sz w:val="9"/>
                <w:szCs w:val="9"/>
                <w:color w:val="auto"/>
              </w:rPr>
            </w:pPr>
          </w:p>
        </w:tc>
        <w:tc>
          <w:tcPr>
            <w:tcW w:w="1560" w:type="dxa"/>
            <w:vAlign w:val="bottom"/>
            <w:tcBorders>
              <w:bottom w:val="single" w:sz="8" w:color="91BCFC"/>
              <w:right w:val="single" w:sz="8" w:color="A0DBF9"/>
            </w:tcBorders>
          </w:tcPr>
          <w:p>
            <w:pPr>
              <w:spacing w:after="0"/>
              <w:rPr>
                <w:sz w:val="9"/>
                <w:szCs w:val="9"/>
                <w:color w:val="auto"/>
              </w:rPr>
            </w:pPr>
          </w:p>
        </w:tc>
        <w:tc>
          <w:tcPr>
            <w:tcW w:w="278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r>
      <w:tr>
        <w:trPr>
          <w:trHeight w:val="263"/>
        </w:trPr>
        <w:tc>
          <w:tcPr>
            <w:tcW w:w="2780" w:type="dxa"/>
            <w:vAlign w:val="bottom"/>
            <w:tcBorders>
              <w:left w:val="single" w:sz="8" w:color="A0DBF9"/>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color w:val="auto"/>
              </w:rPr>
              <w:t>Dr. Frederick Robertson</w:t>
            </w:r>
            <w:r>
              <w:rPr>
                <w:rFonts w:ascii="Arial" w:cs="Arial" w:eastAsia="Arial" w:hAnsi="Arial"/>
                <w:sz w:val="15"/>
                <w:szCs w:val="15"/>
                <w:color w:val="auto"/>
              </w:rPr>
              <w:t>(9)</w:t>
            </w:r>
          </w:p>
        </w:tc>
        <w:tc>
          <w:tcPr>
            <w:tcW w:w="27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$70,000</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$194,993</w:t>
            </w:r>
          </w:p>
        </w:tc>
      </w:tr>
      <w:tr>
        <w:trPr>
          <w:trHeight w:val="108"/>
        </w:trPr>
        <w:tc>
          <w:tcPr>
            <w:tcW w:w="1220" w:type="dxa"/>
            <w:vAlign w:val="bottom"/>
            <w:tcBorders>
              <w:left w:val="single" w:sz="8" w:color="A0DBF9"/>
              <w:bottom w:val="single" w:sz="8" w:color="91BCFC"/>
            </w:tcBorders>
            <w:shd w:val="clear" w:color="auto" w:fill="E2F4FC"/>
          </w:tcPr>
          <w:p>
            <w:pPr>
              <w:spacing w:after="0"/>
              <w:rPr>
                <w:sz w:val="9"/>
                <w:szCs w:val="9"/>
                <w:color w:val="auto"/>
              </w:rPr>
            </w:pPr>
          </w:p>
        </w:tc>
        <w:tc>
          <w:tcPr>
            <w:tcW w:w="1560" w:type="dxa"/>
            <w:vAlign w:val="bottom"/>
            <w:tcBorders>
              <w:bottom w:val="single" w:sz="8" w:color="91BCFC"/>
              <w:right w:val="single" w:sz="8" w:color="A0DBF9"/>
            </w:tcBorders>
            <w:shd w:val="clear" w:color="auto" w:fill="E2F4FC"/>
          </w:tcPr>
          <w:p>
            <w:pPr>
              <w:spacing w:after="0"/>
              <w:rPr>
                <w:sz w:val="9"/>
                <w:szCs w:val="9"/>
                <w:color w:val="auto"/>
              </w:rPr>
            </w:pPr>
          </w:p>
        </w:tc>
        <w:tc>
          <w:tcPr>
            <w:tcW w:w="278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c>
          <w:tcPr>
            <w:tcW w:w="2740" w:type="dxa"/>
            <w:vAlign w:val="bottom"/>
            <w:tcBorders>
              <w:bottom w:val="single" w:sz="8" w:color="91BCFC"/>
              <w:right w:val="single" w:sz="8" w:color="A0DBF9"/>
            </w:tcBorders>
            <w:shd w:val="clear" w:color="auto" w:fill="E2F4FC"/>
          </w:tcPr>
          <w:p>
            <w:pPr>
              <w:spacing w:after="0"/>
              <w:rPr>
                <w:sz w:val="9"/>
                <w:szCs w:val="9"/>
                <w:color w:val="auto"/>
              </w:rPr>
            </w:pPr>
          </w:p>
        </w:tc>
      </w:tr>
      <w:tr>
        <w:trPr>
          <w:trHeight w:val="264"/>
        </w:trPr>
        <w:tc>
          <w:tcPr>
            <w:tcW w:w="2780" w:type="dxa"/>
            <w:vAlign w:val="bottom"/>
            <w:tcBorders>
              <w:left w:val="single" w:sz="8" w:color="A0DBF9"/>
              <w:right w:val="single" w:sz="8" w:color="A0DBF9"/>
            </w:tcBorders>
            <w:gridSpan w:val="2"/>
          </w:tcPr>
          <w:p>
            <w:pPr>
              <w:ind w:left="240"/>
              <w:spacing w:after="0"/>
              <w:rPr>
                <w:sz w:val="20"/>
                <w:szCs w:val="20"/>
                <w:color w:val="auto"/>
              </w:rPr>
            </w:pPr>
            <w:r>
              <w:rPr>
                <w:rFonts w:ascii="Arial" w:cs="Arial" w:eastAsia="Arial" w:hAnsi="Arial"/>
                <w:sz w:val="18"/>
                <w:szCs w:val="18"/>
                <w:color w:val="auto"/>
              </w:rPr>
              <w:t>Dr. Derace Schaffer</w:t>
            </w:r>
            <w:r>
              <w:rPr>
                <w:rFonts w:ascii="Arial" w:cs="Arial" w:eastAsia="Arial" w:hAnsi="Arial"/>
                <w:sz w:val="15"/>
                <w:szCs w:val="15"/>
                <w:color w:val="auto"/>
              </w:rPr>
              <w:t>(10)</w:t>
            </w:r>
          </w:p>
        </w:tc>
        <w:tc>
          <w:tcPr>
            <w:tcW w:w="27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$62,500</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$187,493</w:t>
            </w:r>
          </w:p>
        </w:tc>
      </w:tr>
      <w:tr>
        <w:trPr>
          <w:trHeight w:val="108"/>
        </w:trPr>
        <w:tc>
          <w:tcPr>
            <w:tcW w:w="1220" w:type="dxa"/>
            <w:vAlign w:val="bottom"/>
            <w:tcBorders>
              <w:left w:val="single" w:sz="8" w:color="A0DBF9"/>
              <w:bottom w:val="single" w:sz="8" w:color="91BCFC"/>
            </w:tcBorders>
          </w:tcPr>
          <w:p>
            <w:pPr>
              <w:spacing w:after="0"/>
              <w:rPr>
                <w:sz w:val="9"/>
                <w:szCs w:val="9"/>
                <w:color w:val="auto"/>
              </w:rPr>
            </w:pPr>
          </w:p>
        </w:tc>
        <w:tc>
          <w:tcPr>
            <w:tcW w:w="1560" w:type="dxa"/>
            <w:vAlign w:val="bottom"/>
            <w:tcBorders>
              <w:bottom w:val="single" w:sz="8" w:color="91BCFC"/>
              <w:right w:val="single" w:sz="8" w:color="A0DBF9"/>
            </w:tcBorders>
          </w:tcPr>
          <w:p>
            <w:pPr>
              <w:spacing w:after="0"/>
              <w:rPr>
                <w:sz w:val="9"/>
                <w:szCs w:val="9"/>
                <w:color w:val="auto"/>
              </w:rPr>
            </w:pPr>
          </w:p>
        </w:tc>
        <w:tc>
          <w:tcPr>
            <w:tcW w:w="278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c>
          <w:tcPr>
            <w:tcW w:w="2740" w:type="dxa"/>
            <w:vAlign w:val="bottom"/>
            <w:tcBorders>
              <w:bottom w:val="single" w:sz="8" w:color="91BCFC"/>
              <w:right w:val="single" w:sz="8" w:color="A0DBF9"/>
            </w:tcBorders>
          </w:tcPr>
          <w:p>
            <w:pPr>
              <w:spacing w:after="0"/>
              <w:rPr>
                <w:sz w:val="9"/>
                <w:szCs w:val="9"/>
                <w:color w:val="auto"/>
              </w:rPr>
            </w:pPr>
          </w:p>
        </w:tc>
      </w:tr>
      <w:tr>
        <w:trPr>
          <w:trHeight w:val="264"/>
        </w:trPr>
        <w:tc>
          <w:tcPr>
            <w:tcW w:w="2780" w:type="dxa"/>
            <w:vAlign w:val="bottom"/>
            <w:tcBorders>
              <w:left w:val="single" w:sz="8" w:color="A0DBF9"/>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color w:val="auto"/>
              </w:rPr>
              <w:t>Dr. James Thrall</w:t>
            </w:r>
            <w:r>
              <w:rPr>
                <w:rFonts w:ascii="Arial" w:cs="Arial" w:eastAsia="Arial" w:hAnsi="Arial"/>
                <w:sz w:val="15"/>
                <w:szCs w:val="15"/>
                <w:color w:val="auto"/>
              </w:rPr>
              <w:t>(11)</w:t>
            </w:r>
          </w:p>
        </w:tc>
        <w:tc>
          <w:tcPr>
            <w:tcW w:w="27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$55,000</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$124,993</w:t>
            </w:r>
          </w:p>
        </w:tc>
        <w:tc>
          <w:tcPr>
            <w:tcW w:w="27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$179,993</w:t>
            </w:r>
          </w:p>
        </w:tc>
      </w:tr>
      <w:tr>
        <w:trPr>
          <w:trHeight w:val="108"/>
        </w:trPr>
        <w:tc>
          <w:tcPr>
            <w:tcW w:w="1220" w:type="dxa"/>
            <w:vAlign w:val="bottom"/>
            <w:tcBorders>
              <w:left w:val="single" w:sz="8" w:color="A0DBF9"/>
              <w:bottom w:val="single" w:sz="8" w:color="A0DBF9"/>
            </w:tcBorders>
            <w:shd w:val="clear" w:color="auto" w:fill="E2F4FC"/>
          </w:tcPr>
          <w:p>
            <w:pPr>
              <w:spacing w:after="0"/>
              <w:rPr>
                <w:sz w:val="9"/>
                <w:szCs w:val="9"/>
                <w:color w:val="auto"/>
              </w:rPr>
            </w:pPr>
          </w:p>
        </w:tc>
        <w:tc>
          <w:tcPr>
            <w:tcW w:w="1560" w:type="dxa"/>
            <w:vAlign w:val="bottom"/>
            <w:tcBorders>
              <w:bottom w:val="single" w:sz="8" w:color="A0DBF9"/>
              <w:right w:val="single" w:sz="8" w:color="A0DBF9"/>
            </w:tcBorders>
            <w:shd w:val="clear" w:color="auto" w:fill="E2F4FC"/>
          </w:tcPr>
          <w:p>
            <w:pPr>
              <w:spacing w:after="0"/>
              <w:rPr>
                <w:sz w:val="9"/>
                <w:szCs w:val="9"/>
                <w:color w:val="auto"/>
              </w:rPr>
            </w:pPr>
          </w:p>
        </w:tc>
        <w:tc>
          <w:tcPr>
            <w:tcW w:w="2780" w:type="dxa"/>
            <w:vAlign w:val="bottom"/>
            <w:tcBorders>
              <w:bottom w:val="single" w:sz="8" w:color="A0DBF9"/>
              <w:right w:val="single" w:sz="8" w:color="A0DBF9"/>
            </w:tcBorders>
            <w:shd w:val="clear" w:color="auto" w:fill="E2F4FC"/>
          </w:tcPr>
          <w:p>
            <w:pPr>
              <w:spacing w:after="0"/>
              <w:rPr>
                <w:sz w:val="9"/>
                <w:szCs w:val="9"/>
                <w:color w:val="auto"/>
              </w:rPr>
            </w:pPr>
          </w:p>
        </w:tc>
        <w:tc>
          <w:tcPr>
            <w:tcW w:w="2740" w:type="dxa"/>
            <w:vAlign w:val="bottom"/>
            <w:tcBorders>
              <w:bottom w:val="single" w:sz="8" w:color="A0DBF9"/>
              <w:right w:val="single" w:sz="8" w:color="A0DBF9"/>
            </w:tcBorders>
            <w:shd w:val="clear" w:color="auto" w:fill="E2F4FC"/>
          </w:tcPr>
          <w:p>
            <w:pPr>
              <w:spacing w:after="0"/>
              <w:rPr>
                <w:sz w:val="9"/>
                <w:szCs w:val="9"/>
                <w:color w:val="auto"/>
              </w:rPr>
            </w:pPr>
          </w:p>
        </w:tc>
        <w:tc>
          <w:tcPr>
            <w:tcW w:w="274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129"/>
        </w:trPr>
        <w:tc>
          <w:tcPr>
            <w:tcW w:w="1220" w:type="dxa"/>
            <w:vAlign w:val="bottom"/>
            <w:tcBorders>
              <w:bottom w:val="single" w:sz="8" w:color="auto"/>
            </w:tcBorders>
          </w:tcPr>
          <w:p>
            <w:pPr>
              <w:spacing w:after="0"/>
              <w:rPr>
                <w:sz w:val="11"/>
                <w:szCs w:val="11"/>
                <w:color w:val="auto"/>
              </w:rPr>
            </w:pPr>
          </w:p>
        </w:tc>
        <w:tc>
          <w:tcPr>
            <w:tcW w:w="1560" w:type="dxa"/>
            <w:vAlign w:val="bottom"/>
          </w:tcPr>
          <w:p>
            <w:pPr>
              <w:spacing w:after="0"/>
              <w:rPr>
                <w:sz w:val="11"/>
                <w:szCs w:val="11"/>
                <w:color w:val="auto"/>
              </w:rPr>
            </w:pPr>
          </w:p>
        </w:tc>
        <w:tc>
          <w:tcPr>
            <w:tcW w:w="27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2740" w:type="dxa"/>
            <w:vAlign w:val="bottom"/>
          </w:tcPr>
          <w:p>
            <w:pPr>
              <w:spacing w:after="0"/>
              <w:rPr>
                <w:sz w:val="11"/>
                <w:szCs w:val="11"/>
                <w:color w:val="auto"/>
              </w:rPr>
            </w:pPr>
          </w:p>
        </w:tc>
      </w:tr>
    </w:tbl>
    <w:p>
      <w:pPr>
        <w:spacing w:after="0" w:line="22" w:lineRule="exact"/>
        <w:rPr>
          <w:sz w:val="20"/>
          <w:szCs w:val="20"/>
          <w:color w:val="auto"/>
        </w:rPr>
      </w:pPr>
    </w:p>
    <w:p>
      <w:pPr>
        <w:ind w:left="540" w:right="220" w:hanging="424"/>
        <w:spacing w:after="0" w:line="230"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Ms. Heino does not receive any additional compensation for her service as a director and is not listed in the table above. For information regarding Ms. Heino’s 2019 compensation, see the Summary Compensation Table below.</w:t>
      </w:r>
    </w:p>
    <w:p>
      <w:pPr>
        <w:ind w:left="540" w:right="20" w:hanging="424"/>
        <w:spacing w:after="0" w:line="238" w:lineRule="auto"/>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The amounts in the stock awards column reflect the aggregate grant date fair value, calculated in accordance with FASB ASC Topic 718, of RSUs granted in 2019, excluding the effect of estimated forfeitures. The aggregate grant date fair value of RSUs is measured based on the closing fair market value of a share of our common stock on the date of grant, multiplied by the number of Shares subject to the award granted. This grant date fair value does not necessarily correspond to the actual value that will ultimately be realized by each director, which will likely vary based on a number of factors, including our financial performance, stock price fluctuations and applicable vesting.</w:t>
      </w:r>
    </w:p>
    <w:p>
      <w:pPr>
        <w:spacing w:after="0" w:line="1" w:lineRule="exact"/>
        <w:rPr>
          <w:rFonts w:ascii="Arial" w:cs="Arial" w:eastAsia="Arial" w:hAnsi="Arial"/>
          <w:sz w:val="13"/>
          <w:szCs w:val="13"/>
          <w:color w:val="auto"/>
        </w:rPr>
      </w:pPr>
    </w:p>
    <w:p>
      <w:pPr>
        <w:ind w:left="540" w:right="38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Mr. Markison was granted 5,353 RSUs. As of December 31, 2019, Mr. Markison held (a) 5,353 unvested RSUs and (b) vested options to purchase 58,913 Shares.</w:t>
      </w:r>
    </w:p>
    <w:p>
      <w:pPr>
        <w:ind w:left="540" w:hanging="424"/>
        <w:spacing w:after="0"/>
        <w:tabs>
          <w:tab w:leader="none" w:pos="540" w:val="left"/>
        </w:tabs>
        <w:numPr>
          <w:ilvl w:val="0"/>
          <w:numId w:val="16"/>
        </w:numPr>
        <w:rPr>
          <w:rFonts w:ascii="Arial" w:cs="Arial" w:eastAsia="Arial" w:hAnsi="Arial"/>
          <w:sz w:val="12"/>
          <w:szCs w:val="12"/>
          <w:color w:val="auto"/>
        </w:rPr>
      </w:pPr>
      <w:r>
        <w:rPr>
          <w:rFonts w:ascii="Arial" w:cs="Arial" w:eastAsia="Arial" w:hAnsi="Arial"/>
          <w:sz w:val="12"/>
          <w:szCs w:val="12"/>
          <w:color w:val="auto"/>
        </w:rPr>
        <w:t>On February 26, 2019, Mr. Clemmer was granted 5,353 RSUs. As of December 31, 2019, Mr. Clemmer held (a) 5,353 unvested RSUs and (b) vested options to purchase 6,993 Shares.</w:t>
      </w:r>
    </w:p>
    <w:p>
      <w:pPr>
        <w:spacing w:after="0" w:line="10" w:lineRule="exact"/>
        <w:rPr>
          <w:rFonts w:ascii="Arial" w:cs="Arial" w:eastAsia="Arial" w:hAnsi="Arial"/>
          <w:sz w:val="12"/>
          <w:szCs w:val="12"/>
          <w:color w:val="auto"/>
        </w:rPr>
      </w:pPr>
    </w:p>
    <w:p>
      <w:pPr>
        <w:ind w:left="540" w:hanging="424"/>
        <w:spacing w:after="0"/>
        <w:tabs>
          <w:tab w:leader="none" w:pos="540" w:val="left"/>
        </w:tabs>
        <w:numPr>
          <w:ilvl w:val="0"/>
          <w:numId w:val="16"/>
        </w:numPr>
        <w:rPr>
          <w:rFonts w:ascii="Arial" w:cs="Arial" w:eastAsia="Arial" w:hAnsi="Arial"/>
          <w:sz w:val="13"/>
          <w:szCs w:val="13"/>
          <w:color w:val="auto"/>
        </w:rPr>
      </w:pPr>
      <w:r>
        <w:rPr>
          <w:rFonts w:ascii="Arial" w:cs="Arial" w:eastAsia="Arial" w:hAnsi="Arial"/>
          <w:sz w:val="13"/>
          <w:szCs w:val="13"/>
          <w:color w:val="auto"/>
        </w:rPr>
        <w:t>On February 26, 2019, Mr. Leno was granted 5,353 RSUs. As of December 31, 2019, Mr. Leno held (a) 5,353 unvested RSUs and (b) vested options to purchase 33,871 Shares.</w:t>
      </w:r>
    </w:p>
    <w:p>
      <w:pPr>
        <w:ind w:left="54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Ms. McHugh was granted 5,353 RSUs. As of December 31, 2019, Ms. McHugh held 5,353 unvested RSUs.</w:t>
      </w:r>
    </w:p>
    <w:p>
      <w:pPr>
        <w:ind w:left="54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Mr. Pruden was granted 5,353 RSUs. As of December 31, 2019, Mr. Pruden held 5,353 unvested RSUs.</w:t>
      </w:r>
    </w:p>
    <w:p>
      <w:pPr>
        <w:ind w:left="54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Mr. Pucel was granted 5,353 RSUs. As of December 31, 2019, Mr. Pucel held 5,353 unvested RSUs.</w:t>
      </w:r>
    </w:p>
    <w:p>
      <w:pPr>
        <w:ind w:left="54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Dr. Robertson was granted 5,353 RSUs. As of December 31, 2019, Dr. Robertson held 5,353 unvested RSUs.</w:t>
      </w:r>
    </w:p>
    <w:p>
      <w:pPr>
        <w:ind w:left="540" w:hanging="424"/>
        <w:spacing w:after="0" w:line="221" w:lineRule="auto"/>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Dr. Schaffer was granted 5,353 RSUs. As of December 31, 2019, Dr. Schaffer held 5,353 unvested RSUs.</w:t>
      </w:r>
    </w:p>
    <w:p>
      <w:pPr>
        <w:ind w:left="540" w:hanging="424"/>
        <w:spacing w:after="0"/>
        <w:tabs>
          <w:tab w:leader="none" w:pos="540" w:val="left"/>
        </w:tabs>
        <w:numPr>
          <w:ilvl w:val="0"/>
          <w:numId w:val="16"/>
        </w:numPr>
        <w:rPr>
          <w:rFonts w:ascii="Arial" w:cs="Arial" w:eastAsia="Arial" w:hAnsi="Arial"/>
          <w:sz w:val="14"/>
          <w:szCs w:val="14"/>
          <w:color w:val="auto"/>
        </w:rPr>
      </w:pPr>
      <w:r>
        <w:rPr>
          <w:rFonts w:ascii="Arial" w:cs="Arial" w:eastAsia="Arial" w:hAnsi="Arial"/>
          <w:sz w:val="14"/>
          <w:szCs w:val="14"/>
          <w:color w:val="auto"/>
        </w:rPr>
        <w:t>On February 26, 2019, Dr. Thrall was granted 5,353 RSUs. As of December 31, 2019, Dr. Thrall held 5,353 unvested RSUs.</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40"/>
          </w:cols>
          <w:pgMar w:left="320" w:top="459" w:right="4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CORPORATE RESPONSIBILITY</w:t>
      </w:r>
    </w:p>
    <w:p>
      <w:pPr>
        <w:spacing w:after="0" w:line="229" w:lineRule="exact"/>
        <w:rPr>
          <w:sz w:val="20"/>
          <w:szCs w:val="20"/>
          <w:color w:val="auto"/>
        </w:rPr>
      </w:pPr>
    </w:p>
    <w:p>
      <w:pPr>
        <w:ind w:left="120" w:firstLine="440"/>
        <w:spacing w:after="0" w:line="272" w:lineRule="auto"/>
        <w:rPr>
          <w:sz w:val="20"/>
          <w:szCs w:val="20"/>
          <w:color w:val="auto"/>
        </w:rPr>
      </w:pPr>
      <w:r>
        <w:rPr>
          <w:rFonts w:ascii="Arial" w:cs="Arial" w:eastAsia="Arial" w:hAnsi="Arial"/>
          <w:sz w:val="17"/>
          <w:szCs w:val="17"/>
          <w:color w:val="auto"/>
        </w:rPr>
        <w:t>Our diagnostic imaging agents and products were used in over 5 million imaging procedures in 2019, providing healthcare professionals improved diagnostic information which enabled them to better detect and characterize, or rule out, disease, potentially improving patient outcomes, reducing patient risk, and limiting overall costs for payers and the entire healthcare system. In alignment with the value we bring to our customers and their patients, we believe that conducting our business by sustaining the environment, supporting our local communities, embracing diversity and inclusion, and adhering to a strong culture of compliance and ethics will positively impact our customers, stockholders, employees, community and the environment. We believe these types of initiatives will support profitable and responsible growth for our stockholders, and we are committed to stewarding the trust that stockholders place in us consistent with these values.</w:t>
      </w:r>
    </w:p>
    <w:p>
      <w:pPr>
        <w:spacing w:after="0" w:line="177"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highlights some key accomplishments and initiatives consistent with our environmental, social and governance (“</w:t>
      </w:r>
      <w:r>
        <w:rPr>
          <w:rFonts w:ascii="Arial" w:cs="Arial" w:eastAsia="Arial" w:hAnsi="Arial"/>
          <w:sz w:val="18"/>
          <w:szCs w:val="18"/>
          <w:b w:val="1"/>
          <w:bCs w:val="1"/>
          <w:i w:val="1"/>
          <w:iCs w:val="1"/>
          <w:color w:val="auto"/>
        </w:rPr>
        <w:t>ESG</w:t>
      </w:r>
      <w:r>
        <w:rPr>
          <w:rFonts w:ascii="Arial" w:cs="Arial" w:eastAsia="Arial" w:hAnsi="Arial"/>
          <w:sz w:val="18"/>
          <w:szCs w:val="18"/>
          <w:color w:val="auto"/>
        </w:rPr>
        <w:t>”) goals and responsibilities.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Environmental</w:t>
      </w:r>
    </w:p>
    <w:p>
      <w:pPr>
        <w:spacing w:after="0" w:line="121" w:lineRule="exact"/>
        <w:rPr>
          <w:sz w:val="20"/>
          <w:szCs w:val="20"/>
          <w:color w:val="auto"/>
        </w:rPr>
      </w:pPr>
    </w:p>
    <w:p>
      <w:pPr>
        <w:ind w:left="120" w:right="200" w:firstLine="440"/>
        <w:spacing w:after="0" w:line="342" w:lineRule="auto"/>
        <w:rPr>
          <w:sz w:val="20"/>
          <w:szCs w:val="20"/>
          <w:color w:val="auto"/>
        </w:rPr>
      </w:pPr>
      <w:r>
        <w:rPr>
          <w:rFonts w:ascii="Arial" w:cs="Arial" w:eastAsia="Arial" w:hAnsi="Arial"/>
          <w:sz w:val="16"/>
          <w:szCs w:val="16"/>
          <w:color w:val="auto"/>
        </w:rPr>
        <w:t>As a manufacturer and distributor of radioactive and other pharmaceutical products, we operate a highly regulated business in which we are acutely aware of our impact on the environment and the safety of our employees, customers, patients, and neighbors. To that end, among other things:</w:t>
      </w:r>
    </w:p>
    <w:p>
      <w:pPr>
        <w:spacing w:after="0" w:line="29" w:lineRule="exact"/>
        <w:rPr>
          <w:sz w:val="20"/>
          <w:szCs w:val="20"/>
          <w:color w:val="auto"/>
        </w:rPr>
      </w:pPr>
    </w:p>
    <w:p>
      <w:pPr>
        <w:jc w:val="both"/>
        <w:ind w:left="1080" w:right="140" w:hanging="424"/>
        <w:spacing w:after="0" w:line="263"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maintain a staff of 12 Environmental, Health and Safety (“</w:t>
      </w:r>
      <w:r>
        <w:rPr>
          <w:rFonts w:ascii="Arial" w:cs="Arial" w:eastAsia="Arial" w:hAnsi="Arial"/>
          <w:sz w:val="18"/>
          <w:szCs w:val="18"/>
          <w:b w:val="1"/>
          <w:bCs w:val="1"/>
          <w:i w:val="1"/>
          <w:iCs w:val="1"/>
          <w:color w:val="auto"/>
        </w:rPr>
        <w:t>EHS</w:t>
      </w:r>
      <w:r>
        <w:rPr>
          <w:rFonts w:ascii="Arial" w:cs="Arial" w:eastAsia="Arial" w:hAnsi="Arial"/>
          <w:sz w:val="18"/>
          <w:szCs w:val="18"/>
          <w:color w:val="auto"/>
        </w:rPr>
        <w:t>”) professionals, including Health Physicists and Occupational Health providers who design, implement and monitor safety policies and procedures to support risk reduction and accident prevention to protect our employees, customers, patients and neighbors;</w:t>
      </w:r>
    </w:p>
    <w:p>
      <w:pPr>
        <w:spacing w:after="0" w:line="89" w:lineRule="exact"/>
        <w:rPr>
          <w:rFonts w:ascii="Arial" w:cs="Arial" w:eastAsia="Arial" w:hAnsi="Arial"/>
          <w:sz w:val="18"/>
          <w:szCs w:val="18"/>
          <w:color w:val="auto"/>
        </w:rPr>
      </w:pPr>
    </w:p>
    <w:p>
      <w:pPr>
        <w:ind w:left="1080" w:right="540" w:hanging="424"/>
        <w:spacing w:after="0" w:line="277"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actively monitor stack and waste water discharges and implement reduction principles as required by our license conditions and Federal, State and local environmental laws;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manage all regulated wastes in accordance with license conditions and with all Federal and State regulations;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incorporate recycling programs in accordance with State regulations;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dispose of electronic waste in accordance with Federal and State regulations.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2020, we intend to take the following actions:</w:t>
      </w:r>
    </w:p>
    <w:p>
      <w:pPr>
        <w:spacing w:after="0" w:line="131" w:lineRule="exact"/>
        <w:rPr>
          <w:sz w:val="20"/>
          <w:szCs w:val="20"/>
          <w:color w:val="auto"/>
        </w:rPr>
      </w:pPr>
    </w:p>
    <w:p>
      <w:pPr>
        <w:ind w:left="1080" w:right="60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Implement further measures to monitor and reduce solid waste, energy and water usage, waste water discharge and greenhouse gas emissions; and</w:t>
      </w:r>
    </w:p>
    <w:p>
      <w:pPr>
        <w:spacing w:after="0" w:line="75" w:lineRule="exact"/>
        <w:rPr>
          <w:rFonts w:ascii="Arial" w:cs="Arial" w:eastAsia="Arial" w:hAnsi="Arial"/>
          <w:sz w:val="18"/>
          <w:szCs w:val="18"/>
          <w:color w:val="auto"/>
        </w:rPr>
      </w:pPr>
    </w:p>
    <w:p>
      <w:pPr>
        <w:ind w:left="1080" w:right="60" w:hanging="424"/>
        <w:spacing w:after="0" w:line="277" w:lineRule="auto"/>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Adopt and implement a Vendor Code of Conduct containing, among other things, certain environmental undertakings, all with appropriate audit rights.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Social</w:t>
      </w:r>
    </w:p>
    <w:p>
      <w:pPr>
        <w:spacing w:after="0" w:line="121" w:lineRule="exact"/>
        <w:rPr>
          <w:sz w:val="20"/>
          <w:szCs w:val="20"/>
          <w:color w:val="auto"/>
        </w:rPr>
      </w:pPr>
    </w:p>
    <w:p>
      <w:pPr>
        <w:jc w:val="both"/>
        <w:ind w:left="120" w:right="380" w:firstLine="440"/>
        <w:spacing w:after="0" w:line="342" w:lineRule="auto"/>
        <w:rPr>
          <w:sz w:val="20"/>
          <w:szCs w:val="20"/>
          <w:color w:val="auto"/>
        </w:rPr>
      </w:pPr>
      <w:r>
        <w:rPr>
          <w:rFonts w:ascii="Arial" w:cs="Arial" w:eastAsia="Arial" w:hAnsi="Arial"/>
          <w:sz w:val="16"/>
          <w:szCs w:val="16"/>
          <w:color w:val="auto"/>
        </w:rPr>
        <w:t>We believe that supporting the local community and instilling a diverse, inclusive, ethical and compliant culture will make us an employer of choice, maintain good standing with regulatory authorities and customers and benefit stockholders in the long run. To that end, among other things:</w:t>
      </w:r>
    </w:p>
    <w:p>
      <w:pPr>
        <w:spacing w:after="0" w:line="29" w:lineRule="exact"/>
        <w:rPr>
          <w:sz w:val="20"/>
          <w:szCs w:val="20"/>
          <w:color w:val="auto"/>
        </w:rPr>
      </w:pPr>
    </w:p>
    <w:p>
      <w:pPr>
        <w:ind w:left="1080" w:right="42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Board Diversity Policy, with 20% female representation on our Board, which has earned us recognition as a Winning “W” company from 2020 Women on Boards, a global educational, public awareness and advocacy campaign;</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have a female CEO, 43% of our Vice Presidents and above are women, and 39% of our employees director-level and above are women;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We require recruiters working with us to present candidates in the spirit of diversity and inclusion;</w:t>
      </w:r>
    </w:p>
    <w:p>
      <w:pPr>
        <w:spacing w:after="0" w:line="15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100"/>
          </w:cols>
          <w:pgMar w:left="320" w:top="459" w:right="47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right="46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outsource our office trash collection and mail delivery to the Valley Collaborative, a local organization that gives educational and employment opportunities to disadvantaged and disabled young adults;</w:t>
      </w:r>
    </w:p>
    <w:p>
      <w:pPr>
        <w:spacing w:after="0" w:line="75" w:lineRule="exact"/>
        <w:rPr>
          <w:rFonts w:ascii="Arial" w:cs="Arial" w:eastAsia="Arial" w:hAnsi="Arial"/>
          <w:sz w:val="18"/>
          <w:szCs w:val="18"/>
          <w:color w:val="auto"/>
        </w:rPr>
      </w:pPr>
    </w:p>
    <w:p>
      <w:pPr>
        <w:ind w:left="1080" w:right="58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the largest sponsor of United Way of Massachusetts Bay of Merrimack Valley in its Summer Experiences of Greater Lowell program, and our CEO is being recognized as an honoree for 2020 by that organization;</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are active participants in the American Heart Association Heart Walk and are a sponsor of the Hospital Challenge;</w:t>
      </w:r>
    </w:p>
    <w:p>
      <w:pPr>
        <w:spacing w:after="0" w:line="130" w:lineRule="exact"/>
        <w:rPr>
          <w:rFonts w:ascii="Arial" w:cs="Arial" w:eastAsia="Arial" w:hAnsi="Arial"/>
          <w:sz w:val="18"/>
          <w:szCs w:val="18"/>
          <w:color w:val="auto"/>
        </w:rPr>
      </w:pPr>
    </w:p>
    <w:p>
      <w:pPr>
        <w:ind w:left="1080" w:right="1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participate in a number of local community groups and regularly sponsor Billerica Fire Department Emergency Preparedness training events;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We have an active EHS department that closely tracks occupational health and safety, including OSHA reportable injuries and near misses;</w:t>
      </w:r>
    </w:p>
    <w:p>
      <w:pPr>
        <w:spacing w:after="0" w:line="153" w:lineRule="exact"/>
        <w:rPr>
          <w:rFonts w:ascii="Arial" w:cs="Arial" w:eastAsia="Arial" w:hAnsi="Arial"/>
          <w:sz w:val="16"/>
          <w:szCs w:val="16"/>
          <w:color w:val="auto"/>
        </w:rPr>
      </w:pPr>
    </w:p>
    <w:p>
      <w:pPr>
        <w:ind w:left="1080" w:right="4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strong Quality culture (Quality is one of our six core values) and, in 2019, we had no adverse findings on inspections/audits and no recalls, and we have a strong historic record of no or minimal inspection/audit findings;</w:t>
      </w:r>
    </w:p>
    <w:p>
      <w:pPr>
        <w:spacing w:after="0" w:line="75" w:lineRule="exact"/>
        <w:rPr>
          <w:rFonts w:ascii="Arial" w:cs="Arial" w:eastAsia="Arial" w:hAnsi="Arial"/>
          <w:sz w:val="18"/>
          <w:szCs w:val="18"/>
          <w:color w:val="auto"/>
        </w:rPr>
      </w:pPr>
    </w:p>
    <w:p>
      <w:pPr>
        <w:ind w:left="1080" w:right="40" w:hanging="424"/>
        <w:spacing w:after="0" w:line="259"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 strong Compliance culture (Compliance is also one of our core values) with annual mandatory Company-wide training that includes anti-bribery/anti-corruption rules, insider trading prohibitions, confidentiality obligations, as well as specialized training in healthcare industry marketing practices. We also have a formal Ethics and Compliance Committee that develops, implements and oversees our ethics and compliance programs;</w:t>
      </w:r>
    </w:p>
    <w:p>
      <w:pPr>
        <w:spacing w:after="0" w:line="92" w:lineRule="exact"/>
        <w:rPr>
          <w:rFonts w:ascii="Arial" w:cs="Arial" w:eastAsia="Arial" w:hAnsi="Arial"/>
          <w:sz w:val="18"/>
          <w:szCs w:val="18"/>
          <w:color w:val="auto"/>
        </w:rPr>
      </w:pPr>
    </w:p>
    <w:p>
      <w:pPr>
        <w:ind w:left="1080" w:right="10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an externally administered whistleblower hotline and website that is prominently advertised to our employees, and a whistleblower’s anonymity is protected, if so requested;</w:t>
      </w:r>
    </w:p>
    <w:p>
      <w:pPr>
        <w:spacing w:after="0" w:line="75" w:lineRule="exact"/>
        <w:rPr>
          <w:rFonts w:ascii="Arial" w:cs="Arial" w:eastAsia="Arial" w:hAnsi="Arial"/>
          <w:sz w:val="18"/>
          <w:szCs w:val="18"/>
          <w:color w:val="auto"/>
        </w:rPr>
      </w:pPr>
    </w:p>
    <w:p>
      <w:pPr>
        <w:ind w:left="1080" w:right="100" w:hanging="424"/>
        <w:spacing w:after="0" w:line="277"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have an appropriate information technology and cybersecurity strategy with robust data security hardware and software and continued company-wide training on data security matters;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We regularly disclose any conflict minerals that may be in our supply chain, as required by SEC regulations.</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2020, we intend to take the following actions:</w:t>
      </w:r>
    </w:p>
    <w:p>
      <w:pPr>
        <w:spacing w:after="0" w:line="131" w:lineRule="exact"/>
        <w:rPr>
          <w:sz w:val="20"/>
          <w:szCs w:val="20"/>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internal training, professional development and employee engagement programs;</w:t>
      </w:r>
    </w:p>
    <w:p>
      <w:pPr>
        <w:spacing w:after="0" w:line="130" w:lineRule="exact"/>
        <w:rPr>
          <w:rFonts w:ascii="Arial" w:cs="Arial" w:eastAsia="Arial" w:hAnsi="Arial"/>
          <w:sz w:val="18"/>
          <w:szCs w:val="18"/>
          <w:color w:val="auto"/>
        </w:rPr>
      </w:pPr>
    </w:p>
    <w:p>
      <w:pPr>
        <w:ind w:left="1080" w:right="20" w:hanging="424"/>
        <w:spacing w:after="0" w:line="263"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Explore entering into more commercial arrangements with minority-owned, female-owned and other diverse businesses and organizations (including those owned or operated by Veterans and Disabled Veterans) that appropriately reflect the communities in which we operate and the customer base we serve;</w:t>
      </w:r>
    </w:p>
    <w:p>
      <w:pPr>
        <w:spacing w:after="0" w:line="89" w:lineRule="exact"/>
        <w:rPr>
          <w:rFonts w:ascii="Arial" w:cs="Arial" w:eastAsia="Arial" w:hAnsi="Arial"/>
          <w:sz w:val="18"/>
          <w:szCs w:val="18"/>
          <w:color w:val="auto"/>
        </w:rPr>
      </w:pPr>
    </w:p>
    <w:p>
      <w:pPr>
        <w:ind w:left="1080" w:hanging="424"/>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Enhance our Corporate Mission Statement with reference to our multiple stakeholders and constituencies; and</w:t>
      </w:r>
    </w:p>
    <w:p>
      <w:pPr>
        <w:spacing w:after="0" w:line="130" w:lineRule="exact"/>
        <w:rPr>
          <w:rFonts w:ascii="Arial" w:cs="Arial" w:eastAsia="Arial" w:hAnsi="Arial"/>
          <w:sz w:val="18"/>
          <w:szCs w:val="18"/>
          <w:color w:val="auto"/>
        </w:rPr>
      </w:pPr>
    </w:p>
    <w:p>
      <w:pPr>
        <w:ind w:left="1080" w:right="120" w:hanging="424"/>
        <w:spacing w:after="0" w:line="259"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Adopt and implement a Vendor Code of Conduct containing, among other things, certain affirmative and negative undertakings in connection with anti-bribery/anti-corruption rules, insider trading, confidentiality, diversity, discrimination (based on gender, race, disability, ethnicity, nationality, religion, sexual orientation, or gender identity or expression), child labor, forced labor, human trafficking, slavery and conflict minerals, all with appropriate audit rights.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Governance</w:t>
      </w:r>
    </w:p>
    <w:p>
      <w:pPr>
        <w:spacing w:after="0" w:line="12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We take our corporate governance responsibilities seriously and, in addition to the measures described in this proxy statement:</w:t>
      </w:r>
    </w:p>
    <w:p>
      <w:pPr>
        <w:spacing w:after="0" w:line="131" w:lineRule="exact"/>
        <w:rPr>
          <w:sz w:val="20"/>
          <w:szCs w:val="20"/>
          <w:color w:val="auto"/>
        </w:rPr>
      </w:pPr>
    </w:p>
    <w:p>
      <w:pPr>
        <w:ind w:left="1080" w:hanging="424"/>
        <w:spacing w:after="0" w:line="277"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Nominating and Governance Committee has primary Board responsibility for ESG-related issues and regularly interacts with our CEO on relevant issues;</w:t>
      </w:r>
    </w:p>
    <w:p>
      <w:pPr>
        <w:spacing w:after="0" w:line="10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120"/>
          </w:cols>
          <w:pgMar w:left="320" w:top="459" w:right="45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08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Compensation Committee has primary responsibility for executive compensation, and our pay practices are closely linked to Company and individual performance and reward appropriate but not excessive risk-taking;</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have a publicly disclosed Company Code of Conduct and Ethics under which we did not grant any waivers in 2019; and</w:t>
      </w:r>
    </w:p>
    <w:p>
      <w:pPr>
        <w:spacing w:after="0" w:line="130" w:lineRule="exact"/>
        <w:rPr>
          <w:rFonts w:ascii="Arial" w:cs="Arial" w:eastAsia="Arial" w:hAnsi="Arial"/>
          <w:sz w:val="18"/>
          <w:szCs w:val="18"/>
          <w:color w:val="auto"/>
        </w:rPr>
      </w:pPr>
    </w:p>
    <w:p>
      <w:pPr>
        <w:ind w:left="1080" w:right="320" w:hanging="424"/>
        <w:spacing w:after="0" w:line="277"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Our Ethics and Compliance Committee has inter-departmental responsibility for monitoring compliance with our Code of Conduct and Ethics and advancing ESG projects.</w:t>
      </w:r>
    </w:p>
    <w:p>
      <w:pPr>
        <w:spacing w:after="0" w:line="170" w:lineRule="exact"/>
        <w:rPr>
          <w:sz w:val="20"/>
          <w:szCs w:val="20"/>
          <w:color w:val="auto"/>
        </w:rPr>
      </w:pPr>
    </w:p>
    <w:p>
      <w:pPr>
        <w:ind w:left="560"/>
        <w:spacing w:after="0"/>
        <w:rPr>
          <w:sz w:val="20"/>
          <w:szCs w:val="20"/>
          <w:color w:val="auto"/>
        </w:rPr>
      </w:pPr>
      <w:r>
        <w:rPr>
          <w:rFonts w:ascii="Arial" w:cs="Arial" w:eastAsia="Arial" w:hAnsi="Arial"/>
          <w:sz w:val="18"/>
          <w:szCs w:val="18"/>
          <w:color w:val="auto"/>
        </w:rPr>
        <w:t>In 2020, we expect to:</w:t>
      </w:r>
    </w:p>
    <w:p>
      <w:pPr>
        <w:spacing w:after="0" w:line="131" w:lineRule="exact"/>
        <w:rPr>
          <w:sz w:val="20"/>
          <w:szCs w:val="20"/>
          <w:color w:val="auto"/>
        </w:rPr>
      </w:pPr>
    </w:p>
    <w:p>
      <w:pPr>
        <w:ind w:left="1080" w:hanging="424"/>
        <w:spacing w:after="0" w:line="277" w:lineRule="auto"/>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Publicly disclose information on the use of corporate funds for purposes of political advocacy, including lobbying, campaign contributions, and contributions to tax-exempt groups, including trade associations.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20"/>
          </w:cols>
          <w:pgMar w:left="320" w:top="459" w:right="4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PROPOSAL 2: ADVISORY VOTE ON EXECUTIVE COMPENSATION</w:t>
      </w:r>
    </w:p>
    <w:p>
      <w:pPr>
        <w:spacing w:after="0" w:line="229" w:lineRule="exact"/>
        <w:rPr>
          <w:sz w:val="20"/>
          <w:szCs w:val="20"/>
          <w:color w:val="auto"/>
        </w:rPr>
      </w:pPr>
    </w:p>
    <w:p>
      <w:pPr>
        <w:ind w:left="120" w:right="40" w:firstLine="440"/>
        <w:spacing w:after="0" w:line="257" w:lineRule="auto"/>
        <w:rPr>
          <w:sz w:val="20"/>
          <w:szCs w:val="20"/>
          <w:color w:val="auto"/>
        </w:rPr>
      </w:pPr>
      <w:r>
        <w:rPr>
          <w:rFonts w:ascii="Arial" w:cs="Arial" w:eastAsia="Arial" w:hAnsi="Arial"/>
          <w:sz w:val="18"/>
          <w:szCs w:val="18"/>
          <w:color w:val="auto"/>
        </w:rPr>
        <w:t>We are seeking your advisory vote as required by Section 14A of the Securities Exchange Act of 1934, as amended (the “</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on the approval of the compensation of our named executive officers as described in the Compensation Discussion and Analysis, the compensation tables and related material contained in this proxy statement. Because your vote is advisory, it will not be binding on the Compensation Committee or the Board of Directors. However, the Compensation Committee and the Board will review the voting results and take them into consideration when making future decisions regarding executive compensation.</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executive compensation program is designed to:</w:t>
      </w:r>
    </w:p>
    <w:p>
      <w:pPr>
        <w:spacing w:after="0" w:line="131" w:lineRule="exact"/>
        <w:rPr>
          <w:sz w:val="20"/>
          <w:szCs w:val="20"/>
          <w:color w:val="auto"/>
        </w:rPr>
      </w:pPr>
    </w:p>
    <w:p>
      <w:pPr>
        <w:ind w:left="1080" w:right="280" w:hanging="424"/>
        <w:spacing w:after="0" w:line="277" w:lineRule="auto"/>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enable us to attract, motivate and retain the level of successful, qualified executive leadership talent necessary to achieve our long-term goals;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align the economic interests of our executives with those of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reward Company and individual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be well understood and perceived as fundamentally fair to all stakeholders, including participants and stockholders.</w:t>
      </w:r>
    </w:p>
    <w:p>
      <w:pPr>
        <w:spacing w:after="0" w:line="225" w:lineRule="exact"/>
        <w:rPr>
          <w:sz w:val="20"/>
          <w:szCs w:val="20"/>
          <w:color w:val="auto"/>
        </w:rPr>
      </w:pPr>
    </w:p>
    <w:p>
      <w:pPr>
        <w:ind w:left="120" w:right="560" w:firstLine="440"/>
        <w:spacing w:after="0" w:line="342" w:lineRule="auto"/>
        <w:rPr>
          <w:sz w:val="20"/>
          <w:szCs w:val="20"/>
          <w:color w:val="auto"/>
        </w:rPr>
      </w:pPr>
      <w:r>
        <w:rPr>
          <w:rFonts w:ascii="Arial" w:cs="Arial" w:eastAsia="Arial" w:hAnsi="Arial"/>
          <w:sz w:val="16"/>
          <w:szCs w:val="16"/>
          <w:color w:val="auto"/>
        </w:rPr>
        <w:t>Consistent with this philosophy, a significant portion of the total compensation opportunity for each of our executives is directly tied to the achievement of strategic, operational and corporate performance goals, as well as our relative performance against comparable companies.</w:t>
      </w:r>
    </w:p>
    <w:p>
      <w:pPr>
        <w:spacing w:after="0" w:line="124" w:lineRule="exact"/>
        <w:rPr>
          <w:sz w:val="20"/>
          <w:szCs w:val="20"/>
          <w:color w:val="auto"/>
        </w:rPr>
      </w:pPr>
    </w:p>
    <w:p>
      <w:pPr>
        <w:ind w:left="120" w:firstLine="440"/>
        <w:spacing w:after="0" w:line="311" w:lineRule="auto"/>
        <w:rPr>
          <w:sz w:val="20"/>
          <w:szCs w:val="20"/>
          <w:color w:val="auto"/>
        </w:rPr>
      </w:pPr>
      <w:r>
        <w:rPr>
          <w:rFonts w:ascii="Arial" w:cs="Arial" w:eastAsia="Arial" w:hAnsi="Arial"/>
          <w:sz w:val="16"/>
          <w:szCs w:val="16"/>
          <w:color w:val="auto"/>
        </w:rPr>
        <w:t>Stockholders are urged to read the Compensation Discussion and Analysis section of this proxy statement, which discusses how our compensation policies and procedures implement our compensation philosophy. The Compensation Committee and the Board of Directors believe that these policies and procedures are effective in implementing our compensation philosophy and in achieving the goals of our executive compensation program.</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the reasons discussed above, the Board of Directors unanimously recommends that stockholders vote in favor of the following resolution:</w:t>
      </w:r>
    </w:p>
    <w:p>
      <w:pPr>
        <w:spacing w:after="0" w:line="140" w:lineRule="exact"/>
        <w:rPr>
          <w:sz w:val="20"/>
          <w:szCs w:val="20"/>
          <w:color w:val="auto"/>
        </w:rPr>
      </w:pPr>
    </w:p>
    <w:p>
      <w:pPr>
        <w:ind w:left="1100" w:right="360"/>
        <w:spacing w:after="0" w:line="286" w:lineRule="auto"/>
        <w:rPr>
          <w:sz w:val="20"/>
          <w:szCs w:val="20"/>
          <w:color w:val="auto"/>
        </w:rPr>
      </w:pPr>
      <w:r>
        <w:rPr>
          <w:rFonts w:ascii="Arial" w:cs="Arial" w:eastAsia="Arial" w:hAnsi="Arial"/>
          <w:sz w:val="17"/>
          <w:szCs w:val="17"/>
          <w:color w:val="auto"/>
        </w:rPr>
        <w:t>“RESOLVED, that the compensation paid to the named executive officers of Lantheus Holdings, Inc., as disclosed pursuant to the compensation disclosure rules of the Securities and Exchange Commission, including the Compensation Discussion and Analysis, the compensation tables and the related material disclosed in this proxy statement, is hereby APPROVED.”</w:t>
      </w:r>
    </w:p>
    <w:p>
      <w:pPr>
        <w:spacing w:after="0" w:line="26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firstLine="440"/>
        <w:spacing w:after="0" w:line="296" w:lineRule="auto"/>
        <w:rPr>
          <w:sz w:val="20"/>
          <w:szCs w:val="20"/>
          <w:color w:val="auto"/>
        </w:rPr>
      </w:pPr>
      <w:r>
        <w:rPr>
          <w:rFonts w:ascii="Arial" w:cs="Arial" w:eastAsia="Arial" w:hAnsi="Arial"/>
          <w:sz w:val="16"/>
          <w:szCs w:val="16"/>
          <w:color w:val="auto"/>
        </w:rPr>
        <w:t>Although the “say on pay” vote we are asking you to cast is non-binding, the Board and Compensation Committee value the views of our stockholders and will consider the outcome of the vote when determining future compensation arrangements for our named executive officers. The resolution will be approved, on an advisory basis, if the votes cast FOR exceed the votes cast AGAINST the proposal. Abstentions and broker non-votes will have no effect on the voting of this proposal. We expect to hold an advisory vote to approve the compensation of our named executive officers annually until the next advisory vote on the frequency of such advisory votes, which will occur no later than our 2026 Annual Meeting of Stockholders.</w:t>
      </w:r>
    </w:p>
    <w:p>
      <w:pPr>
        <w:spacing w:after="0" w:line="26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80" w:right="1620"/>
        <w:spacing w:after="0" w:line="257" w:lineRule="auto"/>
        <w:rPr>
          <w:sz w:val="20"/>
          <w:szCs w:val="20"/>
          <w:color w:val="auto"/>
        </w:rPr>
      </w:pPr>
      <w:r>
        <w:rPr>
          <w:rFonts w:ascii="Arial" w:cs="Arial" w:eastAsia="Arial" w:hAnsi="Arial"/>
          <w:sz w:val="18"/>
          <w:szCs w:val="18"/>
          <w:b w:val="1"/>
          <w:bCs w:val="1"/>
          <w:i w:val="1"/>
          <w:iCs w:val="1"/>
          <w:color w:val="auto"/>
        </w:rPr>
        <w:t>THE BOARD OF DIRECTORS UNANIMOUSLY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APPROVAL, ON AN ADVISORY BASIS, OF THE COMPENSATION PAID TO OUR NAMED EXECUTIVE OFFICERS, AND PROXIES SOLICITED BY THE BOARD WILL BE VOTED IN FAVOR OF SUCH APPROVAL, UNLESS A STOCKHOLDER INDICATES OTHERWISE ON THE PROXY.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100"/>
          </w:cols>
          <w:pgMar w:left="320" w:top="459" w:right="47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PROPOSAL 3: ADVISORY VOTE ON FREQUENCY OF NAMED EXECUTIVE OFFICER COMPENSATION ADVISORY VOTES</w:t>
      </w:r>
    </w:p>
    <w:p>
      <w:pPr>
        <w:spacing w:after="0" w:line="229"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We are seeking your advisory vote as required by the Exchange Act on how frequently we should have “say on pay” votes in the future. Stockholders may vote whether to hold “say on pay” votes every one, two or three years. We will consider the interval selected by the highest number of votes cast to be the recommendation of the stockholders. Because your vote is advisory, it will not be binding on the Compensation Committee or the Board of Directors. However, the Compensation Committee and the Board will review the voting results and take them into consideration when determining the frequency of the Company’s “say on pay” votes.</w:t>
      </w:r>
    </w:p>
    <w:p>
      <w:pPr>
        <w:spacing w:after="0" w:line="188"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Board believes at this time that “say on pay” votes should be held every year.</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Although this advisory vote on frequency is not binding, the Board and Compensation Committee value the views of our stockholders as to what is an appropriate frequency for advisory “say on pay” votes, and welcome the stockholders’ recommendation on this proposal. If a plurality of votes is cast in favor of an interval other than one year, the Board intends to consider that alternative frequency prior to determining the frequency for “say on pay” votes to be submitted to stockholders in the future.</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60" w:right="1220"/>
        <w:spacing w:after="0" w:line="257" w:lineRule="auto"/>
        <w:rPr>
          <w:sz w:val="20"/>
          <w:szCs w:val="20"/>
          <w:color w:val="auto"/>
        </w:rPr>
      </w:pPr>
      <w:r>
        <w:rPr>
          <w:rFonts w:ascii="Arial" w:cs="Arial" w:eastAsia="Arial" w:hAnsi="Arial"/>
          <w:sz w:val="18"/>
          <w:szCs w:val="18"/>
          <w:b w:val="1"/>
          <w:bCs w:val="1"/>
          <w:i w:val="1"/>
          <w:iCs w:val="1"/>
          <w:color w:val="auto"/>
        </w:rPr>
        <w:t xml:space="preserve">THE BOARD OF DIRECTORS UNANIMOUSLY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xml:space="preserve"> THE ONE-YEAR OPTION IN PROPOSAL 3 AS THE FREQUENCY FOR THE ADVISORY VOTE ON NAMED EXECUTIVE OFFICER COMPENSATION, AND PROXIES SOLICITED BY THE BOARD WILL BE VOTED IN FAVOR OF SUCH APPROVAL, UNLESS A STOCKHOLDER INDICATES OTHERWISE ON THE PROXY.</w:t>
      </w:r>
    </w:p>
    <w:p>
      <w:pPr>
        <w:spacing w:after="0" w:line="12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00"/>
          </w:cols>
          <w:pgMar w:left="320" w:top="459" w:right="47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EXECUTIVE COMPENSATION</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Compensation Discussion and Analysis</w:t>
      </w:r>
    </w:p>
    <w:p>
      <w:pPr>
        <w:spacing w:after="0" w:line="229" w:lineRule="exact"/>
        <w:rPr>
          <w:sz w:val="20"/>
          <w:szCs w:val="20"/>
          <w:color w:val="auto"/>
        </w:rPr>
      </w:pPr>
    </w:p>
    <w:p>
      <w:pPr>
        <w:ind w:left="120" w:right="40" w:firstLine="440"/>
        <w:spacing w:after="0" w:line="263" w:lineRule="auto"/>
        <w:rPr>
          <w:sz w:val="20"/>
          <w:szCs w:val="20"/>
          <w:color w:val="auto"/>
        </w:rPr>
      </w:pPr>
      <w:r>
        <w:rPr>
          <w:rFonts w:ascii="Arial" w:cs="Arial" w:eastAsia="Arial" w:hAnsi="Arial"/>
          <w:sz w:val="18"/>
          <w:szCs w:val="18"/>
          <w:color w:val="auto"/>
        </w:rPr>
        <w:t>The Compensation Discussion and Analysis section of this proxy statement describes the compensation awarded to and earned by our named executive officers (“</w:t>
      </w:r>
      <w:r>
        <w:rPr>
          <w:rFonts w:ascii="Arial" w:cs="Arial" w:eastAsia="Arial" w:hAnsi="Arial"/>
          <w:sz w:val="18"/>
          <w:szCs w:val="18"/>
          <w:b w:val="1"/>
          <w:bCs w:val="1"/>
          <w:i w:val="1"/>
          <w:iCs w:val="1"/>
          <w:color w:val="auto"/>
        </w:rPr>
        <w:t>NEOs</w:t>
      </w:r>
      <w:r>
        <w:rPr>
          <w:rFonts w:ascii="Arial" w:cs="Arial" w:eastAsia="Arial" w:hAnsi="Arial"/>
          <w:sz w:val="18"/>
          <w:szCs w:val="18"/>
          <w:color w:val="auto"/>
        </w:rPr>
        <w:t>”) for 2019 and provides our stockholders with an explanation of our executive compensation program, the decisions made by our Compensation Committee during 2019 relating to that program and other relevant information.</w:t>
      </w:r>
    </w:p>
    <w:p>
      <w:pPr>
        <w:spacing w:after="0" w:line="18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Our NEOs for the year ended December 31, 2019 were:</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218"/>
        </w:trPr>
        <w:tc>
          <w:tcPr>
            <w:tcW w:w="2920" w:type="dxa"/>
            <w:vAlign w:val="bottom"/>
            <w:tcBorders>
              <w:left w:val="single" w:sz="8" w:color="5EB5FC"/>
              <w:right w:val="single" w:sz="8" w:color="5EB5FC"/>
            </w:tcBorders>
            <w:shd w:val="clear" w:color="auto" w:fill="5EB5FC"/>
          </w:tcPr>
          <w:p>
            <w:pPr>
              <w:ind w:left="1340"/>
              <w:spacing w:after="0"/>
              <w:rPr>
                <w:sz w:val="20"/>
                <w:szCs w:val="20"/>
                <w:color w:val="auto"/>
              </w:rPr>
            </w:pPr>
            <w:r>
              <w:rPr>
                <w:rFonts w:ascii="Arial" w:cs="Arial" w:eastAsia="Arial" w:hAnsi="Arial"/>
                <w:sz w:val="14"/>
                <w:szCs w:val="14"/>
                <w:b w:val="1"/>
                <w:bCs w:val="1"/>
                <w:color w:val="FFFFFF"/>
              </w:rPr>
              <w:t>Name</w:t>
            </w:r>
          </w:p>
        </w:tc>
        <w:tc>
          <w:tcPr>
            <w:tcW w:w="7460" w:type="dxa"/>
            <w:vAlign w:val="bottom"/>
            <w:tcBorders>
              <w:right w:val="single" w:sz="8" w:color="5EB5FC"/>
            </w:tcBorders>
            <w:shd w:val="clear" w:color="auto" w:fill="5EB5FC"/>
          </w:tcPr>
          <w:p>
            <w:pPr>
              <w:ind w:left="3660"/>
              <w:spacing w:after="0"/>
              <w:rPr>
                <w:sz w:val="20"/>
                <w:szCs w:val="20"/>
                <w:color w:val="auto"/>
              </w:rPr>
            </w:pPr>
            <w:r>
              <w:rPr>
                <w:rFonts w:ascii="Arial" w:cs="Arial" w:eastAsia="Arial" w:hAnsi="Arial"/>
                <w:sz w:val="14"/>
                <w:szCs w:val="14"/>
                <w:b w:val="1"/>
                <w:bCs w:val="1"/>
                <w:color w:val="FFFFFF"/>
              </w:rPr>
              <w:t>Title</w:t>
            </w:r>
          </w:p>
        </w:tc>
      </w:tr>
      <w:tr>
        <w:trPr>
          <w:trHeight w:val="93"/>
        </w:trPr>
        <w:tc>
          <w:tcPr>
            <w:tcW w:w="2920" w:type="dxa"/>
            <w:vAlign w:val="bottom"/>
            <w:tcBorders>
              <w:left w:val="single" w:sz="8" w:color="5EB5FC"/>
              <w:right w:val="single" w:sz="8" w:color="5EB5FC"/>
            </w:tcBorders>
            <w:shd w:val="clear" w:color="auto" w:fill="5EB5FC"/>
          </w:tcPr>
          <w:p>
            <w:pPr>
              <w:spacing w:after="0"/>
              <w:rPr>
                <w:sz w:val="8"/>
                <w:szCs w:val="8"/>
                <w:color w:val="auto"/>
              </w:rPr>
            </w:pPr>
          </w:p>
        </w:tc>
        <w:tc>
          <w:tcPr>
            <w:tcW w:w="7460" w:type="dxa"/>
            <w:vAlign w:val="bottom"/>
            <w:tcBorders>
              <w:right w:val="single" w:sz="8" w:color="5EB5FC"/>
            </w:tcBorders>
            <w:shd w:val="clear" w:color="auto" w:fill="5EB5FC"/>
          </w:tcPr>
          <w:p>
            <w:pPr>
              <w:spacing w:after="0"/>
              <w:rPr>
                <w:sz w:val="8"/>
                <w:szCs w:val="8"/>
                <w:color w:val="auto"/>
              </w:rPr>
            </w:pPr>
          </w:p>
        </w:tc>
      </w:tr>
      <w:tr>
        <w:trPr>
          <w:trHeight w:val="270"/>
        </w:trPr>
        <w:tc>
          <w:tcPr>
            <w:tcW w:w="29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7460" w:type="dxa"/>
            <w:vAlign w:val="bottom"/>
            <w:tcBorders>
              <w:right w:val="single" w:sz="8" w:color="A0DBF9"/>
            </w:tcBorders>
            <w:shd w:val="clear" w:color="auto" w:fill="E2F4FC"/>
          </w:tcPr>
          <w:p>
            <w:pPr>
              <w:ind w:left="200"/>
              <w:spacing w:after="0"/>
              <w:rPr>
                <w:sz w:val="20"/>
                <w:szCs w:val="20"/>
                <w:color w:val="auto"/>
              </w:rPr>
            </w:pPr>
            <w:r>
              <w:rPr>
                <w:rFonts w:ascii="Arial" w:cs="Arial" w:eastAsia="Arial" w:hAnsi="Arial"/>
                <w:sz w:val="18"/>
                <w:szCs w:val="18"/>
                <w:color w:val="auto"/>
              </w:rPr>
              <w:t>President and Chief Executive Officer</w:t>
            </w:r>
          </w:p>
        </w:tc>
      </w:tr>
      <w:tr>
        <w:trPr>
          <w:trHeight w:val="108"/>
        </w:trPr>
        <w:tc>
          <w:tcPr>
            <w:tcW w:w="292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746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29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J. Marshall, Jr.</w:t>
            </w:r>
          </w:p>
        </w:tc>
        <w:tc>
          <w:tcPr>
            <w:tcW w:w="7460" w:type="dxa"/>
            <w:vAlign w:val="bottom"/>
            <w:tcBorders>
              <w:right w:val="single" w:sz="8" w:color="A0DBF9"/>
            </w:tcBorders>
          </w:tcPr>
          <w:p>
            <w:pPr>
              <w:ind w:left="200"/>
              <w:spacing w:after="0"/>
              <w:rPr>
                <w:sz w:val="20"/>
                <w:szCs w:val="20"/>
                <w:color w:val="auto"/>
              </w:rPr>
            </w:pPr>
            <w:r>
              <w:rPr>
                <w:rFonts w:ascii="Arial" w:cs="Arial" w:eastAsia="Arial" w:hAnsi="Arial"/>
                <w:sz w:val="18"/>
                <w:szCs w:val="18"/>
                <w:color w:val="auto"/>
              </w:rPr>
              <w:t>Chief Financial Officer</w:t>
            </w:r>
          </w:p>
        </w:tc>
      </w:tr>
      <w:tr>
        <w:trPr>
          <w:trHeight w:val="108"/>
        </w:trPr>
        <w:tc>
          <w:tcPr>
            <w:tcW w:w="2920" w:type="dxa"/>
            <w:vAlign w:val="bottom"/>
            <w:tcBorders>
              <w:left w:val="single" w:sz="8" w:color="A0DBF9"/>
              <w:bottom w:val="single" w:sz="8" w:color="A0DBF9"/>
              <w:right w:val="single" w:sz="8" w:color="A0DBF9"/>
            </w:tcBorders>
          </w:tcPr>
          <w:p>
            <w:pPr>
              <w:spacing w:after="0"/>
              <w:rPr>
                <w:sz w:val="9"/>
                <w:szCs w:val="9"/>
                <w:color w:val="auto"/>
              </w:rPr>
            </w:pPr>
          </w:p>
        </w:tc>
        <w:tc>
          <w:tcPr>
            <w:tcW w:w="7460" w:type="dxa"/>
            <w:vAlign w:val="bottom"/>
            <w:tcBorders>
              <w:bottom w:val="single" w:sz="8" w:color="A0DBF9"/>
              <w:right w:val="single" w:sz="8" w:color="A0DBF9"/>
            </w:tcBorders>
          </w:tcPr>
          <w:p>
            <w:pPr>
              <w:spacing w:after="0"/>
              <w:rPr>
                <w:sz w:val="9"/>
                <w:szCs w:val="9"/>
                <w:color w:val="auto"/>
              </w:rPr>
            </w:pPr>
          </w:p>
        </w:tc>
      </w:tr>
      <w:tr>
        <w:trPr>
          <w:trHeight w:val="250"/>
        </w:trPr>
        <w:tc>
          <w:tcPr>
            <w:tcW w:w="29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p>
        </w:tc>
        <w:tc>
          <w:tcPr>
            <w:tcW w:w="7460" w:type="dxa"/>
            <w:vAlign w:val="bottom"/>
            <w:tcBorders>
              <w:right w:val="single" w:sz="8" w:color="A0DBF9"/>
            </w:tcBorders>
            <w:shd w:val="clear" w:color="auto" w:fill="E2F4FC"/>
          </w:tcPr>
          <w:p>
            <w:pPr>
              <w:ind w:left="200"/>
              <w:spacing w:after="0"/>
              <w:rPr>
                <w:sz w:val="20"/>
                <w:szCs w:val="20"/>
                <w:color w:val="auto"/>
              </w:rPr>
            </w:pPr>
            <w:r>
              <w:rPr>
                <w:rFonts w:ascii="Arial" w:cs="Arial" w:eastAsia="Arial" w:hAnsi="Arial"/>
                <w:sz w:val="18"/>
                <w:szCs w:val="18"/>
                <w:color w:val="auto"/>
              </w:rPr>
              <w:t>Chief Operations Officer</w:t>
            </w:r>
            <w:r>
              <w:rPr>
                <w:rFonts w:ascii="Arial" w:cs="Arial" w:eastAsia="Arial" w:hAnsi="Arial"/>
                <w:sz w:val="15"/>
                <w:szCs w:val="15"/>
                <w:color w:val="auto"/>
              </w:rPr>
              <w:t>(1)</w:t>
            </w:r>
          </w:p>
        </w:tc>
      </w:tr>
      <w:tr>
        <w:trPr>
          <w:trHeight w:val="108"/>
        </w:trPr>
        <w:tc>
          <w:tcPr>
            <w:tcW w:w="292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746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29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7460" w:type="dxa"/>
            <w:vAlign w:val="bottom"/>
            <w:tcBorders>
              <w:right w:val="single" w:sz="8" w:color="A0DBF9"/>
            </w:tcBorders>
          </w:tcPr>
          <w:p>
            <w:pPr>
              <w:ind w:left="200"/>
              <w:spacing w:after="0"/>
              <w:rPr>
                <w:sz w:val="20"/>
                <w:szCs w:val="20"/>
                <w:color w:val="auto"/>
              </w:rPr>
            </w:pPr>
            <w:r>
              <w:rPr>
                <w:rFonts w:ascii="Arial" w:cs="Arial" w:eastAsia="Arial" w:hAnsi="Arial"/>
                <w:sz w:val="18"/>
                <w:szCs w:val="18"/>
                <w:color w:val="auto"/>
              </w:rPr>
              <w:t>Senior Vice President, Law and Public Policy and General Counsel</w:t>
            </w:r>
          </w:p>
        </w:tc>
      </w:tr>
      <w:tr>
        <w:trPr>
          <w:trHeight w:val="108"/>
        </w:trPr>
        <w:tc>
          <w:tcPr>
            <w:tcW w:w="2920" w:type="dxa"/>
            <w:vAlign w:val="bottom"/>
            <w:tcBorders>
              <w:left w:val="single" w:sz="8" w:color="A0DBF9"/>
              <w:bottom w:val="single" w:sz="8" w:color="A0DBF9"/>
              <w:right w:val="single" w:sz="8" w:color="A0DBF9"/>
            </w:tcBorders>
          </w:tcPr>
          <w:p>
            <w:pPr>
              <w:spacing w:after="0"/>
              <w:rPr>
                <w:sz w:val="9"/>
                <w:szCs w:val="9"/>
                <w:color w:val="auto"/>
              </w:rPr>
            </w:pPr>
          </w:p>
        </w:tc>
        <w:tc>
          <w:tcPr>
            <w:tcW w:w="7460" w:type="dxa"/>
            <w:vAlign w:val="bottom"/>
            <w:tcBorders>
              <w:bottom w:val="single" w:sz="8" w:color="A0DBF9"/>
              <w:right w:val="single" w:sz="8" w:color="A0DBF9"/>
            </w:tcBorders>
          </w:tcPr>
          <w:p>
            <w:pPr>
              <w:spacing w:after="0"/>
              <w:rPr>
                <w:sz w:val="9"/>
                <w:szCs w:val="9"/>
                <w:color w:val="auto"/>
              </w:rPr>
            </w:pPr>
          </w:p>
        </w:tc>
      </w:tr>
      <w:tr>
        <w:trPr>
          <w:trHeight w:val="250"/>
        </w:trPr>
        <w:tc>
          <w:tcPr>
            <w:tcW w:w="29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 Ph.D.</w:t>
            </w:r>
          </w:p>
        </w:tc>
        <w:tc>
          <w:tcPr>
            <w:tcW w:w="7460" w:type="dxa"/>
            <w:vAlign w:val="bottom"/>
            <w:tcBorders>
              <w:right w:val="single" w:sz="8" w:color="A0DBF9"/>
            </w:tcBorders>
            <w:shd w:val="clear" w:color="auto" w:fill="E2F4FC"/>
          </w:tcPr>
          <w:p>
            <w:pPr>
              <w:ind w:left="200"/>
              <w:spacing w:after="0"/>
              <w:rPr>
                <w:sz w:val="20"/>
                <w:szCs w:val="20"/>
                <w:color w:val="auto"/>
              </w:rPr>
            </w:pPr>
            <w:r>
              <w:rPr>
                <w:rFonts w:ascii="Arial" w:cs="Arial" w:eastAsia="Arial" w:hAnsi="Arial"/>
                <w:sz w:val="18"/>
                <w:szCs w:val="18"/>
                <w:color w:val="auto"/>
              </w:rPr>
              <w:t>Senior Vice President, Research and Pharmaceutical Development</w:t>
            </w:r>
          </w:p>
        </w:tc>
      </w:tr>
      <w:tr>
        <w:trPr>
          <w:trHeight w:val="108"/>
        </w:trPr>
        <w:tc>
          <w:tcPr>
            <w:tcW w:w="292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746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29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Cesare Orlandi, M.D.</w:t>
            </w:r>
          </w:p>
        </w:tc>
        <w:tc>
          <w:tcPr>
            <w:tcW w:w="7460" w:type="dxa"/>
            <w:vAlign w:val="bottom"/>
            <w:tcBorders>
              <w:right w:val="single" w:sz="8" w:color="A0DBF9"/>
            </w:tcBorders>
          </w:tcPr>
          <w:p>
            <w:pPr>
              <w:ind w:left="200"/>
              <w:spacing w:after="0"/>
              <w:rPr>
                <w:sz w:val="20"/>
                <w:szCs w:val="20"/>
                <w:color w:val="auto"/>
              </w:rPr>
            </w:pPr>
            <w:r>
              <w:rPr>
                <w:rFonts w:ascii="Arial" w:cs="Arial" w:eastAsia="Arial" w:hAnsi="Arial"/>
                <w:sz w:val="18"/>
                <w:szCs w:val="18"/>
                <w:color w:val="auto"/>
              </w:rPr>
              <w:t>Former Chief Medical Officer</w:t>
            </w:r>
            <w:r>
              <w:rPr>
                <w:rFonts w:ascii="Arial" w:cs="Arial" w:eastAsia="Arial" w:hAnsi="Arial"/>
                <w:sz w:val="15"/>
                <w:szCs w:val="15"/>
                <w:color w:val="auto"/>
              </w:rPr>
              <w:t>(2)</w:t>
            </w:r>
          </w:p>
        </w:tc>
      </w:tr>
      <w:tr>
        <w:trPr>
          <w:trHeight w:val="108"/>
        </w:trPr>
        <w:tc>
          <w:tcPr>
            <w:tcW w:w="2920" w:type="dxa"/>
            <w:vAlign w:val="bottom"/>
            <w:tcBorders>
              <w:left w:val="single" w:sz="8" w:color="A0DBF9"/>
              <w:bottom w:val="single" w:sz="8" w:color="A0DBF9"/>
              <w:right w:val="single" w:sz="8" w:color="A0DBF9"/>
            </w:tcBorders>
          </w:tcPr>
          <w:p>
            <w:pPr>
              <w:spacing w:after="0"/>
              <w:rPr>
                <w:sz w:val="9"/>
                <w:szCs w:val="9"/>
                <w:color w:val="auto"/>
              </w:rPr>
            </w:pPr>
          </w:p>
        </w:tc>
        <w:tc>
          <w:tcPr>
            <w:tcW w:w="7460" w:type="dxa"/>
            <w:vAlign w:val="bottom"/>
            <w:tcBorders>
              <w:bottom w:val="single" w:sz="8" w:color="A0DBF9"/>
              <w:right w:val="single" w:sz="8" w:color="A0DBF9"/>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6648450</wp:posOffset>
            </wp:positionH>
            <wp:positionV relativeFrom="paragraph">
              <wp:posOffset>-1645285</wp:posOffset>
            </wp:positionV>
            <wp:extent cx="8255" cy="342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34290"/>
                    </a:xfrm>
                    <a:prstGeom prst="rect">
                      <a:avLst/>
                    </a:prstGeom>
                    <a:noFill/>
                  </pic:spPr>
                </pic:pic>
              </a:graphicData>
            </a:graphic>
          </wp:anchor>
        </w:drawing>
      </w:r>
    </w:p>
    <w:p>
      <w:pPr>
        <w:spacing w:after="0" w:line="82" w:lineRule="exact"/>
        <w:rPr>
          <w:sz w:val="20"/>
          <w:szCs w:val="20"/>
          <w:color w:val="auto"/>
        </w:rPr>
      </w:pP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Mr. Bolla was promoted from Senior Vice President, Technical Operations, to Chief Operations Officer on March 25, 2019.</w:t>
      </w:r>
    </w:p>
    <w:p>
      <w:pPr>
        <w:ind w:left="540" w:hanging="424"/>
        <w:spacing w:after="0"/>
        <w:tabs>
          <w:tab w:leader="none" w:pos="540" w:val="left"/>
        </w:tabs>
        <w:numPr>
          <w:ilvl w:val="0"/>
          <w:numId w:val="26"/>
        </w:numPr>
        <w:rPr>
          <w:rFonts w:ascii="Arial" w:cs="Arial" w:eastAsia="Arial" w:hAnsi="Arial"/>
          <w:sz w:val="14"/>
          <w:szCs w:val="14"/>
          <w:color w:val="auto"/>
        </w:rPr>
      </w:pPr>
      <w:r>
        <w:rPr>
          <w:rFonts w:ascii="Arial" w:cs="Arial" w:eastAsia="Arial" w:hAnsi="Arial"/>
          <w:sz w:val="14"/>
          <w:szCs w:val="14"/>
          <w:color w:val="auto"/>
        </w:rPr>
        <w:t>Dr. Orlandi’s separation from the Company was effective as of September 2, 2019.</w:t>
      </w:r>
    </w:p>
    <w:p>
      <w:pPr>
        <w:spacing w:after="0" w:line="339" w:lineRule="exact"/>
        <w:rPr>
          <w:sz w:val="20"/>
          <w:szCs w:val="20"/>
          <w:color w:val="auto"/>
        </w:rPr>
      </w:pPr>
    </w:p>
    <w:tbl>
      <w:tblPr>
        <w:tblLayout w:type="fixed"/>
        <w:tblInd w:w="120" w:type="dxa"/>
        <w:tblCellMar>
          <w:top w:w="0" w:type="dxa"/>
          <w:left w:w="0" w:type="dxa"/>
          <w:bottom w:w="0" w:type="dxa"/>
          <w:right w:w="0" w:type="dxa"/>
        </w:tblCellMar>
      </w:tblPr>
      <w:tr>
        <w:trPr>
          <w:trHeight w:val="351"/>
        </w:trPr>
        <w:tc>
          <w:tcPr>
            <w:tcW w:w="2340" w:type="dxa"/>
            <w:vAlign w:val="bottom"/>
            <w:tcBorders>
              <w:top w:val="single" w:sz="8" w:color="auto"/>
            </w:tcBorders>
            <w:shd w:val="clear" w:color="auto" w:fill="000000"/>
          </w:tcPr>
          <w:p>
            <w:pPr>
              <w:ind w:left="460"/>
              <w:spacing w:after="0"/>
              <w:rPr>
                <w:sz w:val="20"/>
                <w:szCs w:val="20"/>
                <w:color w:val="auto"/>
              </w:rPr>
            </w:pPr>
            <w:r>
              <w:rPr>
                <w:rFonts w:ascii="Arial" w:cs="Arial" w:eastAsia="Arial" w:hAnsi="Arial"/>
                <w:sz w:val="18"/>
                <w:szCs w:val="18"/>
                <w:b w:val="1"/>
                <w:bCs w:val="1"/>
                <w:color w:val="FFFFFF"/>
              </w:rPr>
              <w:t>Executive Summary</w:t>
            </w:r>
          </w:p>
        </w:tc>
        <w:tc>
          <w:tcPr>
            <w:tcW w:w="27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Philosophy &amp; Program</w:t>
            </w:r>
          </w:p>
        </w:tc>
        <w:tc>
          <w:tcPr>
            <w:tcW w:w="19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Process</w:t>
            </w:r>
          </w:p>
        </w:tc>
        <w:tc>
          <w:tcPr>
            <w:tcW w:w="19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Decisions</w:t>
            </w:r>
          </w:p>
        </w:tc>
        <w:tc>
          <w:tcPr>
            <w:tcW w:w="19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Other</w:t>
            </w:r>
          </w:p>
        </w:tc>
      </w:tr>
      <w:tr>
        <w:trPr>
          <w:trHeight w:val="162"/>
        </w:trPr>
        <w:tc>
          <w:tcPr>
            <w:tcW w:w="2340" w:type="dxa"/>
            <w:vAlign w:val="bottom"/>
            <w:tcBorders>
              <w:bottom w:val="single" w:sz="8" w:color="auto"/>
            </w:tcBorders>
            <w:shd w:val="clear" w:color="auto" w:fill="000000"/>
          </w:tcPr>
          <w:p>
            <w:pPr>
              <w:spacing w:after="0"/>
              <w:rPr>
                <w:sz w:val="14"/>
                <w:szCs w:val="14"/>
                <w:color w:val="auto"/>
              </w:rPr>
            </w:pPr>
          </w:p>
        </w:tc>
        <w:tc>
          <w:tcPr>
            <w:tcW w:w="276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left="120" w:right="280" w:firstLine="440"/>
        <w:spacing w:after="0" w:line="277" w:lineRule="auto"/>
        <w:rPr>
          <w:sz w:val="20"/>
          <w:szCs w:val="20"/>
          <w:color w:val="auto"/>
        </w:rPr>
      </w:pPr>
      <w:r>
        <w:rPr>
          <w:rFonts w:ascii="Arial" w:cs="Arial" w:eastAsia="Arial" w:hAnsi="Arial"/>
          <w:sz w:val="18"/>
          <w:szCs w:val="18"/>
          <w:color w:val="auto"/>
        </w:rPr>
        <w:t>The Executive Summary below provides an overview of our business, performance highlights, key compensation-related decisions made in the most recent year, and governance highlights.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Business Summary and Performance Highlights</w:t>
      </w:r>
    </w:p>
    <w:p>
      <w:pPr>
        <w:spacing w:after="0" w:line="121" w:lineRule="exact"/>
        <w:rPr>
          <w:sz w:val="20"/>
          <w:szCs w:val="20"/>
          <w:color w:val="auto"/>
        </w:rPr>
      </w:pPr>
    </w:p>
    <w:p>
      <w:pPr>
        <w:ind w:left="120" w:right="100" w:firstLine="440"/>
        <w:spacing w:after="0" w:line="279" w:lineRule="auto"/>
        <w:rPr>
          <w:sz w:val="20"/>
          <w:szCs w:val="20"/>
          <w:color w:val="auto"/>
        </w:rPr>
      </w:pPr>
      <w:r>
        <w:rPr>
          <w:rFonts w:ascii="Arial" w:cs="Arial" w:eastAsia="Arial" w:hAnsi="Arial"/>
          <w:sz w:val="17"/>
          <w:szCs w:val="17"/>
          <w:color w:val="auto"/>
        </w:rPr>
        <w:t>Lantheus is a global leader in the field of medical imaging. We develop, manufacture and commercialize essential diagnostic imaging agents and products that help healthcare professionals identify disease and improve patient treatment and care. Our pioneering products assist physicians in the diagnosis of conditions affecting the heart, brain, lungs and other organs using echocardiography and nuclear imaging. We achieved numerous financial and strategic goals in 2019 that we believe align with our long-term goal of creating stockholder value.</w:t>
      </w:r>
    </w:p>
    <w:p>
      <w:pPr>
        <w:spacing w:after="0" w:line="171" w:lineRule="exact"/>
        <w:rPr>
          <w:sz w:val="20"/>
          <w:szCs w:val="20"/>
          <w:color w:val="auto"/>
        </w:rPr>
      </w:pPr>
    </w:p>
    <w:p>
      <w:pPr>
        <w:ind w:left="120" w:right="140" w:firstLine="440"/>
        <w:spacing w:after="0" w:line="259" w:lineRule="auto"/>
        <w:rPr>
          <w:sz w:val="20"/>
          <w:szCs w:val="20"/>
          <w:color w:val="auto"/>
        </w:rPr>
      </w:pPr>
      <w:r>
        <w:rPr>
          <w:rFonts w:ascii="Arial" w:cs="Arial" w:eastAsia="Arial" w:hAnsi="Arial"/>
          <w:sz w:val="18"/>
          <w:szCs w:val="18"/>
          <w:color w:val="auto"/>
        </w:rPr>
        <w:t>2019 was a strong year for us, and we continued to deliver strong stockholder returns and achieved many important strategic advancements. An illustration of our total shareholder return against our peer group index, the Russell 2000 index, and the NASDAQ Small Cap Index for the one- and three-year periods ending December 31, 2019 and since our IPO on June 25, 2015, and a summary of some of our performance highlights for 2019, are below.</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140"/>
          </w:cols>
          <w:pgMar w:left="320" w:top="459" w:right="4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973455</wp:posOffset>
            </wp:positionH>
            <wp:positionV relativeFrom="paragraph">
              <wp:posOffset>205740</wp:posOffset>
            </wp:positionV>
            <wp:extent cx="5194935" cy="25628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94935" cy="2562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130" w:type="dxa"/>
        <w:tblCellMar>
          <w:top w:w="0" w:type="dxa"/>
          <w:left w:w="0" w:type="dxa"/>
          <w:bottom w:w="0" w:type="dxa"/>
          <w:right w:w="0" w:type="dxa"/>
        </w:tblCellMar>
      </w:tblPr>
      <w:tr>
        <w:trPr>
          <w:trHeight w:val="271"/>
        </w:trPr>
        <w:tc>
          <w:tcPr>
            <w:tcW w:w="540" w:type="dxa"/>
            <w:vAlign w:val="bottom"/>
            <w:tcBorders>
              <w:left w:val="single" w:sz="8" w:color="5EB5FC"/>
            </w:tcBorders>
            <w:shd w:val="clear" w:color="auto" w:fill="5EB5FC"/>
          </w:tcPr>
          <w:p>
            <w:pPr>
              <w:spacing w:after="0"/>
              <w:rPr>
                <w:sz w:val="23"/>
                <w:szCs w:val="23"/>
                <w:color w:val="auto"/>
              </w:rPr>
            </w:pPr>
          </w:p>
        </w:tc>
        <w:tc>
          <w:tcPr>
            <w:tcW w:w="5100" w:type="dxa"/>
            <w:vAlign w:val="bottom"/>
            <w:tcBorders>
              <w:right w:val="single" w:sz="8" w:color="5EB5FC"/>
            </w:tcBorders>
            <w:shd w:val="clear" w:color="auto" w:fill="5EB5FC"/>
          </w:tcPr>
          <w:p>
            <w:pPr>
              <w:ind w:left="1100"/>
              <w:spacing w:after="0"/>
              <w:rPr>
                <w:sz w:val="20"/>
                <w:szCs w:val="20"/>
                <w:color w:val="auto"/>
              </w:rPr>
            </w:pPr>
            <w:r>
              <w:rPr>
                <w:rFonts w:ascii="Arial" w:cs="Arial" w:eastAsia="Arial" w:hAnsi="Arial"/>
                <w:sz w:val="14"/>
                <w:szCs w:val="14"/>
                <w:b w:val="1"/>
                <w:bCs w:val="1"/>
                <w:color w:val="FFFFFF"/>
              </w:rPr>
              <w:t>Full Year 2019 Financial Performance</w:t>
            </w:r>
            <w:r>
              <w:rPr>
                <w:rFonts w:ascii="Arial" w:cs="Arial" w:eastAsia="Arial" w:hAnsi="Arial"/>
                <w:sz w:val="12"/>
                <w:szCs w:val="12"/>
                <w:b w:val="1"/>
                <w:bCs w:val="1"/>
                <w:color w:val="FFFFFF"/>
              </w:rPr>
              <w:t>(1)</w:t>
            </w:r>
          </w:p>
        </w:tc>
        <w:tc>
          <w:tcPr>
            <w:tcW w:w="400" w:type="dxa"/>
            <w:vAlign w:val="bottom"/>
            <w:shd w:val="clear" w:color="auto" w:fill="5EB5FC"/>
          </w:tcPr>
          <w:p>
            <w:pPr>
              <w:spacing w:after="0"/>
              <w:rPr>
                <w:sz w:val="23"/>
                <w:szCs w:val="23"/>
                <w:color w:val="auto"/>
              </w:rPr>
            </w:pPr>
          </w:p>
        </w:tc>
        <w:tc>
          <w:tcPr>
            <w:tcW w:w="5000" w:type="dxa"/>
            <w:vAlign w:val="bottom"/>
            <w:tcBorders>
              <w:right w:val="single" w:sz="8" w:color="5EB5FC"/>
            </w:tcBorders>
            <w:shd w:val="clear" w:color="auto" w:fill="5EB5FC"/>
          </w:tcPr>
          <w:p>
            <w:pPr>
              <w:ind w:left="1380"/>
              <w:spacing w:after="0"/>
              <w:rPr>
                <w:sz w:val="20"/>
                <w:szCs w:val="20"/>
                <w:color w:val="auto"/>
              </w:rPr>
            </w:pPr>
            <w:r>
              <w:rPr>
                <w:rFonts w:ascii="Arial" w:cs="Arial" w:eastAsia="Arial" w:hAnsi="Arial"/>
                <w:sz w:val="14"/>
                <w:szCs w:val="14"/>
                <w:b w:val="1"/>
                <w:bCs w:val="1"/>
                <w:color w:val="FFFFFF"/>
              </w:rPr>
              <w:t>2019 Strategic Accomplishments</w:t>
            </w:r>
          </w:p>
        </w:tc>
        <w:tc>
          <w:tcPr>
            <w:tcW w:w="0" w:type="dxa"/>
            <w:vAlign w:val="bottom"/>
          </w:tcPr>
          <w:p>
            <w:pPr>
              <w:spacing w:after="0"/>
              <w:rPr>
                <w:sz w:val="1"/>
                <w:szCs w:val="1"/>
                <w:color w:val="auto"/>
              </w:rPr>
            </w:pPr>
          </w:p>
        </w:tc>
      </w:tr>
      <w:tr>
        <w:trPr>
          <w:trHeight w:val="120"/>
        </w:trPr>
        <w:tc>
          <w:tcPr>
            <w:tcW w:w="540" w:type="dxa"/>
            <w:vAlign w:val="bottom"/>
            <w:tcBorders>
              <w:left w:val="single" w:sz="8" w:color="5EB5FC"/>
            </w:tcBorders>
            <w:shd w:val="clear" w:color="auto" w:fill="5EB5FC"/>
          </w:tcPr>
          <w:p>
            <w:pPr>
              <w:spacing w:after="0"/>
              <w:rPr>
                <w:sz w:val="10"/>
                <w:szCs w:val="10"/>
                <w:color w:val="auto"/>
              </w:rPr>
            </w:pPr>
          </w:p>
        </w:tc>
        <w:tc>
          <w:tcPr>
            <w:tcW w:w="5100" w:type="dxa"/>
            <w:vAlign w:val="bottom"/>
            <w:tcBorders>
              <w:right w:val="single" w:sz="8" w:color="5EB5FC"/>
            </w:tcBorders>
            <w:shd w:val="clear" w:color="auto" w:fill="5EB5FC"/>
          </w:tcPr>
          <w:p>
            <w:pPr>
              <w:spacing w:after="0"/>
              <w:rPr>
                <w:sz w:val="10"/>
                <w:szCs w:val="10"/>
                <w:color w:val="auto"/>
              </w:rPr>
            </w:pPr>
          </w:p>
        </w:tc>
        <w:tc>
          <w:tcPr>
            <w:tcW w:w="400" w:type="dxa"/>
            <w:vAlign w:val="bottom"/>
            <w:shd w:val="clear" w:color="auto" w:fill="5EB5FC"/>
          </w:tcPr>
          <w:p>
            <w:pPr>
              <w:spacing w:after="0"/>
              <w:rPr>
                <w:sz w:val="10"/>
                <w:szCs w:val="10"/>
                <w:color w:val="auto"/>
              </w:rPr>
            </w:pPr>
          </w:p>
        </w:tc>
        <w:tc>
          <w:tcPr>
            <w:tcW w:w="5000" w:type="dxa"/>
            <w:vAlign w:val="bottom"/>
            <w:tcBorders>
              <w:right w:val="single" w:sz="8" w:color="5EB5FC"/>
            </w:tcBorders>
            <w:shd w:val="clear" w:color="auto" w:fill="5EB5FC"/>
          </w:tcPr>
          <w:p>
            <w:pPr>
              <w:spacing w:after="0"/>
              <w:rPr>
                <w:sz w:val="10"/>
                <w:szCs w:val="10"/>
                <w:color w:val="auto"/>
              </w:rPr>
            </w:pPr>
          </w:p>
        </w:tc>
        <w:tc>
          <w:tcPr>
            <w:tcW w:w="0" w:type="dxa"/>
            <w:vAlign w:val="bottom"/>
          </w:tcPr>
          <w:p>
            <w:pPr>
              <w:spacing w:after="0"/>
              <w:rPr>
                <w:sz w:val="1"/>
                <w:szCs w:val="1"/>
                <w:color w:val="auto"/>
              </w:rPr>
            </w:pPr>
          </w:p>
        </w:tc>
      </w:tr>
      <w:tr>
        <w:trPr>
          <w:trHeight w:val="269"/>
        </w:trPr>
        <w:tc>
          <w:tcPr>
            <w:tcW w:w="540" w:type="dxa"/>
            <w:vAlign w:val="bottom"/>
            <w:tcBorders>
              <w:lef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0DBF9"/>
            </w:tcBorders>
            <w:shd w:val="clear" w:color="auto" w:fill="E2F4FC"/>
          </w:tcPr>
          <w:p>
            <w:pPr>
              <w:ind w:left="140"/>
              <w:spacing w:after="0"/>
              <w:rPr>
                <w:sz w:val="20"/>
                <w:szCs w:val="20"/>
                <w:color w:val="auto"/>
              </w:rPr>
            </w:pPr>
            <w:r>
              <w:rPr>
                <w:rFonts w:ascii="Arial" w:cs="Arial" w:eastAsia="Arial" w:hAnsi="Arial"/>
                <w:sz w:val="18"/>
                <w:szCs w:val="18"/>
                <w:color w:val="auto"/>
              </w:rPr>
              <w:t>Fully diluted Net Income Per Share of $0.79 and fully diluted</w:t>
            </w:r>
          </w:p>
        </w:tc>
        <w:tc>
          <w:tcPr>
            <w:tcW w:w="400" w:type="dxa"/>
            <w:vAlign w:val="bottom"/>
            <w:shd w:val="clear" w:color="auto" w:fill="E2F4FC"/>
          </w:tcPr>
          <w:p>
            <w:pPr>
              <w:ind w:left="200"/>
              <w:spacing w:after="0"/>
              <w:rPr>
                <w:sz w:val="20"/>
                <w:szCs w:val="20"/>
                <w:color w:val="auto"/>
              </w:rPr>
            </w:pPr>
            <w:r>
              <w:rPr>
                <w:rFonts w:ascii="Arial" w:cs="Arial" w:eastAsia="Arial" w:hAnsi="Arial"/>
                <w:sz w:val="18"/>
                <w:szCs w:val="18"/>
                <w:color w:val="auto"/>
              </w:rPr>
              <w:t>•</w:t>
            </w:r>
          </w:p>
        </w:tc>
        <w:tc>
          <w:tcPr>
            <w:tcW w:w="5000" w:type="dxa"/>
            <w:vAlign w:val="bottom"/>
            <w:tcBorders>
              <w:right w:val="single" w:sz="8" w:color="A0DBF9"/>
            </w:tcBorders>
            <w:shd w:val="clear" w:color="auto" w:fill="E2F4FC"/>
          </w:tcPr>
          <w:p>
            <w:pPr>
              <w:ind w:left="140"/>
              <w:spacing w:after="0"/>
              <w:rPr>
                <w:sz w:val="20"/>
                <w:szCs w:val="20"/>
                <w:color w:val="auto"/>
              </w:rPr>
            </w:pPr>
            <w:r>
              <w:rPr>
                <w:rFonts w:ascii="Arial" w:cs="Arial" w:eastAsia="Arial" w:hAnsi="Arial"/>
                <w:sz w:val="18"/>
                <w:szCs w:val="18"/>
                <w:color w:val="auto"/>
              </w:rPr>
              <w:t>Signed a merger agreement to acquire Progenics, which, if</w:t>
            </w:r>
          </w:p>
        </w:tc>
        <w:tc>
          <w:tcPr>
            <w:tcW w:w="0" w:type="dxa"/>
            <w:vAlign w:val="bottom"/>
          </w:tcPr>
          <w:p>
            <w:pPr>
              <w:spacing w:after="0"/>
              <w:rPr>
                <w:sz w:val="1"/>
                <w:szCs w:val="1"/>
                <w:color w:val="auto"/>
              </w:rPr>
            </w:pPr>
          </w:p>
        </w:tc>
      </w:tr>
      <w:tr>
        <w:trPr>
          <w:trHeight w:val="216"/>
        </w:trPr>
        <w:tc>
          <w:tcPr>
            <w:tcW w:w="540" w:type="dxa"/>
            <w:vAlign w:val="bottom"/>
            <w:tcBorders>
              <w:left w:val="single" w:sz="8" w:color="A0DBF9"/>
            </w:tcBorders>
            <w:shd w:val="clear" w:color="auto" w:fill="E2F4FC"/>
          </w:tcPr>
          <w:p>
            <w:pPr>
              <w:spacing w:after="0"/>
              <w:rPr>
                <w:sz w:val="18"/>
                <w:szCs w:val="18"/>
                <w:color w:val="auto"/>
              </w:rPr>
            </w:pPr>
          </w:p>
        </w:tc>
        <w:tc>
          <w:tcPr>
            <w:tcW w:w="51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rPr>
              <w:t>Adjusted Earnings Per Share of $1.17</w:t>
            </w:r>
          </w:p>
        </w:tc>
        <w:tc>
          <w:tcPr>
            <w:tcW w:w="400" w:type="dxa"/>
            <w:vAlign w:val="bottom"/>
            <w:shd w:val="clear" w:color="auto" w:fill="E2F4FC"/>
          </w:tcPr>
          <w:p>
            <w:pPr>
              <w:spacing w:after="0"/>
              <w:rPr>
                <w:sz w:val="18"/>
                <w:szCs w:val="18"/>
                <w:color w:val="auto"/>
              </w:rPr>
            </w:pPr>
          </w:p>
        </w:tc>
        <w:tc>
          <w:tcPr>
            <w:tcW w:w="50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w w:val="94"/>
              </w:rPr>
              <w:t>approved by the stockholders of both companies in 2020, would</w:t>
            </w:r>
          </w:p>
        </w:tc>
        <w:tc>
          <w:tcPr>
            <w:tcW w:w="0" w:type="dxa"/>
            <w:vAlign w:val="bottom"/>
          </w:tcPr>
          <w:p>
            <w:pPr>
              <w:spacing w:after="0"/>
              <w:rPr>
                <w:sz w:val="1"/>
                <w:szCs w:val="1"/>
                <w:color w:val="auto"/>
              </w:rPr>
            </w:pPr>
          </w:p>
        </w:tc>
      </w:tr>
      <w:tr>
        <w:trPr>
          <w:trHeight w:val="216"/>
        </w:trPr>
        <w:tc>
          <w:tcPr>
            <w:tcW w:w="540" w:type="dxa"/>
            <w:vAlign w:val="bottom"/>
            <w:tcBorders>
              <w:left w:val="single" w:sz="8" w:color="A0DBF9"/>
            </w:tcBorders>
            <w:vMerge w:val="restart"/>
            <w:shd w:val="clear" w:color="auto" w:fill="E2F4FC"/>
          </w:tcPr>
          <w:p>
            <w:pPr>
              <w:ind w:left="34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0DBF9"/>
            </w:tcBorders>
            <w:vMerge w:val="restart"/>
            <w:shd w:val="clear" w:color="auto" w:fill="E2F4FC"/>
          </w:tcPr>
          <w:p>
            <w:pPr>
              <w:ind w:left="140"/>
              <w:spacing w:after="0"/>
              <w:rPr>
                <w:sz w:val="20"/>
                <w:szCs w:val="20"/>
                <w:color w:val="auto"/>
              </w:rPr>
            </w:pPr>
            <w:r>
              <w:rPr>
                <w:rFonts w:ascii="Arial" w:cs="Arial" w:eastAsia="Arial" w:hAnsi="Arial"/>
                <w:sz w:val="18"/>
                <w:szCs w:val="18"/>
                <w:color w:val="auto"/>
                <w:w w:val="95"/>
              </w:rPr>
              <w:t>Revenue of $347.3 million, despite decrease in TechneLite sales</w:t>
            </w:r>
          </w:p>
        </w:tc>
        <w:tc>
          <w:tcPr>
            <w:tcW w:w="400" w:type="dxa"/>
            <w:vAlign w:val="bottom"/>
            <w:shd w:val="clear" w:color="auto" w:fill="E2F4FC"/>
          </w:tcPr>
          <w:p>
            <w:pPr>
              <w:spacing w:after="0"/>
              <w:rPr>
                <w:sz w:val="18"/>
                <w:szCs w:val="18"/>
                <w:color w:val="auto"/>
              </w:rPr>
            </w:pPr>
          </w:p>
        </w:tc>
        <w:tc>
          <w:tcPr>
            <w:tcW w:w="50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w w:val="95"/>
              </w:rPr>
              <w:t>create a combined company with a robust portfolio and pipeline</w:t>
            </w: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tcBorders>
            <w:vMerge w:val="continue"/>
            <w:shd w:val="clear" w:color="auto" w:fill="E2F4FC"/>
          </w:tcPr>
          <w:p>
            <w:pPr>
              <w:spacing w:after="0"/>
              <w:rPr>
                <w:sz w:val="5"/>
                <w:szCs w:val="5"/>
                <w:color w:val="auto"/>
              </w:rPr>
            </w:pPr>
          </w:p>
        </w:tc>
        <w:tc>
          <w:tcPr>
            <w:tcW w:w="5100" w:type="dxa"/>
            <w:vAlign w:val="bottom"/>
            <w:tcBorders>
              <w:right w:val="single" w:sz="8" w:color="A0DBF9"/>
            </w:tcBorders>
            <w:vMerge w:val="continue"/>
            <w:shd w:val="clear" w:color="auto" w:fill="E2F4FC"/>
          </w:tcPr>
          <w:p>
            <w:pPr>
              <w:spacing w:after="0"/>
              <w:rPr>
                <w:sz w:val="5"/>
                <w:szCs w:val="5"/>
                <w:color w:val="auto"/>
              </w:rPr>
            </w:pPr>
          </w:p>
        </w:tc>
        <w:tc>
          <w:tcPr>
            <w:tcW w:w="400" w:type="dxa"/>
            <w:vAlign w:val="bottom"/>
            <w:shd w:val="clear" w:color="auto" w:fill="E2F4FC"/>
          </w:tcPr>
          <w:p>
            <w:pPr>
              <w:spacing w:after="0"/>
              <w:rPr>
                <w:sz w:val="5"/>
                <w:szCs w:val="5"/>
                <w:color w:val="auto"/>
              </w:rPr>
            </w:pPr>
          </w:p>
        </w:tc>
        <w:tc>
          <w:tcPr>
            <w:tcW w:w="50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rPr>
              <w:t>of precision diagnostic and therapeutic products</w:t>
            </w:r>
          </w:p>
        </w:tc>
        <w:tc>
          <w:tcPr>
            <w:tcW w:w="0" w:type="dxa"/>
            <w:vAlign w:val="bottom"/>
          </w:tcPr>
          <w:p>
            <w:pPr>
              <w:spacing w:after="0"/>
              <w:rPr>
                <w:sz w:val="1"/>
                <w:szCs w:val="1"/>
                <w:color w:val="auto"/>
              </w:rPr>
            </w:pPr>
          </w:p>
        </w:tc>
      </w:tr>
      <w:tr>
        <w:trPr>
          <w:trHeight w:val="163"/>
        </w:trPr>
        <w:tc>
          <w:tcPr>
            <w:tcW w:w="540" w:type="dxa"/>
            <w:vAlign w:val="bottom"/>
            <w:tcBorders>
              <w:left w:val="single" w:sz="8" w:color="A0DBF9"/>
            </w:tcBorders>
            <w:shd w:val="clear" w:color="auto" w:fill="E2F4FC"/>
          </w:tcPr>
          <w:p>
            <w:pPr>
              <w:spacing w:after="0"/>
              <w:rPr>
                <w:sz w:val="14"/>
                <w:szCs w:val="14"/>
                <w:color w:val="auto"/>
              </w:rPr>
            </w:pPr>
          </w:p>
        </w:tc>
        <w:tc>
          <w:tcPr>
            <w:tcW w:w="51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w w:val="99"/>
              </w:rPr>
              <w:t>due to recurrent molybdenum-99 supply shortages throughout</w:t>
            </w:r>
          </w:p>
        </w:tc>
        <w:tc>
          <w:tcPr>
            <w:tcW w:w="400" w:type="dxa"/>
            <w:vAlign w:val="bottom"/>
            <w:shd w:val="clear" w:color="auto" w:fill="E2F4FC"/>
          </w:tcPr>
          <w:p>
            <w:pPr>
              <w:spacing w:after="0"/>
              <w:rPr>
                <w:sz w:val="14"/>
                <w:szCs w:val="14"/>
                <w:color w:val="auto"/>
              </w:rPr>
            </w:pPr>
          </w:p>
        </w:tc>
        <w:tc>
          <w:tcPr>
            <w:tcW w:w="5000" w:type="dxa"/>
            <w:vAlign w:val="bottom"/>
            <w:tcBorders>
              <w:right w:val="single" w:sz="8" w:color="A0DBF9"/>
            </w:tcBorders>
            <w:vMerge w:val="continue"/>
            <w:shd w:val="clear" w:color="auto" w:fill="E2F4FC"/>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540" w:type="dxa"/>
            <w:vAlign w:val="bottom"/>
            <w:tcBorders>
              <w:left w:val="single" w:sz="8" w:color="A0DBF9"/>
            </w:tcBorders>
            <w:shd w:val="clear" w:color="auto" w:fill="E2F4FC"/>
          </w:tcPr>
          <w:p>
            <w:pPr>
              <w:spacing w:after="0"/>
              <w:rPr>
                <w:sz w:val="4"/>
                <w:szCs w:val="4"/>
                <w:color w:val="auto"/>
              </w:rPr>
            </w:pPr>
          </w:p>
        </w:tc>
        <w:tc>
          <w:tcPr>
            <w:tcW w:w="5100" w:type="dxa"/>
            <w:vAlign w:val="bottom"/>
            <w:tcBorders>
              <w:right w:val="single" w:sz="8" w:color="A0DBF9"/>
            </w:tcBorders>
            <w:vMerge w:val="continue"/>
            <w:shd w:val="clear" w:color="auto" w:fill="E2F4FC"/>
          </w:tcPr>
          <w:p>
            <w:pPr>
              <w:spacing w:after="0"/>
              <w:rPr>
                <w:sz w:val="4"/>
                <w:szCs w:val="4"/>
                <w:color w:val="auto"/>
              </w:rPr>
            </w:pPr>
          </w:p>
        </w:tc>
        <w:tc>
          <w:tcPr>
            <w:tcW w:w="400" w:type="dxa"/>
            <w:vAlign w:val="bottom"/>
            <w:shd w:val="clear" w:color="auto" w:fill="E2F4FC"/>
          </w:tcPr>
          <w:p>
            <w:pPr>
              <w:spacing w:after="0"/>
              <w:rPr>
                <w:sz w:val="4"/>
                <w:szCs w:val="4"/>
                <w:color w:val="auto"/>
              </w:rPr>
            </w:pPr>
          </w:p>
        </w:tc>
        <w:tc>
          <w:tcPr>
            <w:tcW w:w="5000" w:type="dxa"/>
            <w:vAlign w:val="bottom"/>
            <w:tcBorders>
              <w:right w:val="single" w:sz="8" w:color="A0DBF9"/>
            </w:tcBorders>
            <w:shd w:val="clear" w:color="auto" w:fill="E2F4FC"/>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540" w:type="dxa"/>
            <w:vAlign w:val="bottom"/>
            <w:tcBorders>
              <w:left w:val="single" w:sz="8" w:color="A0DBF9"/>
            </w:tcBorders>
            <w:shd w:val="clear" w:color="auto" w:fill="E2F4FC"/>
          </w:tcPr>
          <w:p>
            <w:pPr>
              <w:spacing w:after="0"/>
              <w:rPr>
                <w:sz w:val="18"/>
                <w:szCs w:val="18"/>
                <w:color w:val="auto"/>
              </w:rPr>
            </w:pPr>
          </w:p>
        </w:tc>
        <w:tc>
          <w:tcPr>
            <w:tcW w:w="51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w w:val="93"/>
              </w:rPr>
              <w:t>2019, which required nimble supply chain execution and customer</w:t>
            </w:r>
          </w:p>
        </w:tc>
        <w:tc>
          <w:tcPr>
            <w:tcW w:w="400" w:type="dxa"/>
            <w:vAlign w:val="bottom"/>
            <w:shd w:val="clear" w:color="auto" w:fill="E2F4FC"/>
          </w:tcPr>
          <w:p>
            <w:pPr>
              <w:ind w:left="200"/>
              <w:spacing w:after="0"/>
              <w:rPr>
                <w:sz w:val="20"/>
                <w:szCs w:val="20"/>
                <w:color w:val="auto"/>
              </w:rPr>
            </w:pPr>
            <w:r>
              <w:rPr>
                <w:rFonts w:ascii="Arial" w:cs="Arial" w:eastAsia="Arial" w:hAnsi="Arial"/>
                <w:sz w:val="18"/>
                <w:szCs w:val="18"/>
                <w:color w:val="auto"/>
              </w:rPr>
              <w:t>•</w:t>
            </w:r>
          </w:p>
        </w:tc>
        <w:tc>
          <w:tcPr>
            <w:tcW w:w="5000" w:type="dxa"/>
            <w:vAlign w:val="bottom"/>
            <w:tcBorders>
              <w:right w:val="single" w:sz="8" w:color="A0DBF9"/>
            </w:tcBorders>
            <w:shd w:val="clear" w:color="auto" w:fill="E2F4FC"/>
          </w:tcPr>
          <w:p>
            <w:pPr>
              <w:ind w:left="140"/>
              <w:spacing w:after="0"/>
              <w:rPr>
                <w:sz w:val="20"/>
                <w:szCs w:val="20"/>
                <w:color w:val="auto"/>
              </w:rPr>
            </w:pPr>
            <w:r>
              <w:rPr>
                <w:rFonts w:ascii="Arial" w:cs="Arial" w:eastAsia="Arial" w:hAnsi="Arial"/>
                <w:sz w:val="18"/>
                <w:szCs w:val="18"/>
                <w:color w:val="auto"/>
                <w:w w:val="97"/>
              </w:rPr>
              <w:t>Expanded a microbubble franchise through collaborations with</w:t>
            </w:r>
          </w:p>
        </w:tc>
        <w:tc>
          <w:tcPr>
            <w:tcW w:w="0" w:type="dxa"/>
            <w:vAlign w:val="bottom"/>
          </w:tcPr>
          <w:p>
            <w:pPr>
              <w:spacing w:after="0"/>
              <w:rPr>
                <w:sz w:val="1"/>
                <w:szCs w:val="1"/>
                <w:color w:val="auto"/>
              </w:rPr>
            </w:pPr>
          </w:p>
        </w:tc>
      </w:tr>
      <w:tr>
        <w:trPr>
          <w:trHeight w:val="230"/>
        </w:trPr>
        <w:tc>
          <w:tcPr>
            <w:tcW w:w="540" w:type="dxa"/>
            <w:vAlign w:val="bottom"/>
            <w:tcBorders>
              <w:left w:val="single" w:sz="8" w:color="A0DBF9"/>
            </w:tcBorders>
            <w:shd w:val="clear" w:color="auto" w:fill="E2F4FC"/>
          </w:tcPr>
          <w:p>
            <w:pPr>
              <w:spacing w:after="0"/>
              <w:rPr>
                <w:sz w:val="20"/>
                <w:szCs w:val="20"/>
                <w:color w:val="auto"/>
              </w:rPr>
            </w:pPr>
          </w:p>
        </w:tc>
        <w:tc>
          <w:tcPr>
            <w:tcW w:w="51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rPr>
              <w:t>management</w:t>
            </w:r>
          </w:p>
        </w:tc>
        <w:tc>
          <w:tcPr>
            <w:tcW w:w="400" w:type="dxa"/>
            <w:vAlign w:val="bottom"/>
            <w:shd w:val="clear" w:color="auto" w:fill="E2F4FC"/>
          </w:tcPr>
          <w:p>
            <w:pPr>
              <w:spacing w:after="0"/>
              <w:rPr>
                <w:sz w:val="20"/>
                <w:szCs w:val="20"/>
                <w:color w:val="auto"/>
              </w:rPr>
            </w:pPr>
          </w:p>
        </w:tc>
        <w:tc>
          <w:tcPr>
            <w:tcW w:w="50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rPr>
              <w:t>Cerevast Medical and CarThera</w:t>
            </w:r>
          </w:p>
        </w:tc>
        <w:tc>
          <w:tcPr>
            <w:tcW w:w="0" w:type="dxa"/>
            <w:vAlign w:val="bottom"/>
          </w:tcPr>
          <w:p>
            <w:pPr>
              <w:spacing w:after="0"/>
              <w:rPr>
                <w:sz w:val="1"/>
                <w:szCs w:val="1"/>
                <w:color w:val="auto"/>
              </w:rPr>
            </w:pPr>
          </w:p>
        </w:tc>
      </w:tr>
      <w:tr>
        <w:trPr>
          <w:trHeight w:val="269"/>
        </w:trPr>
        <w:tc>
          <w:tcPr>
            <w:tcW w:w="540" w:type="dxa"/>
            <w:vAlign w:val="bottom"/>
            <w:tcBorders>
              <w:lef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0DBF9"/>
            </w:tcBorders>
            <w:shd w:val="clear" w:color="auto" w:fill="E2F4FC"/>
          </w:tcPr>
          <w:p>
            <w:pPr>
              <w:ind w:left="140"/>
              <w:spacing w:after="0"/>
              <w:rPr>
                <w:sz w:val="20"/>
                <w:szCs w:val="20"/>
                <w:color w:val="auto"/>
              </w:rPr>
            </w:pPr>
            <w:r>
              <w:rPr>
                <w:rFonts w:ascii="Arial" w:cs="Arial" w:eastAsia="Arial" w:hAnsi="Arial"/>
                <w:sz w:val="18"/>
                <w:szCs w:val="18"/>
                <w:color w:val="auto"/>
              </w:rPr>
              <w:t>Robust DEFINITY sales growth of 18.8%</w:t>
            </w:r>
          </w:p>
        </w:tc>
        <w:tc>
          <w:tcPr>
            <w:tcW w:w="400" w:type="dxa"/>
            <w:vAlign w:val="bottom"/>
            <w:shd w:val="clear" w:color="auto" w:fill="E2F4FC"/>
          </w:tcPr>
          <w:p>
            <w:pPr>
              <w:ind w:left="200"/>
              <w:spacing w:after="0"/>
              <w:rPr>
                <w:sz w:val="20"/>
                <w:szCs w:val="20"/>
                <w:color w:val="auto"/>
              </w:rPr>
            </w:pPr>
            <w:r>
              <w:rPr>
                <w:rFonts w:ascii="Arial" w:cs="Arial" w:eastAsia="Arial" w:hAnsi="Arial"/>
                <w:sz w:val="18"/>
                <w:szCs w:val="18"/>
                <w:color w:val="auto"/>
              </w:rPr>
              <w:t>•</w:t>
            </w:r>
          </w:p>
        </w:tc>
        <w:tc>
          <w:tcPr>
            <w:tcW w:w="5000" w:type="dxa"/>
            <w:vAlign w:val="bottom"/>
            <w:tcBorders>
              <w:right w:val="single" w:sz="8" w:color="A0DBF9"/>
            </w:tcBorders>
            <w:shd w:val="clear" w:color="auto" w:fill="E2F4FC"/>
          </w:tcPr>
          <w:p>
            <w:pPr>
              <w:ind w:left="140"/>
              <w:spacing w:after="0"/>
              <w:rPr>
                <w:sz w:val="20"/>
                <w:szCs w:val="20"/>
                <w:color w:val="auto"/>
              </w:rPr>
            </w:pPr>
            <w:r>
              <w:rPr>
                <w:rFonts w:ascii="Arial" w:cs="Arial" w:eastAsia="Arial" w:hAnsi="Arial"/>
                <w:sz w:val="18"/>
                <w:szCs w:val="18"/>
                <w:color w:val="auto"/>
                <w:w w:val="89"/>
              </w:rPr>
              <w:t>Established a pharmaceutical services business through a strategic</w:t>
            </w:r>
          </w:p>
        </w:tc>
        <w:tc>
          <w:tcPr>
            <w:tcW w:w="0" w:type="dxa"/>
            <w:vAlign w:val="bottom"/>
          </w:tcPr>
          <w:p>
            <w:pPr>
              <w:spacing w:after="0"/>
              <w:rPr>
                <w:sz w:val="1"/>
                <w:szCs w:val="1"/>
                <w:color w:val="auto"/>
              </w:rPr>
            </w:pPr>
          </w:p>
        </w:tc>
      </w:tr>
      <w:tr>
        <w:trPr>
          <w:trHeight w:val="216"/>
        </w:trPr>
        <w:tc>
          <w:tcPr>
            <w:tcW w:w="540" w:type="dxa"/>
            <w:vAlign w:val="bottom"/>
            <w:tcBorders>
              <w:left w:val="single" w:sz="8" w:color="A0DBF9"/>
            </w:tcBorders>
            <w:vMerge w:val="restart"/>
            <w:shd w:val="clear" w:color="auto" w:fill="E2F4FC"/>
          </w:tcPr>
          <w:p>
            <w:pPr>
              <w:ind w:left="34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0DBF9"/>
            </w:tcBorders>
            <w:vMerge w:val="restart"/>
            <w:shd w:val="clear" w:color="auto" w:fill="E2F4FC"/>
          </w:tcPr>
          <w:p>
            <w:pPr>
              <w:ind w:left="140"/>
              <w:spacing w:after="0"/>
              <w:rPr>
                <w:sz w:val="20"/>
                <w:szCs w:val="20"/>
                <w:color w:val="auto"/>
              </w:rPr>
            </w:pPr>
            <w:r>
              <w:rPr>
                <w:rFonts w:ascii="Arial" w:cs="Arial" w:eastAsia="Arial" w:hAnsi="Arial"/>
                <w:sz w:val="18"/>
                <w:szCs w:val="18"/>
                <w:color w:val="auto"/>
                <w:w w:val="94"/>
              </w:rPr>
              <w:t>Strong Net Cash Provided by Operating Activities of $80.4 million</w:t>
            </w:r>
          </w:p>
        </w:tc>
        <w:tc>
          <w:tcPr>
            <w:tcW w:w="400" w:type="dxa"/>
            <w:vAlign w:val="bottom"/>
            <w:shd w:val="clear" w:color="auto" w:fill="E2F4FC"/>
          </w:tcPr>
          <w:p>
            <w:pPr>
              <w:spacing w:after="0"/>
              <w:rPr>
                <w:sz w:val="18"/>
                <w:szCs w:val="18"/>
                <w:color w:val="auto"/>
              </w:rPr>
            </w:pPr>
          </w:p>
        </w:tc>
        <w:tc>
          <w:tcPr>
            <w:tcW w:w="5000" w:type="dxa"/>
            <w:vAlign w:val="bottom"/>
            <w:tcBorders>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w w:val="95"/>
              </w:rPr>
              <w:t>collaboration and license with NanoMab Technology Limited for</w:t>
            </w: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tcBorders>
            <w:vMerge w:val="continue"/>
            <w:shd w:val="clear" w:color="auto" w:fill="E2F4FC"/>
          </w:tcPr>
          <w:p>
            <w:pPr>
              <w:spacing w:after="0"/>
              <w:rPr>
                <w:sz w:val="5"/>
                <w:szCs w:val="5"/>
                <w:color w:val="auto"/>
              </w:rPr>
            </w:pPr>
          </w:p>
        </w:tc>
        <w:tc>
          <w:tcPr>
            <w:tcW w:w="5100" w:type="dxa"/>
            <w:vAlign w:val="bottom"/>
            <w:tcBorders>
              <w:right w:val="single" w:sz="8" w:color="A0DBF9"/>
            </w:tcBorders>
            <w:vMerge w:val="continue"/>
            <w:shd w:val="clear" w:color="auto" w:fill="E2F4FC"/>
          </w:tcPr>
          <w:p>
            <w:pPr>
              <w:spacing w:after="0"/>
              <w:rPr>
                <w:sz w:val="5"/>
                <w:szCs w:val="5"/>
                <w:color w:val="auto"/>
              </w:rPr>
            </w:pPr>
          </w:p>
        </w:tc>
        <w:tc>
          <w:tcPr>
            <w:tcW w:w="400" w:type="dxa"/>
            <w:vAlign w:val="bottom"/>
            <w:shd w:val="clear" w:color="auto" w:fill="E2F4FC"/>
          </w:tcPr>
          <w:p>
            <w:pPr>
              <w:spacing w:after="0"/>
              <w:rPr>
                <w:sz w:val="5"/>
                <w:szCs w:val="5"/>
                <w:color w:val="auto"/>
              </w:rPr>
            </w:pPr>
          </w:p>
        </w:tc>
        <w:tc>
          <w:tcPr>
            <w:tcW w:w="50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rPr>
              <w:t>its NM-01 biomarker</w:t>
            </w:r>
          </w:p>
        </w:tc>
        <w:tc>
          <w:tcPr>
            <w:tcW w:w="0" w:type="dxa"/>
            <w:vAlign w:val="bottom"/>
          </w:tcPr>
          <w:p>
            <w:pPr>
              <w:spacing w:after="0"/>
              <w:rPr>
                <w:sz w:val="1"/>
                <w:szCs w:val="1"/>
                <w:color w:val="auto"/>
              </w:rPr>
            </w:pPr>
          </w:p>
        </w:tc>
      </w:tr>
      <w:tr>
        <w:trPr>
          <w:trHeight w:val="163"/>
        </w:trPr>
        <w:tc>
          <w:tcPr>
            <w:tcW w:w="540" w:type="dxa"/>
            <w:vAlign w:val="bottom"/>
            <w:tcBorders>
              <w:left w:val="single" w:sz="8" w:color="A0DBF9"/>
            </w:tcBorders>
            <w:shd w:val="clear" w:color="auto" w:fill="E2F4FC"/>
          </w:tcPr>
          <w:p>
            <w:pPr>
              <w:spacing w:after="0"/>
              <w:rPr>
                <w:sz w:val="14"/>
                <w:szCs w:val="14"/>
                <w:color w:val="auto"/>
              </w:rPr>
            </w:pPr>
          </w:p>
        </w:tc>
        <w:tc>
          <w:tcPr>
            <w:tcW w:w="51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rPr>
              <w:t>and Free Cash Flow of $58.3 million</w:t>
            </w:r>
          </w:p>
        </w:tc>
        <w:tc>
          <w:tcPr>
            <w:tcW w:w="400" w:type="dxa"/>
            <w:vAlign w:val="bottom"/>
            <w:shd w:val="clear" w:color="auto" w:fill="E2F4FC"/>
          </w:tcPr>
          <w:p>
            <w:pPr>
              <w:spacing w:after="0"/>
              <w:rPr>
                <w:sz w:val="14"/>
                <w:szCs w:val="14"/>
                <w:color w:val="auto"/>
              </w:rPr>
            </w:pPr>
          </w:p>
        </w:tc>
        <w:tc>
          <w:tcPr>
            <w:tcW w:w="5000" w:type="dxa"/>
            <w:vAlign w:val="bottom"/>
            <w:tcBorders>
              <w:right w:val="single" w:sz="8" w:color="A0DBF9"/>
            </w:tcBorders>
            <w:vMerge w:val="continue"/>
            <w:shd w:val="clear" w:color="auto" w:fill="E2F4F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tcBorders>
            <w:shd w:val="clear" w:color="auto" w:fill="E2F4FC"/>
          </w:tcPr>
          <w:p>
            <w:pPr>
              <w:spacing w:after="0"/>
              <w:rPr>
                <w:sz w:val="5"/>
                <w:szCs w:val="5"/>
                <w:color w:val="auto"/>
              </w:rPr>
            </w:pPr>
          </w:p>
        </w:tc>
        <w:tc>
          <w:tcPr>
            <w:tcW w:w="5100" w:type="dxa"/>
            <w:vAlign w:val="bottom"/>
            <w:tcBorders>
              <w:right w:val="single" w:sz="8" w:color="A0DBF9"/>
            </w:tcBorders>
            <w:vMerge w:val="continue"/>
            <w:shd w:val="clear" w:color="auto" w:fill="E2F4FC"/>
          </w:tcPr>
          <w:p>
            <w:pPr>
              <w:spacing w:after="0"/>
              <w:rPr>
                <w:sz w:val="5"/>
                <w:szCs w:val="5"/>
                <w:color w:val="auto"/>
              </w:rPr>
            </w:pPr>
          </w:p>
        </w:tc>
        <w:tc>
          <w:tcPr>
            <w:tcW w:w="400" w:type="dxa"/>
            <w:vAlign w:val="bottom"/>
            <w:vMerge w:val="restart"/>
            <w:shd w:val="clear" w:color="auto" w:fill="E2F4FC"/>
          </w:tcPr>
          <w:p>
            <w:pPr>
              <w:ind w:left="200"/>
              <w:spacing w:after="0"/>
              <w:rPr>
                <w:sz w:val="20"/>
                <w:szCs w:val="20"/>
                <w:color w:val="auto"/>
              </w:rPr>
            </w:pPr>
            <w:r>
              <w:rPr>
                <w:rFonts w:ascii="Arial" w:cs="Arial" w:eastAsia="Arial" w:hAnsi="Arial"/>
                <w:sz w:val="18"/>
                <w:szCs w:val="18"/>
                <w:color w:val="auto"/>
              </w:rPr>
              <w:t>•</w:t>
            </w:r>
          </w:p>
        </w:tc>
        <w:tc>
          <w:tcPr>
            <w:tcW w:w="5000" w:type="dxa"/>
            <w:vAlign w:val="bottom"/>
            <w:tcBorders>
              <w:right w:val="single" w:sz="8" w:color="A0DBF9"/>
            </w:tcBorders>
            <w:vMerge w:val="restart"/>
            <w:shd w:val="clear" w:color="auto" w:fill="E2F4FC"/>
          </w:tcPr>
          <w:p>
            <w:pPr>
              <w:ind w:left="140"/>
              <w:spacing w:after="0"/>
              <w:rPr>
                <w:sz w:val="20"/>
                <w:szCs w:val="20"/>
                <w:color w:val="auto"/>
              </w:rPr>
            </w:pPr>
            <w:r>
              <w:rPr>
                <w:rFonts w:ascii="Arial" w:cs="Arial" w:eastAsia="Arial" w:hAnsi="Arial"/>
                <w:sz w:val="18"/>
                <w:szCs w:val="18"/>
                <w:color w:val="auto"/>
                <w:w w:val="98"/>
              </w:rPr>
              <w:t>Completed construction and most of the qualification work for</w:t>
            </w:r>
          </w:p>
        </w:tc>
        <w:tc>
          <w:tcPr>
            <w:tcW w:w="0" w:type="dxa"/>
            <w:vAlign w:val="bottom"/>
          </w:tcPr>
          <w:p>
            <w:pPr>
              <w:spacing w:after="0"/>
              <w:rPr>
                <w:sz w:val="1"/>
                <w:szCs w:val="1"/>
                <w:color w:val="auto"/>
              </w:rPr>
            </w:pPr>
          </w:p>
        </w:tc>
      </w:tr>
      <w:tr>
        <w:trPr>
          <w:trHeight w:val="202"/>
        </w:trPr>
        <w:tc>
          <w:tcPr>
            <w:tcW w:w="540" w:type="dxa"/>
            <w:vAlign w:val="bottom"/>
            <w:tcBorders>
              <w:left w:val="single" w:sz="8" w:color="A0DBF9"/>
            </w:tcBorders>
            <w:vMerge w:val="restart"/>
            <w:shd w:val="clear" w:color="auto" w:fill="E2F4FC"/>
          </w:tcPr>
          <w:p>
            <w:pPr>
              <w:ind w:left="340"/>
              <w:spacing w:after="0"/>
              <w:rPr>
                <w:sz w:val="20"/>
                <w:szCs w:val="20"/>
                <w:color w:val="auto"/>
              </w:rPr>
            </w:pPr>
            <w:r>
              <w:rPr>
                <w:rFonts w:ascii="Arial" w:cs="Arial" w:eastAsia="Arial" w:hAnsi="Arial"/>
                <w:sz w:val="18"/>
                <w:szCs w:val="18"/>
                <w:color w:val="auto"/>
              </w:rPr>
              <w:t>•</w:t>
            </w:r>
          </w:p>
        </w:tc>
        <w:tc>
          <w:tcPr>
            <w:tcW w:w="5100" w:type="dxa"/>
            <w:vAlign w:val="bottom"/>
            <w:tcBorders>
              <w:right w:val="single" w:sz="8" w:color="A0DBF9"/>
            </w:tcBorders>
            <w:vMerge w:val="restart"/>
            <w:shd w:val="clear" w:color="auto" w:fill="E2F4FC"/>
          </w:tcPr>
          <w:p>
            <w:pPr>
              <w:ind w:left="140"/>
              <w:spacing w:after="0"/>
              <w:rPr>
                <w:sz w:val="20"/>
                <w:szCs w:val="20"/>
                <w:color w:val="auto"/>
              </w:rPr>
            </w:pPr>
            <w:r>
              <w:rPr>
                <w:rFonts w:ascii="Arial" w:cs="Arial" w:eastAsia="Arial" w:hAnsi="Arial"/>
                <w:sz w:val="18"/>
                <w:szCs w:val="18"/>
                <w:color w:val="auto"/>
              </w:rPr>
              <w:t>Refinanced our credit facility, reducing the outstanding debt</w:t>
            </w:r>
          </w:p>
        </w:tc>
        <w:tc>
          <w:tcPr>
            <w:tcW w:w="400" w:type="dxa"/>
            <w:vAlign w:val="bottom"/>
            <w:vMerge w:val="continue"/>
            <w:shd w:val="clear" w:color="auto" w:fill="E2F4FC"/>
          </w:tcPr>
          <w:p>
            <w:pPr>
              <w:spacing w:after="0"/>
              <w:rPr>
                <w:sz w:val="17"/>
                <w:szCs w:val="17"/>
                <w:color w:val="auto"/>
              </w:rPr>
            </w:pPr>
          </w:p>
        </w:tc>
        <w:tc>
          <w:tcPr>
            <w:tcW w:w="5000" w:type="dxa"/>
            <w:vAlign w:val="bottom"/>
            <w:tcBorders>
              <w:right w:val="single" w:sz="8" w:color="A0DBF9"/>
            </w:tcBorders>
            <w:vMerge w:val="continue"/>
            <w:shd w:val="clear" w:color="auto" w:fill="E2F4FC"/>
          </w:tcPr>
          <w:p>
            <w:pPr>
              <w:spacing w:after="0"/>
              <w:rPr>
                <w:sz w:val="17"/>
                <w:szCs w:val="17"/>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tcBorders>
            <w:vMerge w:val="continue"/>
            <w:shd w:val="clear" w:color="auto" w:fill="E2F4FC"/>
          </w:tcPr>
          <w:p>
            <w:pPr>
              <w:spacing w:after="0"/>
              <w:rPr>
                <w:sz w:val="5"/>
                <w:szCs w:val="5"/>
                <w:color w:val="auto"/>
              </w:rPr>
            </w:pPr>
          </w:p>
        </w:tc>
        <w:tc>
          <w:tcPr>
            <w:tcW w:w="5100" w:type="dxa"/>
            <w:vAlign w:val="bottom"/>
            <w:tcBorders>
              <w:right w:val="single" w:sz="8" w:color="A0DBF9"/>
            </w:tcBorders>
            <w:vMerge w:val="continue"/>
            <w:shd w:val="clear" w:color="auto" w:fill="E2F4FC"/>
          </w:tcPr>
          <w:p>
            <w:pPr>
              <w:spacing w:after="0"/>
              <w:rPr>
                <w:sz w:val="5"/>
                <w:szCs w:val="5"/>
                <w:color w:val="auto"/>
              </w:rPr>
            </w:pPr>
          </w:p>
        </w:tc>
        <w:tc>
          <w:tcPr>
            <w:tcW w:w="400" w:type="dxa"/>
            <w:vAlign w:val="bottom"/>
            <w:shd w:val="clear" w:color="auto" w:fill="E2F4FC"/>
          </w:tcPr>
          <w:p>
            <w:pPr>
              <w:spacing w:after="0"/>
              <w:rPr>
                <w:sz w:val="5"/>
                <w:szCs w:val="5"/>
                <w:color w:val="auto"/>
              </w:rPr>
            </w:pPr>
          </w:p>
        </w:tc>
        <w:tc>
          <w:tcPr>
            <w:tcW w:w="50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rPr>
              <w:t>our internal manufacturing facility</w:t>
            </w:r>
          </w:p>
        </w:tc>
        <w:tc>
          <w:tcPr>
            <w:tcW w:w="0" w:type="dxa"/>
            <w:vAlign w:val="bottom"/>
          </w:tcPr>
          <w:p>
            <w:pPr>
              <w:spacing w:after="0"/>
              <w:rPr>
                <w:sz w:val="1"/>
                <w:szCs w:val="1"/>
                <w:color w:val="auto"/>
              </w:rPr>
            </w:pPr>
          </w:p>
        </w:tc>
      </w:tr>
      <w:tr>
        <w:trPr>
          <w:trHeight w:val="163"/>
        </w:trPr>
        <w:tc>
          <w:tcPr>
            <w:tcW w:w="540" w:type="dxa"/>
            <w:vAlign w:val="bottom"/>
            <w:tcBorders>
              <w:left w:val="single" w:sz="8" w:color="A0DBF9"/>
            </w:tcBorders>
            <w:shd w:val="clear" w:color="auto" w:fill="E2F4FC"/>
          </w:tcPr>
          <w:p>
            <w:pPr>
              <w:spacing w:after="0"/>
              <w:rPr>
                <w:sz w:val="14"/>
                <w:szCs w:val="14"/>
                <w:color w:val="auto"/>
              </w:rPr>
            </w:pPr>
          </w:p>
        </w:tc>
        <w:tc>
          <w:tcPr>
            <w:tcW w:w="5100" w:type="dxa"/>
            <w:vAlign w:val="bottom"/>
            <w:tcBorders>
              <w:right w:val="single" w:sz="8" w:color="A0DBF9"/>
            </w:tcBorders>
            <w:vMerge w:val="restart"/>
            <w:shd w:val="clear" w:color="auto" w:fill="E2F4FC"/>
          </w:tcPr>
          <w:p>
            <w:pPr>
              <w:ind w:left="160"/>
              <w:spacing w:after="0"/>
              <w:rPr>
                <w:sz w:val="20"/>
                <w:szCs w:val="20"/>
                <w:color w:val="auto"/>
              </w:rPr>
            </w:pPr>
            <w:r>
              <w:rPr>
                <w:rFonts w:ascii="Arial" w:cs="Arial" w:eastAsia="Arial" w:hAnsi="Arial"/>
                <w:sz w:val="18"/>
                <w:szCs w:val="18"/>
                <w:color w:val="auto"/>
                <w:w w:val="98"/>
              </w:rPr>
              <w:t>balance and interest expense, while increasing overall liquidity</w:t>
            </w:r>
          </w:p>
        </w:tc>
        <w:tc>
          <w:tcPr>
            <w:tcW w:w="400" w:type="dxa"/>
            <w:vAlign w:val="bottom"/>
            <w:shd w:val="clear" w:color="auto" w:fill="E2F4FC"/>
          </w:tcPr>
          <w:p>
            <w:pPr>
              <w:spacing w:after="0"/>
              <w:rPr>
                <w:sz w:val="14"/>
                <w:szCs w:val="14"/>
                <w:color w:val="auto"/>
              </w:rPr>
            </w:pPr>
          </w:p>
        </w:tc>
        <w:tc>
          <w:tcPr>
            <w:tcW w:w="5000" w:type="dxa"/>
            <w:vAlign w:val="bottom"/>
            <w:tcBorders>
              <w:right w:val="single" w:sz="8" w:color="A0DBF9"/>
            </w:tcBorders>
            <w:vMerge w:val="continue"/>
            <w:shd w:val="clear" w:color="auto" w:fill="E2F4FC"/>
          </w:tcPr>
          <w:p>
            <w:pPr>
              <w:spacing w:after="0"/>
              <w:rPr>
                <w:sz w:val="14"/>
                <w:szCs w:val="14"/>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tcBorders>
            <w:shd w:val="clear" w:color="auto" w:fill="E2F4FC"/>
          </w:tcPr>
          <w:p>
            <w:pPr>
              <w:spacing w:after="0"/>
              <w:rPr>
                <w:sz w:val="5"/>
                <w:szCs w:val="5"/>
                <w:color w:val="auto"/>
              </w:rPr>
            </w:pPr>
          </w:p>
        </w:tc>
        <w:tc>
          <w:tcPr>
            <w:tcW w:w="5100" w:type="dxa"/>
            <w:vAlign w:val="bottom"/>
            <w:tcBorders>
              <w:right w:val="single" w:sz="8" w:color="A0DBF9"/>
            </w:tcBorders>
            <w:vMerge w:val="continue"/>
            <w:shd w:val="clear" w:color="auto" w:fill="E2F4FC"/>
          </w:tcPr>
          <w:p>
            <w:pPr>
              <w:spacing w:after="0"/>
              <w:rPr>
                <w:sz w:val="5"/>
                <w:szCs w:val="5"/>
                <w:color w:val="auto"/>
              </w:rPr>
            </w:pPr>
          </w:p>
        </w:tc>
        <w:tc>
          <w:tcPr>
            <w:tcW w:w="400" w:type="dxa"/>
            <w:vAlign w:val="bottom"/>
            <w:shd w:val="clear" w:color="auto" w:fill="E2F4FC"/>
          </w:tcPr>
          <w:p>
            <w:pPr>
              <w:spacing w:after="0"/>
              <w:rPr>
                <w:sz w:val="5"/>
                <w:szCs w:val="5"/>
                <w:color w:val="auto"/>
              </w:rPr>
            </w:pPr>
          </w:p>
        </w:tc>
        <w:tc>
          <w:tcPr>
            <w:tcW w:w="5000" w:type="dxa"/>
            <w:vAlign w:val="bottom"/>
            <w:tcBorders>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540" w:type="dxa"/>
            <w:vAlign w:val="bottom"/>
            <w:tcBorders>
              <w:left w:val="single" w:sz="8" w:color="A0DBF9"/>
              <w:bottom w:val="single" w:sz="8" w:color="A0DBF9"/>
            </w:tcBorders>
            <w:shd w:val="clear" w:color="auto" w:fill="E2F4FC"/>
          </w:tcPr>
          <w:p>
            <w:pPr>
              <w:spacing w:after="0"/>
              <w:rPr>
                <w:sz w:val="5"/>
                <w:szCs w:val="5"/>
                <w:color w:val="auto"/>
              </w:rPr>
            </w:pPr>
          </w:p>
        </w:tc>
        <w:tc>
          <w:tcPr>
            <w:tcW w:w="5100" w:type="dxa"/>
            <w:vAlign w:val="bottom"/>
            <w:tcBorders>
              <w:bottom w:val="single" w:sz="8" w:color="A0DBF9"/>
              <w:right w:val="single" w:sz="8" w:color="A0DBF9"/>
            </w:tcBorders>
            <w:shd w:val="clear" w:color="auto" w:fill="E2F4FC"/>
          </w:tcPr>
          <w:p>
            <w:pPr>
              <w:spacing w:after="0"/>
              <w:rPr>
                <w:sz w:val="5"/>
                <w:szCs w:val="5"/>
                <w:color w:val="auto"/>
              </w:rPr>
            </w:pPr>
          </w:p>
        </w:tc>
        <w:tc>
          <w:tcPr>
            <w:tcW w:w="400" w:type="dxa"/>
            <w:vAlign w:val="bottom"/>
            <w:tcBorders>
              <w:bottom w:val="single" w:sz="8" w:color="A0DBF9"/>
            </w:tcBorders>
            <w:shd w:val="clear" w:color="auto" w:fill="E2F4FC"/>
          </w:tcPr>
          <w:p>
            <w:pPr>
              <w:spacing w:after="0"/>
              <w:rPr>
                <w:sz w:val="5"/>
                <w:szCs w:val="5"/>
                <w:color w:val="auto"/>
              </w:rPr>
            </w:pPr>
          </w:p>
        </w:tc>
        <w:tc>
          <w:tcPr>
            <w:tcW w:w="500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100" w:hanging="424"/>
        <w:spacing w:after="0" w:line="245" w:lineRule="auto"/>
        <w:tabs>
          <w:tab w:leader="none" w:pos="540" w:val="left"/>
        </w:tabs>
        <w:numPr>
          <w:ilvl w:val="0"/>
          <w:numId w:val="27"/>
        </w:numPr>
        <w:rPr>
          <w:rFonts w:ascii="Arial" w:cs="Arial" w:eastAsia="Arial" w:hAnsi="Arial"/>
          <w:sz w:val="13"/>
          <w:szCs w:val="13"/>
          <w:color w:val="auto"/>
        </w:rPr>
      </w:pPr>
      <w:r>
        <w:rPr>
          <w:rFonts w:ascii="Arial" w:cs="Arial" w:eastAsia="Arial" w:hAnsi="Arial"/>
          <w:sz w:val="13"/>
          <w:szCs w:val="13"/>
          <w:color w:val="auto"/>
        </w:rPr>
        <w:t>The Company uses non-GAAP financial measures, such as fully diluted Adjusted Earnings Per Share and Free Cash Flow in its communications with investors. We believe that the presentation of these measures provides useful information to investors and may assist investors in evaluating the Company’s operations. However, these measures may exclude items that may be highly variable, difficult to predict and/or of a size that could have a substantial impact on the Company’s reported results of operations for a particular period. We use these and other non-GAAP measures internally for evaluation of the performance of the business, including the allocation of resources and the evaluation of results relative to employee performance compensation targets. Investors should consider these non-GAAP measures only as a supplement to, not as a substitute for or as superior to, measures of financial performance prepared in accordance with GAAP. Reference is made to the most directly comparable GAAP financial measures, the reconciliation of the differences between the two financial measures, and the other information included in the press release furnished to the SEC pursuant to a Form 8-K filed on February 25, 2020 and related information available in the Investor Relations section of our website located at http://investor.lantheus.com.</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40"/>
          </w:cols>
          <w:pgMar w:left="320" w:top="459" w:right="4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Compensation Decisions and Actions</w:t>
      </w:r>
    </w:p>
    <w:p>
      <w:pPr>
        <w:spacing w:after="0" w:line="121" w:lineRule="exact"/>
        <w:rPr>
          <w:sz w:val="20"/>
          <w:szCs w:val="20"/>
          <w:color w:val="auto"/>
        </w:rPr>
      </w:pPr>
    </w:p>
    <w:p>
      <w:pPr>
        <w:ind w:left="120" w:right="100" w:firstLine="440"/>
        <w:spacing w:after="0" w:line="277" w:lineRule="auto"/>
        <w:rPr>
          <w:sz w:val="20"/>
          <w:szCs w:val="20"/>
          <w:color w:val="auto"/>
        </w:rPr>
      </w:pPr>
      <w:r>
        <w:rPr>
          <w:rFonts w:ascii="Arial" w:cs="Arial" w:eastAsia="Arial" w:hAnsi="Arial"/>
          <w:sz w:val="18"/>
          <w:szCs w:val="18"/>
          <w:color w:val="auto"/>
        </w:rPr>
        <w:t>The following is a summary of key decisions and actions regarding executive compensation in 2019 and early 2020. These decisions were guided by our business needs, compensation philosophy, performance, and governance framework.</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50"/>
        </w:trPr>
        <w:tc>
          <w:tcPr>
            <w:tcW w:w="2660" w:type="dxa"/>
            <w:vAlign w:val="bottom"/>
            <w:tcBorders>
              <w:left w:val="single" w:sz="8" w:color="5EB5FC"/>
              <w:bottom w:val="single" w:sz="8" w:color="5EB5FC"/>
              <w:right w:val="single" w:sz="8" w:color="5EB5FC"/>
            </w:tcBorders>
            <w:shd w:val="clear" w:color="auto" w:fill="5EB5FC"/>
          </w:tcPr>
          <w:p>
            <w:pPr>
              <w:ind w:left="780"/>
              <w:spacing w:after="0"/>
              <w:rPr>
                <w:sz w:val="20"/>
                <w:szCs w:val="20"/>
                <w:color w:val="auto"/>
              </w:rPr>
            </w:pPr>
            <w:r>
              <w:rPr>
                <w:rFonts w:ascii="Arial" w:cs="Arial" w:eastAsia="Arial" w:hAnsi="Arial"/>
                <w:sz w:val="14"/>
                <w:szCs w:val="14"/>
                <w:b w:val="1"/>
                <w:bCs w:val="1"/>
                <w:color w:val="FFFFFF"/>
              </w:rPr>
              <w:t>Compensation Area</w:t>
            </w:r>
          </w:p>
        </w:tc>
        <w:tc>
          <w:tcPr>
            <w:tcW w:w="8380" w:type="dxa"/>
            <w:vAlign w:val="bottom"/>
            <w:tcBorders>
              <w:bottom w:val="single" w:sz="8" w:color="5EB5FC"/>
              <w:right w:val="single" w:sz="8" w:color="5EB5FC"/>
            </w:tcBorders>
            <w:shd w:val="clear" w:color="auto" w:fill="5EB5FC"/>
          </w:tcPr>
          <w:p>
            <w:pPr>
              <w:ind w:left="3880"/>
              <w:spacing w:after="0"/>
              <w:rPr>
                <w:sz w:val="20"/>
                <w:szCs w:val="20"/>
                <w:color w:val="auto"/>
              </w:rPr>
            </w:pPr>
            <w:r>
              <w:rPr>
                <w:rFonts w:ascii="Arial" w:cs="Arial" w:eastAsia="Arial" w:hAnsi="Arial"/>
                <w:sz w:val="14"/>
                <w:szCs w:val="14"/>
                <w:b w:val="1"/>
                <w:bCs w:val="1"/>
                <w:color w:val="FFFFFF"/>
              </w:rPr>
              <w:t>Highlights</w:t>
            </w:r>
          </w:p>
        </w:tc>
      </w:tr>
      <w:tr>
        <w:trPr>
          <w:trHeight w:val="242"/>
        </w:trPr>
        <w:tc>
          <w:tcPr>
            <w:tcW w:w="26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Cash Compensation</w:t>
            </w: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4"/>
              </w:rPr>
              <w:t>•  Approved in February 2019 base salary increases for our NEOs, effective as of April 1, 2019, to keep pace</w:t>
            </w:r>
          </w:p>
        </w:tc>
      </w:tr>
      <w:tr>
        <w:trPr>
          <w:trHeight w:val="230"/>
        </w:trPr>
        <w:tc>
          <w:tcPr>
            <w:tcW w:w="2660" w:type="dxa"/>
            <w:vAlign w:val="bottom"/>
            <w:tcBorders>
              <w:left w:val="single" w:sz="8" w:color="A0DBF9"/>
              <w:right w:val="single" w:sz="8" w:color="A0DBF9"/>
            </w:tcBorders>
            <w:shd w:val="clear" w:color="auto" w:fill="E2F4FC"/>
          </w:tcPr>
          <w:p>
            <w:pPr>
              <w:spacing w:after="0"/>
              <w:rPr>
                <w:sz w:val="20"/>
                <w:szCs w:val="20"/>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with the competitive market and/or recognize individual performance and contributions</w:t>
            </w:r>
          </w:p>
        </w:tc>
      </w:tr>
      <w:tr>
        <w:trPr>
          <w:trHeight w:val="283"/>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9"/>
              </w:rPr>
              <w:t>•  Increased the 2019 bonus target (expressed as a percent of base salary) for John Bolla in light of his</w:t>
            </w:r>
          </w:p>
        </w:tc>
      </w:tr>
      <w:tr>
        <w:trPr>
          <w:trHeight w:val="216"/>
        </w:trPr>
        <w:tc>
          <w:tcPr>
            <w:tcW w:w="2660" w:type="dxa"/>
            <w:vAlign w:val="bottom"/>
            <w:tcBorders>
              <w:left w:val="single" w:sz="8" w:color="A0DBF9"/>
              <w:right w:val="single" w:sz="8" w:color="A0DBF9"/>
            </w:tcBorders>
            <w:shd w:val="clear" w:color="auto" w:fill="E2F4FC"/>
          </w:tcPr>
          <w:p>
            <w:pPr>
              <w:spacing w:after="0"/>
              <w:rPr>
                <w:sz w:val="18"/>
                <w:szCs w:val="18"/>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w w:val="95"/>
              </w:rPr>
              <w:t>additional responsibilities in his new role as Chief Operations Officer and maintained all other NEO 2019</w:t>
            </w:r>
          </w:p>
        </w:tc>
      </w:tr>
      <w:tr>
        <w:trPr>
          <w:trHeight w:val="230"/>
        </w:trPr>
        <w:tc>
          <w:tcPr>
            <w:tcW w:w="2660" w:type="dxa"/>
            <w:vAlign w:val="bottom"/>
            <w:tcBorders>
              <w:left w:val="single" w:sz="8" w:color="A0DBF9"/>
              <w:right w:val="single" w:sz="8" w:color="A0DBF9"/>
            </w:tcBorders>
            <w:shd w:val="clear" w:color="auto" w:fill="E2F4FC"/>
          </w:tcPr>
          <w:p>
            <w:pPr>
              <w:spacing w:after="0"/>
              <w:rPr>
                <w:sz w:val="20"/>
                <w:szCs w:val="20"/>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bonus targets at the same level as 2018</w:t>
            </w:r>
          </w:p>
        </w:tc>
      </w:tr>
      <w:tr>
        <w:trPr>
          <w:trHeight w:val="283"/>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5"/>
              </w:rPr>
              <w:t>•  Designed a new annual bonus plan with bonuses based on a balance of revenue, earnings and cash flow</w:t>
            </w:r>
          </w:p>
        </w:tc>
      </w:tr>
      <w:tr>
        <w:trPr>
          <w:trHeight w:val="230"/>
        </w:trPr>
        <w:tc>
          <w:tcPr>
            <w:tcW w:w="2660" w:type="dxa"/>
            <w:vAlign w:val="bottom"/>
            <w:tcBorders>
              <w:left w:val="single" w:sz="8" w:color="A0DBF9"/>
              <w:right w:val="single" w:sz="8" w:color="A0DBF9"/>
            </w:tcBorders>
            <w:shd w:val="clear" w:color="auto" w:fill="E2F4FC"/>
          </w:tcPr>
          <w:p>
            <w:pPr>
              <w:spacing w:after="0"/>
              <w:rPr>
                <w:sz w:val="20"/>
                <w:szCs w:val="20"/>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metrics</w:t>
            </w:r>
          </w:p>
        </w:tc>
      </w:tr>
      <w:tr>
        <w:trPr>
          <w:trHeight w:val="283"/>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9"/>
              </w:rPr>
              <w:t>•  Paid bonuses to our NEOs reflecting a corporate performance factor of 109.2% of target, and varying</w:t>
            </w:r>
          </w:p>
        </w:tc>
      </w:tr>
      <w:tr>
        <w:trPr>
          <w:trHeight w:val="230"/>
        </w:trPr>
        <w:tc>
          <w:tcPr>
            <w:tcW w:w="2660" w:type="dxa"/>
            <w:vAlign w:val="bottom"/>
            <w:tcBorders>
              <w:left w:val="single" w:sz="8" w:color="A0DBF9"/>
              <w:right w:val="single" w:sz="8" w:color="A0DBF9"/>
            </w:tcBorders>
            <w:shd w:val="clear" w:color="auto" w:fill="E2F4FC"/>
          </w:tcPr>
          <w:p>
            <w:pPr>
              <w:spacing w:after="0"/>
              <w:rPr>
                <w:sz w:val="20"/>
                <w:szCs w:val="20"/>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individual performance factors</w:t>
            </w:r>
          </w:p>
        </w:tc>
      </w:tr>
      <w:tr>
        <w:trPr>
          <w:trHeight w:val="135"/>
        </w:trPr>
        <w:tc>
          <w:tcPr>
            <w:tcW w:w="2660" w:type="dxa"/>
            <w:vAlign w:val="bottom"/>
            <w:tcBorders>
              <w:left w:val="single" w:sz="8" w:color="A0DBF9"/>
              <w:bottom w:val="single" w:sz="8" w:color="A0DBF9"/>
              <w:right w:val="single" w:sz="8" w:color="A0DBF9"/>
            </w:tcBorders>
            <w:shd w:val="clear" w:color="auto" w:fill="E2F4FC"/>
          </w:tcPr>
          <w:p>
            <w:pPr>
              <w:spacing w:after="0"/>
              <w:rPr>
                <w:sz w:val="11"/>
                <w:szCs w:val="11"/>
                <w:color w:val="auto"/>
              </w:rPr>
            </w:pPr>
          </w:p>
        </w:tc>
        <w:tc>
          <w:tcPr>
            <w:tcW w:w="8380" w:type="dxa"/>
            <w:vAlign w:val="bottom"/>
            <w:tcBorders>
              <w:bottom w:val="single" w:sz="8" w:color="A0DBF9"/>
              <w:right w:val="single" w:sz="8" w:color="A0DBF9"/>
            </w:tcBorders>
            <w:shd w:val="clear" w:color="auto" w:fill="E2F4FC"/>
          </w:tcPr>
          <w:p>
            <w:pPr>
              <w:spacing w:after="0"/>
              <w:rPr>
                <w:sz w:val="11"/>
                <w:szCs w:val="11"/>
                <w:color w:val="auto"/>
              </w:rPr>
            </w:pPr>
          </w:p>
        </w:tc>
      </w:tr>
      <w:tr>
        <w:trPr>
          <w:trHeight w:val="236"/>
        </w:trPr>
        <w:tc>
          <w:tcPr>
            <w:tcW w:w="26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Equity Compensation</w:t>
            </w:r>
          </w:p>
        </w:tc>
        <w:tc>
          <w:tcPr>
            <w:tcW w:w="83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9"/>
              </w:rPr>
              <w:t>•  Changed practice to utilize RSUs and performance-based RSUs (“</w:t>
            </w:r>
            <w:r>
              <w:rPr>
                <w:rFonts w:ascii="Arial" w:cs="Arial" w:eastAsia="Arial" w:hAnsi="Arial"/>
                <w:sz w:val="18"/>
                <w:szCs w:val="18"/>
                <w:b w:val="1"/>
                <w:bCs w:val="1"/>
                <w:i w:val="1"/>
                <w:iCs w:val="1"/>
                <w:color w:val="auto"/>
                <w:w w:val="99"/>
              </w:rPr>
              <w:t>PSUs</w:t>
            </w:r>
            <w:r>
              <w:rPr>
                <w:rFonts w:ascii="Arial" w:cs="Arial" w:eastAsia="Arial" w:hAnsi="Arial"/>
                <w:sz w:val="18"/>
                <w:szCs w:val="18"/>
                <w:color w:val="auto"/>
                <w:w w:val="99"/>
              </w:rPr>
              <w:t>”), as opposed to time-based</w:t>
            </w:r>
          </w:p>
        </w:tc>
      </w:tr>
      <w:tr>
        <w:trPr>
          <w:trHeight w:val="230"/>
        </w:trPr>
        <w:tc>
          <w:tcPr>
            <w:tcW w:w="2660" w:type="dxa"/>
            <w:vAlign w:val="bottom"/>
            <w:tcBorders>
              <w:left w:val="single" w:sz="8" w:color="A0DBF9"/>
              <w:right w:val="single" w:sz="8" w:color="A0DBF9"/>
            </w:tcBorders>
          </w:tcPr>
          <w:p>
            <w:pPr>
              <w:spacing w:after="0"/>
              <w:rPr>
                <w:sz w:val="20"/>
                <w:szCs w:val="20"/>
                <w:color w:val="auto"/>
              </w:rPr>
            </w:pPr>
          </w:p>
        </w:tc>
        <w:tc>
          <w:tcPr>
            <w:tcW w:w="83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restricted stock awards (“</w:t>
            </w:r>
            <w:r>
              <w:rPr>
                <w:rFonts w:ascii="Arial" w:cs="Arial" w:eastAsia="Arial" w:hAnsi="Arial"/>
                <w:sz w:val="18"/>
                <w:szCs w:val="18"/>
                <w:b w:val="1"/>
                <w:bCs w:val="1"/>
                <w:i w:val="1"/>
                <w:iCs w:val="1"/>
                <w:color w:val="auto"/>
              </w:rPr>
              <w:t>RSAs</w:t>
            </w:r>
            <w:r>
              <w:rPr>
                <w:rFonts w:ascii="Arial" w:cs="Arial" w:eastAsia="Arial" w:hAnsi="Arial"/>
                <w:sz w:val="18"/>
                <w:szCs w:val="18"/>
                <w:color w:val="auto"/>
              </w:rPr>
              <w:t>”) and performance-based RSAs (“</w:t>
            </w:r>
            <w:r>
              <w:rPr>
                <w:rFonts w:ascii="Arial" w:cs="Arial" w:eastAsia="Arial" w:hAnsi="Arial"/>
                <w:sz w:val="18"/>
                <w:szCs w:val="18"/>
                <w:b w:val="1"/>
                <w:bCs w:val="1"/>
                <w:i w:val="1"/>
                <w:iCs w:val="1"/>
                <w:color w:val="auto"/>
              </w:rPr>
              <w:t>PSAs</w:t>
            </w:r>
            <w:r>
              <w:rPr>
                <w:rFonts w:ascii="Arial" w:cs="Arial" w:eastAsia="Arial" w:hAnsi="Arial"/>
                <w:sz w:val="18"/>
                <w:szCs w:val="18"/>
                <w:color w:val="auto"/>
              </w:rPr>
              <w:t>”)</w:t>
            </w:r>
          </w:p>
        </w:tc>
      </w:tr>
      <w:tr>
        <w:trPr>
          <w:trHeight w:val="297"/>
        </w:trPr>
        <w:tc>
          <w:tcPr>
            <w:tcW w:w="2660" w:type="dxa"/>
            <w:vAlign w:val="bottom"/>
            <w:tcBorders>
              <w:left w:val="single" w:sz="8" w:color="A0DBF9"/>
              <w:right w:val="single" w:sz="8" w:color="A0DBF9"/>
            </w:tcBorders>
          </w:tcPr>
          <w:p>
            <w:pPr>
              <w:spacing w:after="0"/>
              <w:rPr>
                <w:sz w:val="24"/>
                <w:szCs w:val="24"/>
                <w:color w:val="auto"/>
              </w:rPr>
            </w:pPr>
          </w:p>
        </w:tc>
        <w:tc>
          <w:tcPr>
            <w:tcW w:w="83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rPr>
              <w:t>•  Granted equity awards to our NEOs in February 2019 consisting of RSUs and PSUs</w:t>
            </w:r>
          </w:p>
        </w:tc>
      </w:tr>
      <w:tr>
        <w:trPr>
          <w:trHeight w:val="283"/>
        </w:trPr>
        <w:tc>
          <w:tcPr>
            <w:tcW w:w="2660" w:type="dxa"/>
            <w:vAlign w:val="bottom"/>
            <w:tcBorders>
              <w:left w:val="single" w:sz="8" w:color="A0DBF9"/>
              <w:right w:val="single" w:sz="8" w:color="A0DBF9"/>
            </w:tcBorders>
          </w:tcPr>
          <w:p>
            <w:pPr>
              <w:spacing w:after="0"/>
              <w:rPr>
                <w:sz w:val="24"/>
                <w:szCs w:val="24"/>
                <w:color w:val="auto"/>
              </w:rPr>
            </w:pPr>
          </w:p>
        </w:tc>
        <w:tc>
          <w:tcPr>
            <w:tcW w:w="83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4"/>
              </w:rPr>
              <w:t>•  Determined the annual results (relating to 2019 Revenue and Adjusted EBITDA) pertaining to the final two</w:t>
            </w:r>
          </w:p>
        </w:tc>
      </w:tr>
      <w:tr>
        <w:trPr>
          <w:trHeight w:val="216"/>
        </w:trPr>
        <w:tc>
          <w:tcPr>
            <w:tcW w:w="2660" w:type="dxa"/>
            <w:vAlign w:val="bottom"/>
            <w:tcBorders>
              <w:left w:val="single" w:sz="8" w:color="A0DBF9"/>
              <w:right w:val="single" w:sz="8" w:color="A0DBF9"/>
            </w:tcBorders>
          </w:tcPr>
          <w:p>
            <w:pPr>
              <w:spacing w:after="0"/>
              <w:rPr>
                <w:sz w:val="18"/>
                <w:szCs w:val="18"/>
                <w:color w:val="auto"/>
              </w:rPr>
            </w:pPr>
          </w:p>
        </w:tc>
        <w:tc>
          <w:tcPr>
            <w:tcW w:w="83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w w:val="92"/>
              </w:rPr>
              <w:t>tranches of our 2017 PSA awards, which resulted in 104.4% of the target number of Shares subject to such</w:t>
            </w:r>
          </w:p>
        </w:tc>
      </w:tr>
      <w:tr>
        <w:trPr>
          <w:trHeight w:val="230"/>
        </w:trPr>
        <w:tc>
          <w:tcPr>
            <w:tcW w:w="2660" w:type="dxa"/>
            <w:vAlign w:val="bottom"/>
            <w:tcBorders>
              <w:left w:val="single" w:sz="8" w:color="A0DBF9"/>
              <w:right w:val="single" w:sz="8" w:color="A0DBF9"/>
            </w:tcBorders>
          </w:tcPr>
          <w:p>
            <w:pPr>
              <w:spacing w:after="0"/>
              <w:rPr>
                <w:sz w:val="20"/>
                <w:szCs w:val="20"/>
                <w:color w:val="auto"/>
              </w:rPr>
            </w:pPr>
          </w:p>
        </w:tc>
        <w:tc>
          <w:tcPr>
            <w:tcW w:w="83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awards becoming eligible to vest</w:t>
            </w:r>
          </w:p>
        </w:tc>
      </w:tr>
      <w:tr>
        <w:trPr>
          <w:trHeight w:val="283"/>
        </w:trPr>
        <w:tc>
          <w:tcPr>
            <w:tcW w:w="2660" w:type="dxa"/>
            <w:vAlign w:val="bottom"/>
            <w:tcBorders>
              <w:left w:val="single" w:sz="8" w:color="A0DBF9"/>
              <w:right w:val="single" w:sz="8" w:color="A0DBF9"/>
            </w:tcBorders>
          </w:tcPr>
          <w:p>
            <w:pPr>
              <w:spacing w:after="0"/>
              <w:rPr>
                <w:sz w:val="24"/>
                <w:szCs w:val="24"/>
                <w:color w:val="auto"/>
              </w:rPr>
            </w:pPr>
          </w:p>
        </w:tc>
        <w:tc>
          <w:tcPr>
            <w:tcW w:w="83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2"/>
              </w:rPr>
              <w:t>•  Received stockholder approval of an amendment to our 2015 Equity Incentive Plan to increase the number of</w:t>
            </w:r>
          </w:p>
        </w:tc>
      </w:tr>
      <w:tr>
        <w:trPr>
          <w:trHeight w:val="230"/>
        </w:trPr>
        <w:tc>
          <w:tcPr>
            <w:tcW w:w="2660" w:type="dxa"/>
            <w:vAlign w:val="bottom"/>
            <w:tcBorders>
              <w:left w:val="single" w:sz="8" w:color="A0DBF9"/>
              <w:right w:val="single" w:sz="8" w:color="A0DBF9"/>
            </w:tcBorders>
          </w:tcPr>
          <w:p>
            <w:pPr>
              <w:spacing w:after="0"/>
              <w:rPr>
                <w:sz w:val="20"/>
                <w:szCs w:val="20"/>
                <w:color w:val="auto"/>
              </w:rPr>
            </w:pPr>
          </w:p>
        </w:tc>
        <w:tc>
          <w:tcPr>
            <w:tcW w:w="83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shares available for grants to participants</w:t>
            </w:r>
          </w:p>
        </w:tc>
      </w:tr>
      <w:tr>
        <w:trPr>
          <w:trHeight w:val="135"/>
        </w:trPr>
        <w:tc>
          <w:tcPr>
            <w:tcW w:w="2660" w:type="dxa"/>
            <w:vAlign w:val="bottom"/>
            <w:tcBorders>
              <w:left w:val="single" w:sz="8" w:color="A0DBF9"/>
              <w:bottom w:val="single" w:sz="8" w:color="A0DBF9"/>
              <w:right w:val="single" w:sz="8" w:color="A0DBF9"/>
            </w:tcBorders>
          </w:tcPr>
          <w:p>
            <w:pPr>
              <w:spacing w:after="0"/>
              <w:rPr>
                <w:sz w:val="11"/>
                <w:szCs w:val="11"/>
                <w:color w:val="auto"/>
              </w:rPr>
            </w:pPr>
          </w:p>
        </w:tc>
        <w:tc>
          <w:tcPr>
            <w:tcW w:w="8380" w:type="dxa"/>
            <w:vAlign w:val="bottom"/>
            <w:tcBorders>
              <w:bottom w:val="single" w:sz="8" w:color="A0DBF9"/>
              <w:right w:val="single" w:sz="8" w:color="A0DBF9"/>
            </w:tcBorders>
          </w:tcPr>
          <w:p>
            <w:pPr>
              <w:spacing w:after="0"/>
              <w:rPr>
                <w:sz w:val="11"/>
                <w:szCs w:val="11"/>
                <w:color w:val="auto"/>
              </w:rPr>
            </w:pPr>
          </w:p>
        </w:tc>
      </w:tr>
      <w:tr>
        <w:trPr>
          <w:trHeight w:val="236"/>
        </w:trPr>
        <w:tc>
          <w:tcPr>
            <w:tcW w:w="26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Process / Governance</w:t>
            </w: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2"/>
              </w:rPr>
              <w:t>•  Implemented Stock Ownership and Retention Guidelines applicable to non-employee directors and executive</w:t>
            </w:r>
          </w:p>
        </w:tc>
      </w:tr>
      <w:tr>
        <w:trPr>
          <w:trHeight w:val="230"/>
        </w:trPr>
        <w:tc>
          <w:tcPr>
            <w:tcW w:w="2660" w:type="dxa"/>
            <w:vAlign w:val="bottom"/>
            <w:tcBorders>
              <w:left w:val="single" w:sz="8" w:color="A0DBF9"/>
              <w:right w:val="single" w:sz="8" w:color="A0DBF9"/>
            </w:tcBorders>
            <w:shd w:val="clear" w:color="auto" w:fill="E2F4FC"/>
          </w:tcPr>
          <w:p>
            <w:pPr>
              <w:spacing w:after="0"/>
              <w:rPr>
                <w:sz w:val="20"/>
                <w:szCs w:val="20"/>
                <w:color w:val="auto"/>
              </w:rPr>
            </w:pPr>
          </w:p>
        </w:tc>
        <w:tc>
          <w:tcPr>
            <w:tcW w:w="83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officers</w:t>
            </w:r>
          </w:p>
        </w:tc>
      </w:tr>
      <w:tr>
        <w:trPr>
          <w:trHeight w:val="297"/>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Entered into new severance and “double trigger” change of control agreements with our NEOs</w:t>
            </w:r>
          </w:p>
        </w:tc>
      </w:tr>
      <w:tr>
        <w:trPr>
          <w:trHeight w:val="297"/>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Reconfigured our annual Compensation Committee calendar of activities</w:t>
            </w:r>
          </w:p>
        </w:tc>
      </w:tr>
      <w:tr>
        <w:trPr>
          <w:trHeight w:val="297"/>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Reviewed the Compensation Committee Charter</w:t>
            </w:r>
          </w:p>
        </w:tc>
      </w:tr>
      <w:tr>
        <w:trPr>
          <w:trHeight w:val="297"/>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Updated our peer group of comparable companies for 2020 compensation planning purposes</w:t>
            </w:r>
          </w:p>
        </w:tc>
      </w:tr>
      <w:tr>
        <w:trPr>
          <w:trHeight w:val="297"/>
        </w:trPr>
        <w:tc>
          <w:tcPr>
            <w:tcW w:w="2660" w:type="dxa"/>
            <w:vAlign w:val="bottom"/>
            <w:tcBorders>
              <w:left w:val="single" w:sz="8" w:color="A0DBF9"/>
              <w:right w:val="single" w:sz="8" w:color="A0DBF9"/>
            </w:tcBorders>
            <w:shd w:val="clear" w:color="auto" w:fill="E2F4FC"/>
          </w:tcPr>
          <w:p>
            <w:pPr>
              <w:spacing w:after="0"/>
              <w:rPr>
                <w:sz w:val="24"/>
                <w:szCs w:val="24"/>
                <w:color w:val="auto"/>
              </w:rPr>
            </w:pPr>
          </w:p>
        </w:tc>
        <w:tc>
          <w:tcPr>
            <w:tcW w:w="83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Re-engaged Pearl Meyer as the Compensation Committee’s independent advisor</w:t>
            </w:r>
          </w:p>
        </w:tc>
      </w:tr>
      <w:tr>
        <w:trPr>
          <w:trHeight w:val="135"/>
        </w:trPr>
        <w:tc>
          <w:tcPr>
            <w:tcW w:w="2660" w:type="dxa"/>
            <w:vAlign w:val="bottom"/>
            <w:tcBorders>
              <w:left w:val="single" w:sz="8" w:color="A0DBF9"/>
              <w:bottom w:val="single" w:sz="8" w:color="A0DBF9"/>
              <w:right w:val="single" w:sz="8" w:color="A0DBF9"/>
            </w:tcBorders>
            <w:shd w:val="clear" w:color="auto" w:fill="E2F4FC"/>
          </w:tcPr>
          <w:p>
            <w:pPr>
              <w:spacing w:after="0"/>
              <w:rPr>
                <w:sz w:val="11"/>
                <w:szCs w:val="11"/>
                <w:color w:val="auto"/>
              </w:rPr>
            </w:pPr>
          </w:p>
        </w:tc>
        <w:tc>
          <w:tcPr>
            <w:tcW w:w="8380" w:type="dxa"/>
            <w:vAlign w:val="bottom"/>
            <w:tcBorders>
              <w:bottom w:val="single" w:sz="8" w:color="A0DBF9"/>
              <w:right w:val="single" w:sz="8" w:color="A0DBF9"/>
            </w:tcBorders>
            <w:shd w:val="clear" w:color="auto" w:fill="E2F4FC"/>
          </w:tcPr>
          <w:p>
            <w:pPr>
              <w:spacing w:after="0"/>
              <w:rPr>
                <w:sz w:val="11"/>
                <w:szCs w:val="11"/>
                <w:color w:val="auto"/>
              </w:rPr>
            </w:pPr>
          </w:p>
        </w:tc>
      </w:tr>
      <w:tr>
        <w:trPr>
          <w:trHeight w:val="358"/>
        </w:trPr>
        <w:tc>
          <w:tcPr>
            <w:tcW w:w="2660" w:type="dxa"/>
            <w:vAlign w:val="bottom"/>
          </w:tcPr>
          <w:p>
            <w:pPr>
              <w:spacing w:after="0"/>
              <w:rPr>
                <w:sz w:val="24"/>
                <w:szCs w:val="24"/>
                <w:color w:val="auto"/>
              </w:rPr>
            </w:pPr>
          </w:p>
        </w:tc>
        <w:tc>
          <w:tcPr>
            <w:tcW w:w="8380" w:type="dxa"/>
            <w:vAlign w:val="bottom"/>
          </w:tcPr>
          <w:p>
            <w:pPr>
              <w:ind w:left="2760"/>
              <w:spacing w:after="0"/>
              <w:rPr>
                <w:sz w:val="20"/>
                <w:szCs w:val="20"/>
                <w:color w:val="auto"/>
              </w:rPr>
            </w:pPr>
            <w:r>
              <w:rPr>
                <w:rFonts w:ascii="Arial" w:cs="Arial" w:eastAsia="Arial" w:hAnsi="Arial"/>
                <w:sz w:val="18"/>
                <w:szCs w:val="18"/>
                <w:color w:val="auto"/>
              </w:rPr>
              <w:t>28</w:t>
            </w:r>
          </w:p>
        </w:tc>
      </w:tr>
    </w:tbl>
    <w:p>
      <w:pPr>
        <w:sectPr>
          <w:pgSz w:w="11900" w:h="16838" w:orient="portrait"/>
          <w:cols w:equalWidth="0" w:num="1">
            <w:col w:w="11140"/>
          </w:cols>
          <w:pgMar w:left="320" w:top="459" w:right="4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Key Compensation Governance Attributes</w:t>
      </w:r>
    </w:p>
    <w:p>
      <w:pPr>
        <w:spacing w:after="0" w:line="121" w:lineRule="exact"/>
        <w:rPr>
          <w:sz w:val="20"/>
          <w:szCs w:val="20"/>
          <w:color w:val="auto"/>
        </w:rPr>
      </w:pPr>
    </w:p>
    <w:p>
      <w:pPr>
        <w:ind w:left="120" w:right="40" w:firstLine="440"/>
        <w:spacing w:after="0" w:line="277" w:lineRule="auto"/>
        <w:rPr>
          <w:sz w:val="20"/>
          <w:szCs w:val="20"/>
          <w:color w:val="auto"/>
        </w:rPr>
      </w:pPr>
      <w:r>
        <w:rPr>
          <w:rFonts w:ascii="Arial" w:cs="Arial" w:eastAsia="Arial" w:hAnsi="Arial"/>
          <w:sz w:val="18"/>
          <w:szCs w:val="18"/>
          <w:color w:val="auto"/>
        </w:rPr>
        <w:t>We believe that a sound executive compensation program is grounded in key governance practices. Below is a summary of what we consider to be the good governance features of our executive compensation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03415" cy="15430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003415" cy="154305"/>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p>
      <w:pPr>
        <w:spacing w:after="0" w:line="256" w:lineRule="exact"/>
        <w:rPr>
          <w:sz w:val="20"/>
          <w:szCs w:val="20"/>
          <w:color w:val="auto"/>
        </w:rPr>
      </w:pPr>
    </w:p>
    <w:p>
      <w:pPr>
        <w:jc w:val="center"/>
        <w:ind w:left="400"/>
        <w:spacing w:after="0"/>
        <w:rPr>
          <w:sz w:val="20"/>
          <w:szCs w:val="20"/>
          <w:color w:val="auto"/>
        </w:rPr>
      </w:pPr>
      <w:r>
        <w:rPr>
          <w:rFonts w:ascii="Arial" w:cs="Arial" w:eastAsia="Arial" w:hAnsi="Arial"/>
          <w:sz w:val="14"/>
          <w:szCs w:val="14"/>
          <w:b w:val="1"/>
          <w:bCs w:val="1"/>
          <w:color w:val="FFFFFF"/>
        </w:rPr>
        <w:t>What We Do</w:t>
      </w:r>
    </w:p>
    <w:p>
      <w:pPr>
        <w:spacing w:after="0" w:line="25" w:lineRule="exact"/>
        <w:rPr>
          <w:sz w:val="20"/>
          <w:szCs w:val="20"/>
          <w:color w:val="auto"/>
        </w:rPr>
      </w:pPr>
    </w:p>
    <w:p>
      <w:pPr>
        <w:ind w:left="780" w:hanging="327"/>
        <w:spacing w:after="0"/>
        <w:tabs>
          <w:tab w:leader="none" w:pos="780" w:val="left"/>
        </w:tabs>
        <w:numPr>
          <w:ilvl w:val="0"/>
          <w:numId w:val="28"/>
        </w:numPr>
        <w:rPr>
          <w:rFonts w:ascii="MS PGothic" w:cs="MS PGothic" w:eastAsia="MS PGothic" w:hAnsi="MS PGothic"/>
          <w:sz w:val="16"/>
          <w:szCs w:val="16"/>
          <w:color w:val="auto"/>
        </w:rPr>
      </w:pPr>
      <w:r>
        <w:rPr>
          <w:rFonts w:ascii="Arial" w:cs="Arial" w:eastAsia="Arial" w:hAnsi="Arial"/>
          <w:sz w:val="16"/>
          <w:szCs w:val="16"/>
          <w:color w:val="auto"/>
        </w:rPr>
        <w:t>Engage and consult with an independent compensation consultant</w:t>
      </w:r>
    </w:p>
    <w:p>
      <w:pPr>
        <w:spacing w:after="0" w:line="110" w:lineRule="exact"/>
        <w:rPr>
          <w:rFonts w:ascii="MS PGothic" w:cs="MS PGothic" w:eastAsia="MS PGothic" w:hAnsi="MS PGothic"/>
          <w:sz w:val="16"/>
          <w:szCs w:val="16"/>
          <w:color w:val="auto"/>
        </w:rPr>
      </w:pPr>
    </w:p>
    <w:p>
      <w:pPr>
        <w:ind w:left="780" w:hanging="327"/>
        <w:spacing w:after="0"/>
        <w:tabs>
          <w:tab w:leader="none" w:pos="7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Benchmark our pay practices for reasonableness</w:t>
      </w:r>
    </w:p>
    <w:p>
      <w:pPr>
        <w:spacing w:after="0" w:line="90" w:lineRule="exact"/>
        <w:rPr>
          <w:rFonts w:ascii="MS PGothic" w:cs="MS PGothic" w:eastAsia="MS PGothic" w:hAnsi="MS PGothic"/>
          <w:sz w:val="18"/>
          <w:szCs w:val="18"/>
          <w:color w:val="auto"/>
        </w:rPr>
      </w:pPr>
    </w:p>
    <w:p>
      <w:pPr>
        <w:ind w:left="820" w:hanging="367"/>
        <w:spacing w:after="0" w:line="263" w:lineRule="auto"/>
        <w:tabs>
          <w:tab w:leader="none" w:pos="789"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For all pay elements, target the median of the market, comprised of the compensation peer group described below and in specific circumstances, market data</w:t>
      </w:r>
    </w:p>
    <w:p>
      <w:pPr>
        <w:spacing w:after="0" w:line="48" w:lineRule="exact"/>
        <w:rPr>
          <w:rFonts w:ascii="MS PGothic" w:cs="MS PGothic" w:eastAsia="MS PGothic" w:hAnsi="MS PGothic"/>
          <w:sz w:val="18"/>
          <w:szCs w:val="18"/>
          <w:color w:val="auto"/>
        </w:rPr>
      </w:pPr>
    </w:p>
    <w:p>
      <w:pPr>
        <w:ind w:left="780" w:hanging="327"/>
        <w:spacing w:after="0"/>
        <w:tabs>
          <w:tab w:leader="none" w:pos="7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Have a maximum individual payout under our bonus plan</w:t>
      </w:r>
    </w:p>
    <w:p>
      <w:pPr>
        <w:spacing w:after="0" w:line="90" w:lineRule="exact"/>
        <w:rPr>
          <w:rFonts w:ascii="MS PGothic" w:cs="MS PGothic" w:eastAsia="MS PGothic" w:hAnsi="MS PGothic"/>
          <w:sz w:val="18"/>
          <w:szCs w:val="18"/>
          <w:color w:val="auto"/>
        </w:rPr>
      </w:pPr>
    </w:p>
    <w:p>
      <w:pPr>
        <w:ind w:left="780" w:hanging="327"/>
        <w:spacing w:after="0"/>
        <w:tabs>
          <w:tab w:leader="none" w:pos="7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Offer a defined contribution plan with Company match</w:t>
      </w:r>
    </w:p>
    <w:p>
      <w:pPr>
        <w:spacing w:after="0" w:line="90" w:lineRule="exact"/>
        <w:rPr>
          <w:rFonts w:ascii="MS PGothic" w:cs="MS PGothic" w:eastAsia="MS PGothic" w:hAnsi="MS PGothic"/>
          <w:sz w:val="18"/>
          <w:szCs w:val="18"/>
          <w:color w:val="auto"/>
        </w:rPr>
      </w:pPr>
    </w:p>
    <w:p>
      <w:pPr>
        <w:ind w:left="820" w:right="100" w:hanging="367"/>
        <w:spacing w:after="0" w:line="259" w:lineRule="auto"/>
        <w:tabs>
          <w:tab w:leader="none" w:pos="789"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stock ownership and retention guidelines that require non-employee directors and executives to retain half of vested equity grants (on an after-tax basis) until ownership requirements are met</w:t>
      </w:r>
    </w:p>
    <w:p>
      <w:pPr>
        <w:spacing w:after="0" w:line="51" w:lineRule="exact"/>
        <w:rPr>
          <w:rFonts w:ascii="MS PGothic" w:cs="MS PGothic" w:eastAsia="MS PGothic" w:hAnsi="MS PGothic"/>
          <w:sz w:val="18"/>
          <w:szCs w:val="18"/>
          <w:color w:val="auto"/>
        </w:rPr>
      </w:pPr>
    </w:p>
    <w:p>
      <w:pPr>
        <w:ind w:left="820" w:right="80" w:hanging="367"/>
        <w:spacing w:after="0" w:line="277" w:lineRule="auto"/>
        <w:tabs>
          <w:tab w:leader="none" w:pos="789"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Utilize “double-trigger” vesting on equity awards in the event of a change of control</w:t>
      </w:r>
    </w:p>
    <w:p>
      <w:pPr>
        <w:spacing w:after="0" w:line="35" w:lineRule="exact"/>
        <w:rPr>
          <w:rFonts w:ascii="MS PGothic" w:cs="MS PGothic" w:eastAsia="MS PGothic" w:hAnsi="MS PGothic"/>
          <w:sz w:val="18"/>
          <w:szCs w:val="18"/>
          <w:color w:val="auto"/>
        </w:rPr>
      </w:pPr>
    </w:p>
    <w:p>
      <w:pPr>
        <w:ind w:left="780" w:hanging="327"/>
        <w:spacing w:after="0"/>
        <w:tabs>
          <w:tab w:leader="none" w:pos="7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Maintain the ability to clawback compensation</w:t>
      </w:r>
    </w:p>
    <w:p>
      <w:pPr>
        <w:spacing w:after="0" w:line="90" w:lineRule="exact"/>
        <w:rPr>
          <w:rFonts w:ascii="MS PGothic" w:cs="MS PGothic" w:eastAsia="MS PGothic" w:hAnsi="MS PGothic"/>
          <w:sz w:val="18"/>
          <w:szCs w:val="18"/>
          <w:color w:val="auto"/>
        </w:rPr>
      </w:pPr>
    </w:p>
    <w:p>
      <w:pPr>
        <w:ind w:left="780" w:hanging="327"/>
        <w:spacing w:after="0"/>
        <w:tabs>
          <w:tab w:leader="none" w:pos="780" w:val="left"/>
        </w:tabs>
        <w:numPr>
          <w:ilvl w:val="0"/>
          <w:numId w:val="28"/>
        </w:numPr>
        <w:rPr>
          <w:rFonts w:ascii="MS PGothic" w:cs="MS PGothic" w:eastAsia="MS PGothic" w:hAnsi="MS PGothic"/>
          <w:sz w:val="18"/>
          <w:szCs w:val="18"/>
          <w:color w:val="auto"/>
        </w:rPr>
      </w:pPr>
      <w:r>
        <w:rPr>
          <w:rFonts w:ascii="Arial" w:cs="Arial" w:eastAsia="Arial" w:hAnsi="Arial"/>
          <w:sz w:val="18"/>
          <w:szCs w:val="18"/>
          <w:color w:val="auto"/>
        </w:rPr>
        <w:t>Perform a risk assessment of our pay program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-2453640</wp:posOffset>
            </wp:positionV>
            <wp:extent cx="7003415" cy="25628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003415" cy="25628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6" w:lineRule="exact"/>
        <w:rPr>
          <w:sz w:val="20"/>
          <w:szCs w:val="20"/>
          <w:color w:val="auto"/>
        </w:rPr>
      </w:pPr>
    </w:p>
    <w:p>
      <w:pPr>
        <w:ind w:left="1979"/>
        <w:spacing w:after="0"/>
        <w:rPr>
          <w:sz w:val="20"/>
          <w:szCs w:val="20"/>
          <w:color w:val="auto"/>
        </w:rPr>
      </w:pPr>
      <w:r>
        <w:rPr>
          <w:rFonts w:ascii="Arial" w:cs="Arial" w:eastAsia="Arial" w:hAnsi="Arial"/>
          <w:sz w:val="14"/>
          <w:szCs w:val="14"/>
          <w:b w:val="1"/>
          <w:bCs w:val="1"/>
          <w:color w:val="FFFFFF"/>
        </w:rPr>
        <w:t>What We Don’t 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-86995</wp:posOffset>
            </wp:positionV>
            <wp:extent cx="3429000" cy="1117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3429000" cy="111760"/>
                    </a:xfrm>
                    <a:prstGeom prst="rect">
                      <a:avLst/>
                    </a:prstGeom>
                    <a:noFill/>
                  </pic:spPr>
                </pic:pic>
              </a:graphicData>
            </a:graphic>
          </wp:anchor>
        </w:drawing>
      </w:r>
    </w:p>
    <w:p>
      <w:pPr>
        <w:spacing w:after="0" w:line="7" w:lineRule="exact"/>
        <w:rPr>
          <w:sz w:val="20"/>
          <w:szCs w:val="20"/>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guaranteed salary increases</w:t>
      </w:r>
    </w:p>
    <w:p>
      <w:pPr>
        <w:spacing w:after="0" w:line="93" w:lineRule="exact"/>
        <w:rPr>
          <w:rFonts w:ascii="Arial" w:cs="Arial" w:eastAsia="Arial" w:hAnsi="Arial"/>
          <w:sz w:val="22"/>
          <w:szCs w:val="22"/>
          <w:b w:val="1"/>
          <w:bCs w:val="1"/>
          <w:i w:val="1"/>
          <w:iCs w:val="1"/>
          <w:color w:val="auto"/>
        </w:rPr>
      </w:pPr>
    </w:p>
    <w:p>
      <w:pPr>
        <w:ind w:left="359" w:right="160" w:hanging="359"/>
        <w:spacing w:after="0" w:line="232" w:lineRule="auto"/>
        <w:tabs>
          <w:tab w:leader="none" w:pos="313"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executive perquisites, with the exception of reimbursement of relocation expenses when necessary</w:t>
      </w:r>
    </w:p>
    <w:p>
      <w:pPr>
        <w:spacing w:after="0" w:line="72" w:lineRule="exact"/>
        <w:rPr>
          <w:rFonts w:ascii="Arial" w:cs="Arial" w:eastAsia="Arial" w:hAnsi="Arial"/>
          <w:sz w:val="22"/>
          <w:szCs w:val="22"/>
          <w:b w:val="1"/>
          <w:bCs w:val="1"/>
          <w:i w:val="1"/>
          <w:iCs w:val="1"/>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defined benefit pension plans</w:t>
      </w:r>
    </w:p>
    <w:p>
      <w:pPr>
        <w:spacing w:after="0" w:line="71" w:lineRule="exact"/>
        <w:rPr>
          <w:rFonts w:ascii="Arial" w:cs="Arial" w:eastAsia="Arial" w:hAnsi="Arial"/>
          <w:sz w:val="22"/>
          <w:szCs w:val="22"/>
          <w:b w:val="1"/>
          <w:bCs w:val="1"/>
          <w:i w:val="1"/>
          <w:iCs w:val="1"/>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gross-ups on excise taxes</w:t>
      </w:r>
    </w:p>
    <w:p>
      <w:pPr>
        <w:spacing w:after="0" w:line="71" w:lineRule="exact"/>
        <w:rPr>
          <w:rFonts w:ascii="Arial" w:cs="Arial" w:eastAsia="Arial" w:hAnsi="Arial"/>
          <w:sz w:val="22"/>
          <w:szCs w:val="22"/>
          <w:b w:val="1"/>
          <w:bCs w:val="1"/>
          <w:i w:val="1"/>
          <w:iCs w:val="1"/>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post-employment benefit plans</w:t>
      </w:r>
    </w:p>
    <w:p>
      <w:pPr>
        <w:spacing w:after="0" w:line="71" w:lineRule="exact"/>
        <w:rPr>
          <w:rFonts w:ascii="Arial" w:cs="Arial" w:eastAsia="Arial" w:hAnsi="Arial"/>
          <w:sz w:val="22"/>
          <w:szCs w:val="22"/>
          <w:b w:val="1"/>
          <w:bCs w:val="1"/>
          <w:i w:val="1"/>
          <w:iCs w:val="1"/>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hedging or pledging of Company stock</w:t>
      </w:r>
    </w:p>
    <w:p>
      <w:pPr>
        <w:spacing w:after="0" w:line="71" w:lineRule="exact"/>
        <w:rPr>
          <w:rFonts w:ascii="Arial" w:cs="Arial" w:eastAsia="Arial" w:hAnsi="Arial"/>
          <w:sz w:val="22"/>
          <w:szCs w:val="22"/>
          <w:b w:val="1"/>
          <w:bCs w:val="1"/>
          <w:i w:val="1"/>
          <w:iCs w:val="1"/>
          <w:color w:val="auto"/>
        </w:rPr>
      </w:pPr>
    </w:p>
    <w:p>
      <w:pPr>
        <w:ind w:left="319" w:hanging="319"/>
        <w:spacing w:after="0"/>
        <w:tabs>
          <w:tab w:leader="none" w:pos="319" w:val="left"/>
        </w:tabs>
        <w:numPr>
          <w:ilvl w:val="0"/>
          <w:numId w:val="29"/>
        </w:numPr>
        <w:rPr>
          <w:rFonts w:ascii="Arial" w:cs="Arial" w:eastAsia="Arial" w:hAnsi="Arial"/>
          <w:sz w:val="22"/>
          <w:szCs w:val="22"/>
          <w:b w:val="1"/>
          <w:bCs w:val="1"/>
          <w:i w:val="1"/>
          <w:iCs w:val="1"/>
          <w:color w:val="auto"/>
        </w:rPr>
      </w:pPr>
      <w:r>
        <w:rPr>
          <w:rFonts w:ascii="Arial" w:cs="Arial" w:eastAsia="Arial" w:hAnsi="Arial"/>
          <w:sz w:val="18"/>
          <w:szCs w:val="18"/>
          <w:color w:val="auto"/>
        </w:rPr>
        <w:t>No history of repricing stock options</w:t>
      </w:r>
    </w:p>
    <w:p>
      <w:pPr>
        <w:spacing w:after="0" w:line="1661" w:lineRule="exact"/>
        <w:rPr>
          <w:sz w:val="20"/>
          <w:szCs w:val="20"/>
          <w:color w:val="auto"/>
        </w:rPr>
      </w:pPr>
    </w:p>
    <w:p>
      <w:pPr>
        <w:sectPr>
          <w:pgSz w:w="11900" w:h="16838" w:orient="portrait"/>
          <w:cols w:equalWidth="0" w:num="2">
            <w:col w:w="5620" w:space="341"/>
            <w:col w:w="5179"/>
          </w:cols>
          <w:pgMar w:left="320" w:top="459" w:right="439" w:bottom="1440" w:gutter="0" w:footer="0" w:header="0"/>
          <w:type w:val="continuous"/>
        </w:sectPr>
      </w:pPr>
    </w:p>
    <w:p>
      <w:pPr>
        <w:spacing w:after="0" w:line="316" w:lineRule="exact"/>
        <w:rPr>
          <w:sz w:val="20"/>
          <w:szCs w:val="20"/>
          <w:color w:val="auto"/>
        </w:rPr>
      </w:pPr>
    </w:p>
    <w:tbl>
      <w:tblPr>
        <w:tblLayout w:type="fixed"/>
        <w:tblInd w:w="130" w:type="dxa"/>
        <w:tblCellMar>
          <w:top w:w="0" w:type="dxa"/>
          <w:left w:w="0" w:type="dxa"/>
          <w:bottom w:w="0" w:type="dxa"/>
          <w:right w:w="0" w:type="dxa"/>
        </w:tblCellMar>
      </w:tblPr>
      <w:tr>
        <w:trPr>
          <w:trHeight w:val="351"/>
        </w:trPr>
        <w:tc>
          <w:tcPr>
            <w:tcW w:w="2320" w:type="dxa"/>
            <w:vAlign w:val="bottom"/>
            <w:tcBorders>
              <w:top w:val="single" w:sz="8" w:color="auto"/>
              <w:left w:val="single" w:sz="8" w:color="auto"/>
            </w:tcBorders>
          </w:tcPr>
          <w:p>
            <w:pPr>
              <w:ind w:left="460"/>
              <w:spacing w:after="0"/>
              <w:rPr>
                <w:sz w:val="20"/>
                <w:szCs w:val="20"/>
                <w:color w:val="auto"/>
              </w:rPr>
            </w:pPr>
            <w:r>
              <w:rPr>
                <w:rFonts w:ascii="Arial" w:cs="Arial" w:eastAsia="Arial" w:hAnsi="Arial"/>
                <w:sz w:val="18"/>
                <w:szCs w:val="18"/>
                <w:b w:val="1"/>
                <w:bCs w:val="1"/>
                <w:color w:val="auto"/>
              </w:rPr>
              <w:t>Executive Summary</w:t>
            </w:r>
          </w:p>
        </w:tc>
        <w:tc>
          <w:tcPr>
            <w:tcW w:w="2780" w:type="dxa"/>
            <w:vAlign w:val="bottom"/>
            <w:tcBorders>
              <w:top w:val="single" w:sz="8" w:color="auto"/>
            </w:tcBorders>
            <w:shd w:val="clear" w:color="auto" w:fill="000000"/>
          </w:tcPr>
          <w:p>
            <w:pPr>
              <w:ind w:left="560"/>
              <w:spacing w:after="0"/>
              <w:rPr>
                <w:sz w:val="20"/>
                <w:szCs w:val="20"/>
                <w:color w:val="auto"/>
              </w:rPr>
            </w:pPr>
            <w:r>
              <w:rPr>
                <w:rFonts w:ascii="Arial" w:cs="Arial" w:eastAsia="Arial" w:hAnsi="Arial"/>
                <w:sz w:val="18"/>
                <w:szCs w:val="18"/>
                <w:b w:val="1"/>
                <w:bCs w:val="1"/>
                <w:color w:val="FFFFFF"/>
              </w:rPr>
              <w:t>Philosophy &amp; Program</w:t>
            </w:r>
          </w:p>
        </w:tc>
        <w:tc>
          <w:tcPr>
            <w:tcW w:w="1980" w:type="dxa"/>
            <w:vAlign w:val="bottom"/>
            <w:tcBorders>
              <w:top w:val="single" w:sz="8" w:color="auto"/>
              <w:right w:val="single" w:sz="8" w:color="auto"/>
            </w:tcBorders>
          </w:tcPr>
          <w:p>
            <w:pPr>
              <w:ind w:left="760"/>
              <w:spacing w:after="0"/>
              <w:rPr>
                <w:sz w:val="20"/>
                <w:szCs w:val="20"/>
                <w:color w:val="auto"/>
              </w:rPr>
            </w:pPr>
            <w:r>
              <w:rPr>
                <w:rFonts w:ascii="Arial" w:cs="Arial" w:eastAsia="Arial" w:hAnsi="Arial"/>
                <w:sz w:val="18"/>
                <w:szCs w:val="18"/>
                <w:b w:val="1"/>
                <w:bCs w:val="1"/>
                <w:color w:val="auto"/>
              </w:rPr>
              <w:t>Process</w:t>
            </w:r>
          </w:p>
        </w:tc>
        <w:tc>
          <w:tcPr>
            <w:tcW w:w="19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Decisions</w:t>
            </w:r>
          </w:p>
        </w:tc>
        <w:tc>
          <w:tcPr>
            <w:tcW w:w="19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Other</w:t>
            </w:r>
          </w:p>
        </w:tc>
      </w:tr>
      <w:tr>
        <w:trPr>
          <w:trHeight w:val="162"/>
        </w:trPr>
        <w:tc>
          <w:tcPr>
            <w:tcW w:w="2320" w:type="dxa"/>
            <w:vAlign w:val="bottom"/>
            <w:tcBorders>
              <w:left w:val="single" w:sz="8" w:color="auto"/>
              <w:bottom w:val="single" w:sz="8" w:color="auto"/>
            </w:tcBorders>
          </w:tcPr>
          <w:p>
            <w:pPr>
              <w:spacing w:after="0"/>
              <w:rPr>
                <w:sz w:val="14"/>
                <w:szCs w:val="14"/>
                <w:color w:val="auto"/>
              </w:rPr>
            </w:pPr>
          </w:p>
        </w:tc>
        <w:tc>
          <w:tcPr>
            <w:tcW w:w="2780" w:type="dxa"/>
            <w:vAlign w:val="bottom"/>
            <w:tcBorders>
              <w:bottom w:val="single" w:sz="8" w:color="auto"/>
            </w:tcBorders>
            <w:shd w:val="clear" w:color="auto" w:fill="000000"/>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section describes our overall compensation philosophy and executive compensation program.</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Philosophy</w:t>
      </w:r>
    </w:p>
    <w:p>
      <w:pPr>
        <w:spacing w:after="0" w:line="121" w:lineRule="exact"/>
        <w:rPr>
          <w:sz w:val="20"/>
          <w:szCs w:val="20"/>
          <w:color w:val="auto"/>
        </w:rPr>
      </w:pPr>
    </w:p>
    <w:p>
      <w:pPr>
        <w:ind w:left="120" w:right="440" w:firstLine="440"/>
        <w:spacing w:after="0" w:line="286" w:lineRule="auto"/>
        <w:rPr>
          <w:sz w:val="20"/>
          <w:szCs w:val="20"/>
          <w:color w:val="auto"/>
        </w:rPr>
      </w:pPr>
      <w:r>
        <w:rPr>
          <w:rFonts w:ascii="Arial" w:cs="Arial" w:eastAsia="Arial" w:hAnsi="Arial"/>
          <w:sz w:val="17"/>
          <w:szCs w:val="17"/>
          <w:color w:val="auto"/>
        </w:rPr>
        <w:t>The core philosophy of our executive compensation program is to support our primary objective of providing innovative medical products to improve the diagnosis and treatment of human disease, while enhancing our long-term value to our stockholders. Specifically, the Compensation Committee believes the most effective executive compensation program for all executives, including NEOs:</w:t>
      </w:r>
    </w:p>
    <w:p>
      <w:pPr>
        <w:spacing w:after="0" w:line="71" w:lineRule="exact"/>
        <w:rPr>
          <w:sz w:val="20"/>
          <w:szCs w:val="20"/>
          <w:color w:val="auto"/>
        </w:rPr>
      </w:pPr>
    </w:p>
    <w:p>
      <w:pPr>
        <w:ind w:left="1080" w:right="260" w:hanging="424"/>
        <w:spacing w:after="0" w:line="277"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enables us to attract, motivate and retain the level of successful, qualified executive leadership talent necessary to achieve our long-term goals;</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aligns the economic interests of our executives with those of our stockholders;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rewards Company and individual performance;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is well understood and perceived as fundamentally fair to all stakeholders, including participants and stockholders.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459" w:right="439" w:bottom="1440" w:gutter="0" w:footer="0" w:header="0"/>
          <w:type w:val="continuous"/>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60" w:firstLine="440"/>
        <w:spacing w:after="0" w:line="286" w:lineRule="auto"/>
        <w:rPr>
          <w:sz w:val="20"/>
          <w:szCs w:val="20"/>
          <w:color w:val="auto"/>
        </w:rPr>
      </w:pPr>
      <w:r>
        <w:rPr>
          <w:rFonts w:ascii="Arial" w:cs="Arial" w:eastAsia="Arial" w:hAnsi="Arial"/>
          <w:sz w:val="17"/>
          <w:szCs w:val="17"/>
          <w:color w:val="auto"/>
        </w:rPr>
        <w:t>While we do not target any specific mix of compensation, it is our intent to have a significant portion of total compensation be variable in nature to promote a pay-for-performance culture. Further, the Compensation Committee is committed to a program that contains a strong link between achieving our financial and strategic goals and compensation earned or awarded to further support this culture.</w:t>
      </w:r>
    </w:p>
    <w:p>
      <w:pPr>
        <w:spacing w:after="0" w:line="165" w:lineRule="exact"/>
        <w:rPr>
          <w:sz w:val="20"/>
          <w:szCs w:val="20"/>
          <w:color w:val="auto"/>
        </w:rPr>
      </w:pPr>
    </w:p>
    <w:p>
      <w:pPr>
        <w:ind w:left="120" w:firstLine="440"/>
        <w:spacing w:after="0" w:line="342" w:lineRule="auto"/>
        <w:rPr>
          <w:sz w:val="20"/>
          <w:szCs w:val="20"/>
          <w:color w:val="auto"/>
        </w:rPr>
      </w:pPr>
      <w:r>
        <w:rPr>
          <w:rFonts w:ascii="Arial" w:cs="Arial" w:eastAsia="Arial" w:hAnsi="Arial"/>
          <w:sz w:val="16"/>
          <w:szCs w:val="16"/>
          <w:color w:val="auto"/>
        </w:rPr>
        <w:t>Consistent with our compensation philosophy, it is generally our policy to not extend significant perquisites to our executives that are not available to all of our employees. We may reimburse relocation-related expenses for individual employees, which may include NEOs, when warranted.</w:t>
      </w:r>
    </w:p>
    <w:p>
      <w:pPr>
        <w:spacing w:after="0" w:line="124" w:lineRule="exact"/>
        <w:rPr>
          <w:sz w:val="20"/>
          <w:szCs w:val="20"/>
          <w:color w:val="auto"/>
        </w:rPr>
      </w:pPr>
    </w:p>
    <w:p>
      <w:pPr>
        <w:ind w:left="120" w:right="20" w:firstLine="440"/>
        <w:spacing w:after="0" w:line="275" w:lineRule="auto"/>
        <w:rPr>
          <w:sz w:val="20"/>
          <w:szCs w:val="20"/>
          <w:color w:val="auto"/>
        </w:rPr>
      </w:pPr>
      <w:r>
        <w:rPr>
          <w:rFonts w:ascii="Arial" w:cs="Arial" w:eastAsia="Arial" w:hAnsi="Arial"/>
          <w:sz w:val="17"/>
          <w:szCs w:val="17"/>
          <w:color w:val="auto"/>
        </w:rPr>
        <w:t>Our compensation philosophy allows for flexibility in establishing compensation levels and pay mix for executives. This flexibility is important to ensure our executive compensation program is competitive and that our compensation decisions appropriately reflect the unique contributions and characteristics of our executive officers. The CEO’s target compensation has a greater emphasis on variable compensation than that of the other NEOs because her actions have a greater influence on the performance of the Company as a whole. For all NEOs, the mix of target compensation elements is heavily weighted toward variable compensation with a balanced focus on strategic, financial and stock performance.</w:t>
      </w:r>
    </w:p>
    <w:p>
      <w:pPr>
        <w:spacing w:after="0" w:line="17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Compensation Committee considers the following factors when determining compensation for our executive officers, including our NEOs:</w:t>
      </w:r>
    </w:p>
    <w:p>
      <w:pPr>
        <w:spacing w:after="0" w:line="154" w:lineRule="exact"/>
        <w:rPr>
          <w:sz w:val="20"/>
          <w:szCs w:val="20"/>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executive’s individual performance during the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his or her projected role and responsibilities for the coming year;</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his or her actual and potential impact on the successful execution of our strategy;</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recommendations from our President and CEO and independent compensation consultant;</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requirements of any applicable employment agreements;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relative pay among the executive officers;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market conditions and compensation practices.</w:t>
      </w:r>
    </w:p>
    <w:p>
      <w:pPr>
        <w:spacing w:after="0" w:line="225"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weighting of these and other relevant factors is determined on an individual basis for each executive after consideration of the relevant facts and circumstances.</w:t>
      </w:r>
    </w:p>
    <w:p>
      <w:pPr>
        <w:spacing w:after="0" w:line="170" w:lineRule="exact"/>
        <w:rPr>
          <w:sz w:val="20"/>
          <w:szCs w:val="20"/>
          <w:color w:val="auto"/>
        </w:rPr>
      </w:pPr>
    </w:p>
    <w:p>
      <w:pPr>
        <w:ind w:left="120" w:right="20" w:firstLine="440"/>
        <w:spacing w:after="0" w:line="263" w:lineRule="auto"/>
        <w:rPr>
          <w:sz w:val="20"/>
          <w:szCs w:val="20"/>
          <w:color w:val="auto"/>
        </w:rPr>
      </w:pPr>
      <w:r>
        <w:rPr>
          <w:rFonts w:ascii="Arial" w:cs="Arial" w:eastAsia="Arial" w:hAnsi="Arial"/>
          <w:sz w:val="18"/>
          <w:szCs w:val="18"/>
          <w:color w:val="auto"/>
        </w:rPr>
        <w:t>The Compensation Committee targets the 50th percentile of the market for target compensation opportunities, but reserves the right to compensate NEOs above or below that level based on the factors identified above. Further, actual compensation earned can be greater or less than target compensation based on Company and individual performance.</w:t>
      </w:r>
    </w:p>
    <w:p>
      <w:pPr>
        <w:spacing w:after="0" w:line="11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120"/>
          </w:cols>
          <w:pgMar w:left="320" w:top="459" w:right="4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Program</w:t>
      </w:r>
    </w:p>
    <w:p>
      <w:pPr>
        <w:spacing w:after="0" w:line="121" w:lineRule="exact"/>
        <w:rPr>
          <w:sz w:val="20"/>
          <w:szCs w:val="20"/>
          <w:color w:val="auto"/>
        </w:rPr>
      </w:pPr>
    </w:p>
    <w:p>
      <w:pPr>
        <w:ind w:left="120" w:right="120" w:firstLine="440"/>
        <w:spacing w:after="0" w:line="255" w:lineRule="auto"/>
        <w:rPr>
          <w:sz w:val="20"/>
          <w:szCs w:val="20"/>
          <w:color w:val="auto"/>
        </w:rPr>
      </w:pPr>
      <w:r>
        <w:rPr>
          <w:rFonts w:ascii="Arial" w:cs="Arial" w:eastAsia="Arial" w:hAnsi="Arial"/>
          <w:sz w:val="18"/>
          <w:szCs w:val="18"/>
          <w:color w:val="auto"/>
        </w:rPr>
        <w:t>Our executive compensation program is designed to achieve several important objectives, which we articulate in our compensation philosophy above. We accomplish this through different compensation elements, each with its own purpose, operation, and timing. Although the Compensation Committee has established a cadence for setting and re-evaluating compensation levels and granting awards, the Compensation Committee has the flexibility to adjust compensation or grant awards outside of the typical process in order to support or achieve our compensation objectives. Below is a summary of each of the primary elements of our executive compensation program, the purpose of each such element, and the general timing when each element is adjusted or awards are granted, as applicable.</w:t>
      </w:r>
    </w:p>
    <w:p>
      <w:pPr>
        <w:spacing w:after="0" w:line="234" w:lineRule="exact"/>
        <w:rPr>
          <w:sz w:val="20"/>
          <w:szCs w:val="20"/>
          <w:color w:val="auto"/>
        </w:rPr>
      </w:pPr>
    </w:p>
    <w:tbl>
      <w:tblPr>
        <w:tblLayout w:type="fixed"/>
        <w:tblInd w:w="130" w:type="dxa"/>
        <w:tblCellMar>
          <w:top w:w="0" w:type="dxa"/>
          <w:left w:w="0" w:type="dxa"/>
          <w:bottom w:w="0" w:type="dxa"/>
          <w:right w:w="0" w:type="dxa"/>
        </w:tblCellMar>
      </w:tblPr>
      <w:tr>
        <w:trPr>
          <w:trHeight w:val="231"/>
        </w:trPr>
        <w:tc>
          <w:tcPr>
            <w:tcW w:w="2660" w:type="dxa"/>
            <w:vAlign w:val="bottom"/>
            <w:tcBorders>
              <w:left w:val="single" w:sz="8" w:color="5EB5FC"/>
              <w:right w:val="single" w:sz="8" w:color="5EB5FC"/>
            </w:tcBorders>
            <w:shd w:val="clear" w:color="auto" w:fill="5EB5FC"/>
          </w:tcPr>
          <w:p>
            <w:pPr>
              <w:ind w:left="1140"/>
              <w:spacing w:after="0"/>
              <w:rPr>
                <w:sz w:val="20"/>
                <w:szCs w:val="20"/>
                <w:color w:val="auto"/>
              </w:rPr>
            </w:pPr>
            <w:r>
              <w:rPr>
                <w:rFonts w:ascii="Arial" w:cs="Arial" w:eastAsia="Arial" w:hAnsi="Arial"/>
                <w:sz w:val="14"/>
                <w:szCs w:val="14"/>
                <w:b w:val="1"/>
                <w:bCs w:val="1"/>
                <w:color w:val="FFFFFF"/>
              </w:rPr>
              <w:t>Element</w:t>
            </w:r>
          </w:p>
        </w:tc>
        <w:tc>
          <w:tcPr>
            <w:tcW w:w="3420" w:type="dxa"/>
            <w:vAlign w:val="bottom"/>
            <w:tcBorders>
              <w:right w:val="single" w:sz="8" w:color="5EB5FC"/>
            </w:tcBorders>
            <w:shd w:val="clear" w:color="auto" w:fill="5EB5FC"/>
          </w:tcPr>
          <w:p>
            <w:pPr>
              <w:ind w:left="1500"/>
              <w:spacing w:after="0"/>
              <w:rPr>
                <w:sz w:val="20"/>
                <w:szCs w:val="20"/>
                <w:color w:val="auto"/>
              </w:rPr>
            </w:pPr>
            <w:r>
              <w:rPr>
                <w:rFonts w:ascii="Arial" w:cs="Arial" w:eastAsia="Arial" w:hAnsi="Arial"/>
                <w:sz w:val="14"/>
                <w:szCs w:val="14"/>
                <w:b w:val="1"/>
                <w:bCs w:val="1"/>
                <w:color w:val="FFFFFF"/>
              </w:rPr>
              <w:t>Purpose</w:t>
            </w:r>
          </w:p>
        </w:tc>
        <w:tc>
          <w:tcPr>
            <w:tcW w:w="4960" w:type="dxa"/>
            <w:vAlign w:val="bottom"/>
            <w:tcBorders>
              <w:right w:val="single" w:sz="8" w:color="5EB5FC"/>
            </w:tcBorders>
            <w:shd w:val="clear" w:color="auto" w:fill="5EB5FC"/>
          </w:tcPr>
          <w:p>
            <w:pPr>
              <w:ind w:left="2260"/>
              <w:spacing w:after="0"/>
              <w:rPr>
                <w:sz w:val="20"/>
                <w:szCs w:val="20"/>
                <w:color w:val="auto"/>
              </w:rPr>
            </w:pPr>
            <w:r>
              <w:rPr>
                <w:rFonts w:ascii="Arial" w:cs="Arial" w:eastAsia="Arial" w:hAnsi="Arial"/>
                <w:sz w:val="14"/>
                <w:szCs w:val="14"/>
                <w:b w:val="1"/>
                <w:bCs w:val="1"/>
                <w:color w:val="FFFFFF"/>
              </w:rPr>
              <w:t>Timing</w:t>
            </w:r>
          </w:p>
        </w:tc>
        <w:tc>
          <w:tcPr>
            <w:tcW w:w="0" w:type="dxa"/>
            <w:vAlign w:val="bottom"/>
          </w:tcPr>
          <w:p>
            <w:pPr>
              <w:spacing w:after="0"/>
              <w:rPr>
                <w:sz w:val="1"/>
                <w:szCs w:val="1"/>
                <w:color w:val="auto"/>
              </w:rPr>
            </w:pPr>
          </w:p>
        </w:tc>
      </w:tr>
      <w:tr>
        <w:trPr>
          <w:trHeight w:val="93"/>
        </w:trPr>
        <w:tc>
          <w:tcPr>
            <w:tcW w:w="2660" w:type="dxa"/>
            <w:vAlign w:val="bottom"/>
            <w:tcBorders>
              <w:left w:val="single" w:sz="8" w:color="5EB5FC"/>
              <w:right w:val="single" w:sz="8" w:color="5EB5FC"/>
            </w:tcBorders>
            <w:shd w:val="clear" w:color="auto" w:fill="5EB5FC"/>
          </w:tcPr>
          <w:p>
            <w:pPr>
              <w:spacing w:after="0"/>
              <w:rPr>
                <w:sz w:val="8"/>
                <w:szCs w:val="8"/>
                <w:color w:val="auto"/>
              </w:rPr>
            </w:pPr>
          </w:p>
        </w:tc>
        <w:tc>
          <w:tcPr>
            <w:tcW w:w="3420" w:type="dxa"/>
            <w:vAlign w:val="bottom"/>
            <w:tcBorders>
              <w:right w:val="single" w:sz="8" w:color="5EB5FC"/>
            </w:tcBorders>
            <w:shd w:val="clear" w:color="auto" w:fill="5EB5FC"/>
          </w:tcPr>
          <w:p>
            <w:pPr>
              <w:spacing w:after="0"/>
              <w:rPr>
                <w:sz w:val="8"/>
                <w:szCs w:val="8"/>
                <w:color w:val="auto"/>
              </w:rPr>
            </w:pPr>
          </w:p>
        </w:tc>
        <w:tc>
          <w:tcPr>
            <w:tcW w:w="496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02"/>
        </w:trPr>
        <w:tc>
          <w:tcPr>
            <w:tcW w:w="2660" w:type="dxa"/>
            <w:vAlign w:val="bottom"/>
            <w:tcBorders>
              <w:left w:val="single" w:sz="8" w:color="A0DBF9"/>
              <w:right w:val="single" w:sz="8" w:color="A0DBF9"/>
            </w:tcBorders>
            <w:shd w:val="clear" w:color="auto" w:fill="E2F4FC"/>
          </w:tcPr>
          <w:p>
            <w:pPr>
              <w:spacing w:after="0"/>
              <w:rPr>
                <w:sz w:val="17"/>
                <w:szCs w:val="17"/>
                <w:color w:val="auto"/>
              </w:rPr>
            </w:pPr>
          </w:p>
        </w:tc>
        <w:tc>
          <w:tcPr>
            <w:tcW w:w="3420" w:type="dxa"/>
            <w:vAlign w:val="bottom"/>
            <w:tcBorders>
              <w:right w:val="single" w:sz="8" w:color="A0DBF9"/>
            </w:tcBorders>
            <w:shd w:val="clear" w:color="auto" w:fill="E2F4FC"/>
          </w:tcPr>
          <w:p>
            <w:pPr>
              <w:ind w:left="100"/>
              <w:spacing w:after="0" w:line="201" w:lineRule="exact"/>
              <w:rPr>
                <w:sz w:val="20"/>
                <w:szCs w:val="20"/>
                <w:color w:val="auto"/>
              </w:rPr>
            </w:pPr>
            <w:r>
              <w:rPr>
                <w:rFonts w:ascii="Arial" w:cs="Arial" w:eastAsia="Arial" w:hAnsi="Arial"/>
                <w:sz w:val="18"/>
                <w:szCs w:val="18"/>
                <w:color w:val="auto"/>
                <w:w w:val="93"/>
              </w:rPr>
              <w:t>Fixed amount to attract and retain executive</w:t>
            </w:r>
          </w:p>
        </w:tc>
        <w:tc>
          <w:tcPr>
            <w:tcW w:w="4960" w:type="dxa"/>
            <w:vAlign w:val="bottom"/>
            <w:tcBorders>
              <w:right w:val="single" w:sz="8" w:color="A0DBF9"/>
            </w:tcBorders>
            <w:shd w:val="clear" w:color="auto" w:fill="E2F4FC"/>
          </w:tcPr>
          <w:p>
            <w:pPr>
              <w:ind w:left="80"/>
              <w:spacing w:after="0" w:line="201" w:lineRule="exact"/>
              <w:rPr>
                <w:sz w:val="20"/>
                <w:szCs w:val="20"/>
                <w:color w:val="auto"/>
              </w:rPr>
            </w:pPr>
            <w:r>
              <w:rPr>
                <w:rFonts w:ascii="Arial" w:cs="Arial" w:eastAsia="Arial" w:hAnsi="Arial"/>
                <w:sz w:val="18"/>
                <w:szCs w:val="18"/>
                <w:color w:val="auto"/>
                <w:w w:val="93"/>
              </w:rPr>
              <w:t>Initial base salaries are set at the time of hire, and adjustments to</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vMerge w:val="restart"/>
            <w:shd w:val="clear" w:color="auto" w:fill="E2F4FC"/>
          </w:tcPr>
          <w:p>
            <w:pPr>
              <w:ind w:left="240"/>
              <w:spacing w:after="0"/>
              <w:rPr>
                <w:sz w:val="20"/>
                <w:szCs w:val="20"/>
                <w:color w:val="auto"/>
              </w:rPr>
            </w:pPr>
            <w:r>
              <w:rPr>
                <w:rFonts w:ascii="Arial" w:cs="Arial" w:eastAsia="Arial" w:hAnsi="Arial"/>
                <w:sz w:val="18"/>
                <w:szCs w:val="18"/>
                <w:b w:val="1"/>
                <w:bCs w:val="1"/>
                <w:color w:val="auto"/>
              </w:rPr>
              <w:t>Base Salary</w:t>
            </w: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rPr>
              <w:t>talent needed to achieve our Company</w:t>
            </w:r>
          </w:p>
        </w:tc>
        <w:tc>
          <w:tcPr>
            <w:tcW w:w="4960" w:type="dxa"/>
            <w:vAlign w:val="bottom"/>
            <w:tcBorders>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w w:val="93"/>
              </w:rPr>
              <w:t>base salaries are considered in the first quarter of each year after</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vMerge w:val="continue"/>
            <w:shd w:val="clear" w:color="auto" w:fill="E2F4FC"/>
          </w:tcPr>
          <w:p>
            <w:pPr>
              <w:spacing w:after="0"/>
              <w:rPr>
                <w:sz w:val="18"/>
                <w:szCs w:val="18"/>
                <w:color w:val="auto"/>
              </w:rPr>
            </w:pP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rPr>
              <w:t>objectives and strategy.</w:t>
            </w:r>
          </w:p>
        </w:tc>
        <w:tc>
          <w:tcPr>
            <w:tcW w:w="4960" w:type="dxa"/>
            <w:vAlign w:val="bottom"/>
            <w:tcBorders>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rPr>
              <w:t>considering the factors identified above. The Compensation</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shd w:val="clear" w:color="auto" w:fill="E2F4FC"/>
          </w:tcPr>
          <w:p>
            <w:pPr>
              <w:spacing w:after="0"/>
              <w:rPr>
                <w:sz w:val="18"/>
                <w:szCs w:val="18"/>
                <w:color w:val="auto"/>
              </w:rPr>
            </w:pPr>
          </w:p>
        </w:tc>
        <w:tc>
          <w:tcPr>
            <w:tcW w:w="3420" w:type="dxa"/>
            <w:vAlign w:val="bottom"/>
            <w:tcBorders>
              <w:right w:val="single" w:sz="8" w:color="A0DBF9"/>
            </w:tcBorders>
            <w:shd w:val="clear" w:color="auto" w:fill="E2F4FC"/>
          </w:tcPr>
          <w:p>
            <w:pPr>
              <w:spacing w:after="0"/>
              <w:rPr>
                <w:sz w:val="18"/>
                <w:szCs w:val="18"/>
                <w:color w:val="auto"/>
              </w:rPr>
            </w:pPr>
          </w:p>
        </w:tc>
        <w:tc>
          <w:tcPr>
            <w:tcW w:w="4960" w:type="dxa"/>
            <w:vAlign w:val="bottom"/>
            <w:tcBorders>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w w:val="94"/>
              </w:rPr>
              <w:t>Committee may also adjust base salaries at any point during the</w:t>
            </w:r>
          </w:p>
        </w:tc>
        <w:tc>
          <w:tcPr>
            <w:tcW w:w="0" w:type="dxa"/>
            <w:vAlign w:val="bottom"/>
          </w:tcPr>
          <w:p>
            <w:pPr>
              <w:spacing w:after="0"/>
              <w:rPr>
                <w:sz w:val="1"/>
                <w:szCs w:val="1"/>
                <w:color w:val="auto"/>
              </w:rPr>
            </w:pPr>
          </w:p>
        </w:tc>
      </w:tr>
      <w:tr>
        <w:trPr>
          <w:trHeight w:val="276"/>
        </w:trPr>
        <w:tc>
          <w:tcPr>
            <w:tcW w:w="2660" w:type="dxa"/>
            <w:vAlign w:val="bottom"/>
            <w:tcBorders>
              <w:left w:val="single" w:sz="8" w:color="A0DBF9"/>
              <w:bottom w:val="single" w:sz="8" w:color="E2F4FC"/>
              <w:right w:val="single" w:sz="8" w:color="A0DBF9"/>
            </w:tcBorders>
            <w:shd w:val="clear" w:color="auto" w:fill="E2F4FC"/>
          </w:tcPr>
          <w:p>
            <w:pPr>
              <w:spacing w:after="0"/>
              <w:rPr>
                <w:sz w:val="23"/>
                <w:szCs w:val="23"/>
                <w:color w:val="auto"/>
              </w:rPr>
            </w:pPr>
          </w:p>
        </w:tc>
        <w:tc>
          <w:tcPr>
            <w:tcW w:w="3420" w:type="dxa"/>
            <w:vAlign w:val="bottom"/>
            <w:tcBorders>
              <w:bottom w:val="single" w:sz="8" w:color="E2F4FC"/>
              <w:right w:val="single" w:sz="8" w:color="A0DBF9"/>
            </w:tcBorders>
            <w:shd w:val="clear" w:color="auto" w:fill="E2F4FC"/>
          </w:tcPr>
          <w:p>
            <w:pPr>
              <w:spacing w:after="0"/>
              <w:rPr>
                <w:sz w:val="23"/>
                <w:szCs w:val="23"/>
                <w:color w:val="auto"/>
              </w:rPr>
            </w:pPr>
          </w:p>
        </w:tc>
        <w:tc>
          <w:tcPr>
            <w:tcW w:w="4960" w:type="dxa"/>
            <w:vAlign w:val="bottom"/>
            <w:tcBorders>
              <w:bottom w:val="single" w:sz="8" w:color="E2F4FC"/>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rPr>
              <w:t>year as it determines appropriate.</w:t>
            </w:r>
          </w:p>
        </w:tc>
        <w:tc>
          <w:tcPr>
            <w:tcW w:w="0" w:type="dxa"/>
            <w:vAlign w:val="bottom"/>
          </w:tcPr>
          <w:p>
            <w:pPr>
              <w:spacing w:after="0"/>
              <w:rPr>
                <w:sz w:val="1"/>
                <w:szCs w:val="1"/>
                <w:color w:val="auto"/>
              </w:rPr>
            </w:pPr>
          </w:p>
        </w:tc>
      </w:tr>
      <w:tr>
        <w:trPr>
          <w:trHeight w:val="209"/>
        </w:trPr>
        <w:tc>
          <w:tcPr>
            <w:tcW w:w="2660" w:type="dxa"/>
            <w:vAlign w:val="bottom"/>
            <w:tcBorders>
              <w:top w:val="single" w:sz="8" w:color="A0DBF9"/>
              <w:left w:val="single" w:sz="8" w:color="A0DBF9"/>
              <w:right w:val="single" w:sz="8" w:color="A0DBF9"/>
            </w:tcBorders>
          </w:tcPr>
          <w:p>
            <w:pPr>
              <w:spacing w:after="0"/>
              <w:rPr>
                <w:sz w:val="18"/>
                <w:szCs w:val="18"/>
                <w:color w:val="auto"/>
              </w:rPr>
            </w:pPr>
          </w:p>
        </w:tc>
        <w:tc>
          <w:tcPr>
            <w:tcW w:w="3420" w:type="dxa"/>
            <w:vAlign w:val="bottom"/>
            <w:tcBorders>
              <w:top w:val="single" w:sz="8" w:color="A0DBF9"/>
              <w:right w:val="single" w:sz="8" w:color="A0DBF9"/>
            </w:tcBorders>
          </w:tcPr>
          <w:p>
            <w:pPr>
              <w:ind w:left="100"/>
              <w:spacing w:after="0"/>
              <w:rPr>
                <w:sz w:val="20"/>
                <w:szCs w:val="20"/>
                <w:color w:val="auto"/>
              </w:rPr>
            </w:pPr>
            <w:r>
              <w:rPr>
                <w:rFonts w:ascii="Arial" w:cs="Arial" w:eastAsia="Arial" w:hAnsi="Arial"/>
                <w:sz w:val="18"/>
                <w:szCs w:val="18"/>
                <w:color w:val="auto"/>
                <w:w w:val="96"/>
              </w:rPr>
              <w:t>Performance-based compensation used to</w:t>
            </w:r>
          </w:p>
        </w:tc>
        <w:tc>
          <w:tcPr>
            <w:tcW w:w="4960" w:type="dxa"/>
            <w:vAlign w:val="bottom"/>
            <w:tcBorders>
              <w:top w:val="single" w:sz="8" w:color="A0DBF9"/>
              <w:right w:val="single" w:sz="8" w:color="A0DBF9"/>
            </w:tcBorders>
          </w:tcPr>
          <w:p>
            <w:pPr>
              <w:ind w:left="80"/>
              <w:spacing w:after="0"/>
              <w:rPr>
                <w:sz w:val="20"/>
                <w:szCs w:val="20"/>
                <w:color w:val="auto"/>
              </w:rPr>
            </w:pPr>
            <w:r>
              <w:rPr>
                <w:rFonts w:ascii="Arial" w:cs="Arial" w:eastAsia="Arial" w:hAnsi="Arial"/>
                <w:sz w:val="18"/>
                <w:szCs w:val="18"/>
                <w:color w:val="auto"/>
                <w:w w:val="91"/>
              </w:rPr>
              <w:t>Measured and paid out on an annual basis. Goals are typically set</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vMerge w:val="restart"/>
          </w:tcPr>
          <w:p>
            <w:pPr>
              <w:ind w:left="240"/>
              <w:spacing w:after="0"/>
              <w:rPr>
                <w:sz w:val="20"/>
                <w:szCs w:val="20"/>
                <w:color w:val="auto"/>
              </w:rPr>
            </w:pPr>
            <w:r>
              <w:rPr>
                <w:rFonts w:ascii="Arial" w:cs="Arial" w:eastAsia="Arial" w:hAnsi="Arial"/>
                <w:sz w:val="18"/>
                <w:szCs w:val="18"/>
                <w:b w:val="1"/>
                <w:bCs w:val="1"/>
                <w:color w:val="auto"/>
              </w:rPr>
              <w:t>Short-Term Incentives</w:t>
            </w:r>
          </w:p>
        </w:tc>
        <w:tc>
          <w:tcPr>
            <w:tcW w:w="3420" w:type="dxa"/>
            <w:vAlign w:val="bottom"/>
            <w:tcBorders>
              <w:right w:val="single" w:sz="8" w:color="A0DBF9"/>
            </w:tcBorders>
          </w:tcPr>
          <w:p>
            <w:pPr>
              <w:ind w:left="100"/>
              <w:spacing w:after="0"/>
              <w:rPr>
                <w:sz w:val="20"/>
                <w:szCs w:val="20"/>
                <w:color w:val="auto"/>
              </w:rPr>
            </w:pPr>
            <w:r>
              <w:rPr>
                <w:rFonts w:ascii="Arial" w:cs="Arial" w:eastAsia="Arial" w:hAnsi="Arial"/>
                <w:sz w:val="18"/>
                <w:szCs w:val="18"/>
                <w:color w:val="auto"/>
                <w:w w:val="96"/>
              </w:rPr>
              <w:t>motivate and reward individuals to achieve</w:t>
            </w:r>
          </w:p>
        </w:tc>
        <w:tc>
          <w:tcPr>
            <w:tcW w:w="4960" w:type="dxa"/>
            <w:vAlign w:val="bottom"/>
            <w:tcBorders>
              <w:right w:val="single" w:sz="8" w:color="A0DBF9"/>
            </w:tcBorders>
          </w:tcPr>
          <w:p>
            <w:pPr>
              <w:ind w:left="80"/>
              <w:spacing w:after="0"/>
              <w:rPr>
                <w:sz w:val="20"/>
                <w:szCs w:val="20"/>
                <w:color w:val="auto"/>
              </w:rPr>
            </w:pPr>
            <w:r>
              <w:rPr>
                <w:rFonts w:ascii="Arial" w:cs="Arial" w:eastAsia="Arial" w:hAnsi="Arial"/>
                <w:sz w:val="18"/>
                <w:szCs w:val="18"/>
                <w:color w:val="auto"/>
              </w:rPr>
              <w:t>in the first 90 days of the year, and payouts are made upon</w:t>
            </w:r>
          </w:p>
        </w:tc>
        <w:tc>
          <w:tcPr>
            <w:tcW w:w="0" w:type="dxa"/>
            <w:vAlign w:val="bottom"/>
          </w:tcPr>
          <w:p>
            <w:pPr>
              <w:spacing w:after="0"/>
              <w:rPr>
                <w:sz w:val="1"/>
                <w:szCs w:val="1"/>
                <w:color w:val="auto"/>
              </w:rPr>
            </w:pPr>
          </w:p>
        </w:tc>
      </w:tr>
      <w:tr>
        <w:trPr>
          <w:trHeight w:val="122"/>
        </w:trPr>
        <w:tc>
          <w:tcPr>
            <w:tcW w:w="2660" w:type="dxa"/>
            <w:vAlign w:val="bottom"/>
            <w:tcBorders>
              <w:left w:val="single" w:sz="8" w:color="A0DBF9"/>
              <w:right w:val="single" w:sz="8" w:color="A0DBF9"/>
            </w:tcBorders>
            <w:vMerge w:val="continue"/>
          </w:tcPr>
          <w:p>
            <w:pPr>
              <w:spacing w:after="0"/>
              <w:rPr>
                <w:sz w:val="10"/>
                <w:szCs w:val="10"/>
                <w:color w:val="auto"/>
              </w:rPr>
            </w:pPr>
          </w:p>
        </w:tc>
        <w:tc>
          <w:tcPr>
            <w:tcW w:w="3420" w:type="dxa"/>
            <w:vAlign w:val="bottom"/>
            <w:tcBorders>
              <w:right w:val="single" w:sz="8" w:color="A0DBF9"/>
            </w:tcBorders>
            <w:vMerge w:val="restart"/>
          </w:tcPr>
          <w:p>
            <w:pPr>
              <w:ind w:left="100"/>
              <w:spacing w:after="0"/>
              <w:rPr>
                <w:sz w:val="20"/>
                <w:szCs w:val="20"/>
                <w:color w:val="auto"/>
              </w:rPr>
            </w:pPr>
            <w:r>
              <w:rPr>
                <w:rFonts w:ascii="Arial" w:cs="Arial" w:eastAsia="Arial" w:hAnsi="Arial"/>
                <w:sz w:val="18"/>
                <w:szCs w:val="18"/>
                <w:color w:val="auto"/>
                <w:w w:val="93"/>
              </w:rPr>
              <w:t>pre-established Company goal and promote</w:t>
            </w:r>
          </w:p>
        </w:tc>
        <w:tc>
          <w:tcPr>
            <w:tcW w:w="4960" w:type="dxa"/>
            <w:vAlign w:val="bottom"/>
            <w:tcBorders>
              <w:right w:val="single" w:sz="8" w:color="A0DBF9"/>
            </w:tcBorders>
            <w:vMerge w:val="restart"/>
          </w:tcPr>
          <w:p>
            <w:pPr>
              <w:ind w:left="80"/>
              <w:spacing w:after="0"/>
              <w:rPr>
                <w:sz w:val="20"/>
                <w:szCs w:val="20"/>
                <w:color w:val="auto"/>
              </w:rPr>
            </w:pPr>
            <w:r>
              <w:rPr>
                <w:rFonts w:ascii="Arial" w:cs="Arial" w:eastAsia="Arial" w:hAnsi="Arial"/>
                <w:sz w:val="18"/>
                <w:szCs w:val="18"/>
                <w:color w:val="auto"/>
              </w:rPr>
              <w:t>completion of the year, determination of results, and</w:t>
            </w:r>
          </w:p>
        </w:tc>
        <w:tc>
          <w:tcPr>
            <w:tcW w:w="0" w:type="dxa"/>
            <w:vAlign w:val="bottom"/>
          </w:tcPr>
          <w:p>
            <w:pPr>
              <w:spacing w:after="0"/>
              <w:rPr>
                <w:sz w:val="1"/>
                <w:szCs w:val="1"/>
                <w:color w:val="auto"/>
              </w:rPr>
            </w:pPr>
          </w:p>
        </w:tc>
      </w:tr>
      <w:tr>
        <w:trPr>
          <w:trHeight w:val="94"/>
        </w:trPr>
        <w:tc>
          <w:tcPr>
            <w:tcW w:w="2660" w:type="dxa"/>
            <w:vAlign w:val="bottom"/>
            <w:tcBorders>
              <w:left w:val="single" w:sz="8" w:color="A0DBF9"/>
              <w:right w:val="single" w:sz="8" w:color="A0DBF9"/>
            </w:tcBorders>
          </w:tcPr>
          <w:p>
            <w:pPr>
              <w:spacing w:after="0"/>
              <w:rPr>
                <w:sz w:val="8"/>
                <w:szCs w:val="8"/>
                <w:color w:val="auto"/>
              </w:rPr>
            </w:pPr>
          </w:p>
        </w:tc>
        <w:tc>
          <w:tcPr>
            <w:tcW w:w="3420" w:type="dxa"/>
            <w:vAlign w:val="bottom"/>
            <w:tcBorders>
              <w:right w:val="single" w:sz="8" w:color="A0DBF9"/>
            </w:tcBorders>
            <w:vMerge w:val="continue"/>
          </w:tcPr>
          <w:p>
            <w:pPr>
              <w:spacing w:after="0"/>
              <w:rPr>
                <w:sz w:val="8"/>
                <w:szCs w:val="8"/>
                <w:color w:val="auto"/>
              </w:rPr>
            </w:pPr>
          </w:p>
        </w:tc>
        <w:tc>
          <w:tcPr>
            <w:tcW w:w="4960" w:type="dxa"/>
            <w:vAlign w:val="bottom"/>
            <w:tcBorders>
              <w:right w:val="single" w:sz="8" w:color="A0DBF9"/>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0DBF9"/>
              <w:bottom w:val="single" w:sz="8" w:color="A0DBF9"/>
              <w:right w:val="single" w:sz="8" w:color="A0DBF9"/>
            </w:tcBorders>
          </w:tcPr>
          <w:p>
            <w:pPr>
              <w:spacing w:after="0"/>
              <w:rPr>
                <w:sz w:val="20"/>
                <w:szCs w:val="20"/>
                <w:color w:val="auto"/>
              </w:rPr>
            </w:pPr>
          </w:p>
        </w:tc>
        <w:tc>
          <w:tcPr>
            <w:tcW w:w="3420" w:type="dxa"/>
            <w:vAlign w:val="bottom"/>
            <w:tcBorders>
              <w:bottom w:val="single" w:sz="8" w:color="A0DBF9"/>
              <w:right w:val="single" w:sz="8" w:color="A0DBF9"/>
            </w:tcBorders>
          </w:tcPr>
          <w:p>
            <w:pPr>
              <w:ind w:left="100"/>
              <w:spacing w:after="0"/>
              <w:rPr>
                <w:sz w:val="20"/>
                <w:szCs w:val="20"/>
                <w:color w:val="auto"/>
              </w:rPr>
            </w:pPr>
            <w:r>
              <w:rPr>
                <w:rFonts w:ascii="Arial" w:cs="Arial" w:eastAsia="Arial" w:hAnsi="Arial"/>
                <w:sz w:val="18"/>
                <w:szCs w:val="18"/>
                <w:color w:val="auto"/>
              </w:rPr>
              <w:t>individual performance.</w:t>
            </w:r>
          </w:p>
        </w:tc>
        <w:tc>
          <w:tcPr>
            <w:tcW w:w="4960" w:type="dxa"/>
            <w:vAlign w:val="bottom"/>
            <w:tcBorders>
              <w:bottom w:val="single" w:sz="8" w:color="A0DBF9"/>
              <w:right w:val="single" w:sz="8" w:color="A0DBF9"/>
            </w:tcBorders>
          </w:tcPr>
          <w:p>
            <w:pPr>
              <w:ind w:left="80"/>
              <w:spacing w:after="0"/>
              <w:rPr>
                <w:sz w:val="20"/>
                <w:szCs w:val="20"/>
                <w:color w:val="auto"/>
              </w:rPr>
            </w:pPr>
            <w:r>
              <w:rPr>
                <w:rFonts w:ascii="Arial" w:cs="Arial" w:eastAsia="Arial" w:hAnsi="Arial"/>
                <w:sz w:val="18"/>
                <w:szCs w:val="18"/>
                <w:color w:val="auto"/>
              </w:rPr>
              <w:t>Compensation Committee approval of payouts.</w:t>
            </w:r>
          </w:p>
        </w:tc>
        <w:tc>
          <w:tcPr>
            <w:tcW w:w="0" w:type="dxa"/>
            <w:vAlign w:val="bottom"/>
          </w:tcPr>
          <w:p>
            <w:pPr>
              <w:spacing w:after="0"/>
              <w:rPr>
                <w:sz w:val="1"/>
                <w:szCs w:val="1"/>
                <w:color w:val="auto"/>
              </w:rPr>
            </w:pPr>
          </w:p>
        </w:tc>
      </w:tr>
      <w:tr>
        <w:trPr>
          <w:trHeight w:val="215"/>
        </w:trPr>
        <w:tc>
          <w:tcPr>
            <w:tcW w:w="2660" w:type="dxa"/>
            <w:vAlign w:val="bottom"/>
            <w:tcBorders>
              <w:left w:val="single" w:sz="8" w:color="A0DBF9"/>
              <w:right w:val="single" w:sz="8" w:color="A0DBF9"/>
            </w:tcBorders>
            <w:shd w:val="clear" w:color="auto" w:fill="E2F4FC"/>
          </w:tcPr>
          <w:p>
            <w:pPr>
              <w:spacing w:after="0"/>
              <w:rPr>
                <w:sz w:val="18"/>
                <w:szCs w:val="18"/>
                <w:color w:val="auto"/>
              </w:rPr>
            </w:pP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w w:val="92"/>
              </w:rPr>
              <w:t>Variable incentive compensation (including a</w:t>
            </w:r>
          </w:p>
        </w:tc>
        <w:tc>
          <w:tcPr>
            <w:tcW w:w="4960" w:type="dxa"/>
            <w:vAlign w:val="bottom"/>
            <w:tcBorders>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w w:val="95"/>
              </w:rPr>
              <w:t>Generally granted at the time of hire or promotion, and annually</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vMerge w:val="restart"/>
            <w:shd w:val="clear" w:color="auto" w:fill="E2F4FC"/>
          </w:tcPr>
          <w:p>
            <w:pPr>
              <w:ind w:left="240"/>
              <w:spacing w:after="0"/>
              <w:rPr>
                <w:sz w:val="20"/>
                <w:szCs w:val="20"/>
                <w:color w:val="auto"/>
              </w:rPr>
            </w:pPr>
            <w:r>
              <w:rPr>
                <w:rFonts w:ascii="Arial" w:cs="Arial" w:eastAsia="Arial" w:hAnsi="Arial"/>
                <w:sz w:val="18"/>
                <w:szCs w:val="18"/>
                <w:b w:val="1"/>
                <w:bCs w:val="1"/>
                <w:color w:val="auto"/>
              </w:rPr>
              <w:t>Long-Term Incentives</w:t>
            </w: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w w:val="96"/>
              </w:rPr>
              <w:t>mix of time-based and performance-based</w:t>
            </w:r>
          </w:p>
        </w:tc>
        <w:tc>
          <w:tcPr>
            <w:tcW w:w="4960" w:type="dxa"/>
            <w:vAlign w:val="bottom"/>
            <w:tcBorders>
              <w:right w:val="single" w:sz="8" w:color="A0DBF9"/>
            </w:tcBorders>
            <w:shd w:val="clear" w:color="auto" w:fill="E2F4FC"/>
          </w:tcPr>
          <w:p>
            <w:pPr>
              <w:ind w:left="80"/>
              <w:spacing w:after="0"/>
              <w:rPr>
                <w:sz w:val="20"/>
                <w:szCs w:val="20"/>
                <w:color w:val="auto"/>
              </w:rPr>
            </w:pPr>
            <w:r>
              <w:rPr>
                <w:rFonts w:ascii="Arial" w:cs="Arial" w:eastAsia="Arial" w:hAnsi="Arial"/>
                <w:sz w:val="18"/>
                <w:szCs w:val="18"/>
                <w:color w:val="auto"/>
              </w:rPr>
              <w:t>following the close of the previous fiscal year.</w:t>
            </w: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vMerge w:val="continue"/>
            <w:shd w:val="clear" w:color="auto" w:fill="E2F4FC"/>
          </w:tcPr>
          <w:p>
            <w:pPr>
              <w:spacing w:after="0"/>
              <w:rPr>
                <w:sz w:val="18"/>
                <w:szCs w:val="18"/>
                <w:color w:val="auto"/>
              </w:rPr>
            </w:pP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w w:val="95"/>
              </w:rPr>
              <w:t>equity awards) that promotes performance,</w:t>
            </w:r>
          </w:p>
        </w:tc>
        <w:tc>
          <w:tcPr>
            <w:tcW w:w="4960" w:type="dxa"/>
            <w:vAlign w:val="bottom"/>
            <w:tcBorders>
              <w:right w:val="single" w:sz="8" w:color="A0DBF9"/>
            </w:tcBorders>
            <w:shd w:val="clear" w:color="auto" w:fill="E2F4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60" w:type="dxa"/>
            <w:vAlign w:val="bottom"/>
            <w:tcBorders>
              <w:left w:val="single" w:sz="8" w:color="A0DBF9"/>
              <w:right w:val="single" w:sz="8" w:color="A0DBF9"/>
            </w:tcBorders>
            <w:shd w:val="clear" w:color="auto" w:fill="E2F4FC"/>
          </w:tcPr>
          <w:p>
            <w:pPr>
              <w:spacing w:after="0"/>
              <w:rPr>
                <w:sz w:val="18"/>
                <w:szCs w:val="18"/>
                <w:color w:val="auto"/>
              </w:rPr>
            </w:pPr>
          </w:p>
        </w:tc>
        <w:tc>
          <w:tcPr>
            <w:tcW w:w="342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w w:val="95"/>
              </w:rPr>
              <w:t>supports retention, and creates stockholder</w:t>
            </w:r>
          </w:p>
        </w:tc>
        <w:tc>
          <w:tcPr>
            <w:tcW w:w="4960" w:type="dxa"/>
            <w:vAlign w:val="bottom"/>
            <w:tcBorders>
              <w:right w:val="single" w:sz="8" w:color="A0DBF9"/>
            </w:tcBorders>
            <w:shd w:val="clear" w:color="auto" w:fill="E2F4FC"/>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660" w:type="dxa"/>
            <w:vAlign w:val="bottom"/>
            <w:tcBorders>
              <w:left w:val="single" w:sz="8" w:color="A0DBF9"/>
              <w:bottom w:val="single" w:sz="8" w:color="A0DBF9"/>
              <w:right w:val="single" w:sz="8" w:color="A0DBF9"/>
            </w:tcBorders>
            <w:shd w:val="clear" w:color="auto" w:fill="E2F4FC"/>
          </w:tcPr>
          <w:p>
            <w:pPr>
              <w:spacing w:after="0"/>
              <w:rPr>
                <w:sz w:val="20"/>
                <w:szCs w:val="20"/>
                <w:color w:val="auto"/>
              </w:rPr>
            </w:pPr>
          </w:p>
        </w:tc>
        <w:tc>
          <w:tcPr>
            <w:tcW w:w="3420" w:type="dxa"/>
            <w:vAlign w:val="bottom"/>
            <w:tcBorders>
              <w:bottom w:val="single" w:sz="8" w:color="A0DBF9"/>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rPr>
              <w:t>alignment.</w:t>
            </w:r>
          </w:p>
        </w:tc>
        <w:tc>
          <w:tcPr>
            <w:tcW w:w="4960" w:type="dxa"/>
            <w:vAlign w:val="bottom"/>
            <w:tcBorders>
              <w:bottom w:val="single" w:sz="8" w:color="A0DBF9"/>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660" w:type="dxa"/>
            <w:vAlign w:val="bottom"/>
            <w:tcBorders>
              <w:left w:val="single" w:sz="8" w:color="A0DBF9"/>
              <w:right w:val="single" w:sz="8" w:color="A0DBF9"/>
            </w:tcBorders>
            <w:vMerge w:val="restart"/>
          </w:tcPr>
          <w:p>
            <w:pPr>
              <w:ind w:left="240"/>
              <w:spacing w:after="0"/>
              <w:rPr>
                <w:sz w:val="20"/>
                <w:szCs w:val="20"/>
                <w:color w:val="auto"/>
              </w:rPr>
            </w:pPr>
            <w:r>
              <w:rPr>
                <w:rFonts w:ascii="Arial" w:cs="Arial" w:eastAsia="Arial" w:hAnsi="Arial"/>
                <w:sz w:val="18"/>
                <w:szCs w:val="18"/>
                <w:b w:val="1"/>
                <w:bCs w:val="1"/>
                <w:color w:val="auto"/>
              </w:rPr>
              <w:t>Benefits</w:t>
            </w:r>
          </w:p>
        </w:tc>
        <w:tc>
          <w:tcPr>
            <w:tcW w:w="3420" w:type="dxa"/>
            <w:vAlign w:val="bottom"/>
            <w:tcBorders>
              <w:right w:val="single" w:sz="8" w:color="A0DBF9"/>
            </w:tcBorders>
          </w:tcPr>
          <w:p>
            <w:pPr>
              <w:ind w:left="100"/>
              <w:spacing w:after="0"/>
              <w:rPr>
                <w:sz w:val="20"/>
                <w:szCs w:val="20"/>
                <w:color w:val="auto"/>
              </w:rPr>
            </w:pPr>
            <w:r>
              <w:rPr>
                <w:rFonts w:ascii="Arial" w:cs="Arial" w:eastAsia="Arial" w:hAnsi="Arial"/>
                <w:sz w:val="18"/>
                <w:szCs w:val="18"/>
                <w:color w:val="auto"/>
              </w:rPr>
              <w:t>Fixed benefits and security to promote</w:t>
            </w:r>
          </w:p>
        </w:tc>
        <w:tc>
          <w:tcPr>
            <w:tcW w:w="4960" w:type="dxa"/>
            <w:vAlign w:val="bottom"/>
            <w:tcBorders>
              <w:right w:val="single" w:sz="8" w:color="A0DBF9"/>
            </w:tcBorders>
          </w:tcPr>
          <w:p>
            <w:pPr>
              <w:ind w:left="80"/>
              <w:spacing w:after="0"/>
              <w:rPr>
                <w:sz w:val="20"/>
                <w:szCs w:val="20"/>
                <w:color w:val="auto"/>
              </w:rPr>
            </w:pPr>
            <w:r>
              <w:rPr>
                <w:rFonts w:ascii="Arial" w:cs="Arial" w:eastAsia="Arial" w:hAnsi="Arial"/>
                <w:sz w:val="18"/>
                <w:szCs w:val="18"/>
                <w:color w:val="auto"/>
              </w:rPr>
              <w:t>The timing of our benefits varies by element.</w:t>
            </w:r>
          </w:p>
        </w:tc>
        <w:tc>
          <w:tcPr>
            <w:tcW w:w="0" w:type="dxa"/>
            <w:vAlign w:val="bottom"/>
          </w:tcPr>
          <w:p>
            <w:pPr>
              <w:spacing w:after="0"/>
              <w:rPr>
                <w:sz w:val="1"/>
                <w:szCs w:val="1"/>
                <w:color w:val="auto"/>
              </w:rPr>
            </w:pPr>
          </w:p>
        </w:tc>
      </w:tr>
      <w:tr>
        <w:trPr>
          <w:trHeight w:val="122"/>
        </w:trPr>
        <w:tc>
          <w:tcPr>
            <w:tcW w:w="2660" w:type="dxa"/>
            <w:vAlign w:val="bottom"/>
            <w:tcBorders>
              <w:left w:val="single" w:sz="8" w:color="A0DBF9"/>
              <w:right w:val="single" w:sz="8" w:color="A0DBF9"/>
            </w:tcBorders>
            <w:vMerge w:val="continue"/>
          </w:tcPr>
          <w:p>
            <w:pPr>
              <w:spacing w:after="0"/>
              <w:rPr>
                <w:sz w:val="10"/>
                <w:szCs w:val="10"/>
                <w:color w:val="auto"/>
              </w:rPr>
            </w:pPr>
          </w:p>
        </w:tc>
        <w:tc>
          <w:tcPr>
            <w:tcW w:w="3420" w:type="dxa"/>
            <w:vAlign w:val="bottom"/>
            <w:tcBorders>
              <w:right w:val="single" w:sz="8" w:color="A0DBF9"/>
            </w:tcBorders>
            <w:vMerge w:val="restart"/>
          </w:tcPr>
          <w:p>
            <w:pPr>
              <w:ind w:left="100"/>
              <w:spacing w:after="0"/>
              <w:rPr>
                <w:sz w:val="20"/>
                <w:szCs w:val="20"/>
                <w:color w:val="auto"/>
              </w:rPr>
            </w:pPr>
            <w:r>
              <w:rPr>
                <w:rFonts w:ascii="Arial" w:cs="Arial" w:eastAsia="Arial" w:hAnsi="Arial"/>
                <w:sz w:val="18"/>
                <w:szCs w:val="18"/>
                <w:color w:val="auto"/>
              </w:rPr>
              <w:t>individual health and welfare.</w:t>
            </w:r>
          </w:p>
        </w:tc>
        <w:tc>
          <w:tcPr>
            <w:tcW w:w="4960" w:type="dxa"/>
            <w:vAlign w:val="bottom"/>
            <w:tcBorders>
              <w:right w:val="single" w:sz="8" w:color="A0DBF9"/>
            </w:tcBorders>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660" w:type="dxa"/>
            <w:vAlign w:val="bottom"/>
            <w:tcBorders>
              <w:left w:val="single" w:sz="8" w:color="A0DBF9"/>
              <w:bottom w:val="single" w:sz="8" w:color="A0DBF9"/>
              <w:right w:val="single" w:sz="8" w:color="A0DBF9"/>
            </w:tcBorders>
          </w:tcPr>
          <w:p>
            <w:pPr>
              <w:spacing w:after="0"/>
              <w:rPr>
                <w:sz w:val="10"/>
                <w:szCs w:val="10"/>
                <w:color w:val="auto"/>
              </w:rPr>
            </w:pPr>
          </w:p>
        </w:tc>
        <w:tc>
          <w:tcPr>
            <w:tcW w:w="3420" w:type="dxa"/>
            <w:vAlign w:val="bottom"/>
            <w:tcBorders>
              <w:bottom w:val="single" w:sz="8" w:color="A0DBF9"/>
              <w:right w:val="single" w:sz="8" w:color="A0DBF9"/>
            </w:tcBorders>
            <w:vMerge w:val="continue"/>
          </w:tcPr>
          <w:p>
            <w:pPr>
              <w:spacing w:after="0"/>
              <w:rPr>
                <w:sz w:val="10"/>
                <w:szCs w:val="10"/>
                <w:color w:val="auto"/>
              </w:rPr>
            </w:pPr>
          </w:p>
        </w:tc>
        <w:tc>
          <w:tcPr>
            <w:tcW w:w="4960" w:type="dxa"/>
            <w:vAlign w:val="bottom"/>
            <w:tcBorders>
              <w:bottom w:val="single" w:sz="8" w:color="A0DBF9"/>
              <w:right w:val="single" w:sz="8" w:color="A0DBF9"/>
            </w:tcBorders>
          </w:tcPr>
          <w:p>
            <w:pPr>
              <w:spacing w:after="0"/>
              <w:rPr>
                <w:sz w:val="10"/>
                <w:szCs w:val="10"/>
                <w:color w:val="auto"/>
              </w:rPr>
            </w:pPr>
          </w:p>
        </w:tc>
        <w:tc>
          <w:tcPr>
            <w:tcW w:w="0" w:type="dxa"/>
            <w:vAlign w:val="bottom"/>
          </w:tcPr>
          <w:p>
            <w:pPr>
              <w:spacing w:after="0"/>
              <w:rPr>
                <w:sz w:val="1"/>
                <w:szCs w:val="1"/>
                <w:color w:val="auto"/>
              </w:rPr>
            </w:pPr>
          </w:p>
        </w:tc>
      </w:tr>
      <w:tr>
        <w:trPr>
          <w:trHeight w:val="729"/>
        </w:trPr>
        <w:tc>
          <w:tcPr>
            <w:tcW w:w="2660" w:type="dxa"/>
            <w:vAlign w:val="bottom"/>
          </w:tcPr>
          <w:p>
            <w:pPr>
              <w:spacing w:after="0"/>
              <w:rPr>
                <w:sz w:val="24"/>
                <w:szCs w:val="24"/>
                <w:color w:val="auto"/>
              </w:rPr>
            </w:pPr>
          </w:p>
        </w:tc>
        <w:tc>
          <w:tcPr>
            <w:tcW w:w="3420" w:type="dxa"/>
            <w:vAlign w:val="bottom"/>
          </w:tcPr>
          <w:p>
            <w:pPr>
              <w:ind w:left="2760"/>
              <w:spacing w:after="0"/>
              <w:rPr>
                <w:sz w:val="20"/>
                <w:szCs w:val="20"/>
                <w:color w:val="auto"/>
              </w:rPr>
            </w:pPr>
            <w:r>
              <w:rPr>
                <w:rFonts w:ascii="Arial" w:cs="Arial" w:eastAsia="Arial" w:hAnsi="Arial"/>
                <w:sz w:val="18"/>
                <w:szCs w:val="18"/>
                <w:color w:val="auto"/>
              </w:rPr>
              <w:t>31</w:t>
            </w:r>
          </w:p>
        </w:tc>
        <w:tc>
          <w:tcPr>
            <w:tcW w:w="4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Policies and Features</w:t>
      </w:r>
    </w:p>
    <w:p>
      <w:pPr>
        <w:spacing w:after="0" w:line="121" w:lineRule="exact"/>
        <w:rPr>
          <w:sz w:val="20"/>
          <w:szCs w:val="20"/>
          <w:color w:val="auto"/>
        </w:rPr>
      </w:pPr>
    </w:p>
    <w:p>
      <w:pPr>
        <w:ind w:left="120" w:right="440" w:firstLine="440"/>
        <w:spacing w:after="0" w:line="342" w:lineRule="auto"/>
        <w:rPr>
          <w:sz w:val="20"/>
          <w:szCs w:val="20"/>
          <w:color w:val="auto"/>
        </w:rPr>
      </w:pPr>
      <w:r>
        <w:rPr>
          <w:rFonts w:ascii="Arial" w:cs="Arial" w:eastAsia="Arial" w:hAnsi="Arial"/>
          <w:sz w:val="16"/>
          <w:szCs w:val="16"/>
          <w:color w:val="auto"/>
        </w:rPr>
        <w:t>In addition to the compensation elements described above, our executive compensation program also incorporates the following policies and features that our Compensation Committee believes are fundamental to a well-constructed and balanced compensation program.</w:t>
      </w:r>
    </w:p>
    <w:p>
      <w:pPr>
        <w:spacing w:after="0" w:line="25" w:lineRule="exact"/>
        <w:rPr>
          <w:sz w:val="20"/>
          <w:szCs w:val="20"/>
          <w:color w:val="auto"/>
        </w:rPr>
      </w:pPr>
    </w:p>
    <w:p>
      <w:pPr>
        <w:ind w:left="1080" w:hanging="424"/>
        <w:spacing w:after="0"/>
        <w:tabs>
          <w:tab w:leader="none" w:pos="1080" w:val="left"/>
        </w:tabs>
        <w:numPr>
          <w:ilvl w:val="0"/>
          <w:numId w:val="32"/>
        </w:numPr>
        <w:rPr>
          <w:rFonts w:ascii="Arial" w:cs="Arial" w:eastAsia="Arial" w:hAnsi="Arial"/>
          <w:sz w:val="17"/>
          <w:szCs w:val="17"/>
          <w:color w:val="auto"/>
        </w:rPr>
      </w:pPr>
      <w:r>
        <w:rPr>
          <w:rFonts w:ascii="Arial" w:cs="Arial" w:eastAsia="Arial" w:hAnsi="Arial"/>
          <w:sz w:val="17"/>
          <w:szCs w:val="17"/>
          <w:b w:val="1"/>
          <w:bCs w:val="1"/>
          <w:color w:val="auto"/>
        </w:rPr>
        <w:t xml:space="preserve">Stock Ownership and Retention Guidelines. </w:t>
      </w:r>
      <w:r>
        <w:rPr>
          <w:rFonts w:ascii="Arial" w:cs="Arial" w:eastAsia="Arial" w:hAnsi="Arial"/>
          <w:sz w:val="17"/>
          <w:szCs w:val="17"/>
          <w:color w:val="auto"/>
        </w:rPr>
        <w:t>In February 2019, our Board adopted Stock Ownership and Retention Guidelines</w:t>
      </w:r>
    </w:p>
    <w:p>
      <w:pPr>
        <w:spacing w:after="0" w:line="38" w:lineRule="exact"/>
        <w:rPr>
          <w:rFonts w:ascii="Arial" w:cs="Arial" w:eastAsia="Arial" w:hAnsi="Arial"/>
          <w:sz w:val="17"/>
          <w:szCs w:val="17"/>
          <w:color w:val="auto"/>
        </w:rPr>
      </w:pPr>
    </w:p>
    <w:p>
      <w:pPr>
        <w:ind w:left="1080" w:right="120"/>
        <w:spacing w:after="0" w:line="255" w:lineRule="auto"/>
        <w:rPr>
          <w:rFonts w:ascii="Arial" w:cs="Arial" w:eastAsia="Arial" w:hAnsi="Arial"/>
          <w:sz w:val="17"/>
          <w:szCs w:val="17"/>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Guidelines</w:t>
      </w:r>
      <w:r>
        <w:rPr>
          <w:rFonts w:ascii="Arial" w:cs="Arial" w:eastAsia="Arial" w:hAnsi="Arial"/>
          <w:sz w:val="18"/>
          <w:szCs w:val="18"/>
          <w:color w:val="auto"/>
        </w:rPr>
        <w:t>”) intended to promote stock ownership on the part of our executive officers who are Senior Vice Presidents or above (which includes all of our NEOs). Executive officers are required to hold (vested) Shares having an aggregate value at least equal to a specified multiple of his or her base salary, as determined by his or her position, as follows:</w:t>
      </w:r>
    </w:p>
    <w:p>
      <w:pPr>
        <w:spacing w:after="0" w:line="231" w:lineRule="exact"/>
        <w:rPr>
          <w:sz w:val="20"/>
          <w:szCs w:val="20"/>
          <w:color w:val="auto"/>
        </w:rPr>
      </w:pPr>
    </w:p>
    <w:tbl>
      <w:tblPr>
        <w:tblLayout w:type="fixed"/>
        <w:tblInd w:w="1670" w:type="dxa"/>
        <w:tblCellMar>
          <w:top w:w="0" w:type="dxa"/>
          <w:left w:w="0" w:type="dxa"/>
          <w:bottom w:w="0" w:type="dxa"/>
          <w:right w:w="0" w:type="dxa"/>
        </w:tblCellMar>
      </w:tblPr>
      <w:tr>
        <w:trPr>
          <w:trHeight w:val="261"/>
        </w:trPr>
        <w:tc>
          <w:tcPr>
            <w:tcW w:w="4080" w:type="dxa"/>
            <w:vAlign w:val="bottom"/>
            <w:tcBorders>
              <w:left w:val="single" w:sz="8" w:color="5EB5FC"/>
              <w:right w:val="single" w:sz="8" w:color="5EB5FC"/>
            </w:tcBorders>
            <w:vMerge w:val="restart"/>
            <w:shd w:val="clear" w:color="auto" w:fill="5EB5FC"/>
          </w:tcPr>
          <w:p>
            <w:pPr>
              <w:ind w:left="1960"/>
              <w:spacing w:after="0"/>
              <w:rPr>
                <w:sz w:val="20"/>
                <w:szCs w:val="20"/>
                <w:color w:val="auto"/>
              </w:rPr>
            </w:pPr>
            <w:r>
              <w:rPr>
                <w:rFonts w:ascii="Arial" w:cs="Arial" w:eastAsia="Arial" w:hAnsi="Arial"/>
                <w:sz w:val="14"/>
                <w:szCs w:val="14"/>
                <w:b w:val="1"/>
                <w:bCs w:val="1"/>
                <w:color w:val="FFFFFF"/>
              </w:rPr>
              <w:t>Role</w:t>
            </w:r>
          </w:p>
        </w:tc>
        <w:tc>
          <w:tcPr>
            <w:tcW w:w="38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Stock Ownership Required</w:t>
            </w:r>
          </w:p>
        </w:tc>
        <w:tc>
          <w:tcPr>
            <w:tcW w:w="0" w:type="dxa"/>
            <w:vAlign w:val="bottom"/>
          </w:tcPr>
          <w:p>
            <w:pPr>
              <w:spacing w:after="0"/>
              <w:rPr>
                <w:sz w:val="1"/>
                <w:szCs w:val="1"/>
                <w:color w:val="auto"/>
              </w:rPr>
            </w:pPr>
          </w:p>
        </w:tc>
      </w:tr>
      <w:tr>
        <w:trPr>
          <w:trHeight w:val="186"/>
        </w:trPr>
        <w:tc>
          <w:tcPr>
            <w:tcW w:w="408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38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as a Multiple of Base Salary</w:t>
            </w:r>
          </w:p>
        </w:tc>
        <w:tc>
          <w:tcPr>
            <w:tcW w:w="0" w:type="dxa"/>
            <w:vAlign w:val="bottom"/>
          </w:tcPr>
          <w:p>
            <w:pPr>
              <w:spacing w:after="0"/>
              <w:rPr>
                <w:sz w:val="1"/>
                <w:szCs w:val="1"/>
                <w:color w:val="auto"/>
              </w:rPr>
            </w:pPr>
          </w:p>
        </w:tc>
      </w:tr>
      <w:tr>
        <w:trPr>
          <w:trHeight w:val="120"/>
        </w:trPr>
        <w:tc>
          <w:tcPr>
            <w:tcW w:w="4080" w:type="dxa"/>
            <w:vAlign w:val="bottom"/>
            <w:tcBorders>
              <w:left w:val="single" w:sz="8" w:color="5EB5FC"/>
              <w:right w:val="single" w:sz="8" w:color="5EB5FC"/>
            </w:tcBorders>
            <w:shd w:val="clear" w:color="auto" w:fill="5EB5FC"/>
          </w:tcPr>
          <w:p>
            <w:pPr>
              <w:spacing w:after="0"/>
              <w:rPr>
                <w:sz w:val="10"/>
                <w:szCs w:val="10"/>
                <w:color w:val="auto"/>
              </w:rPr>
            </w:pPr>
          </w:p>
        </w:tc>
        <w:tc>
          <w:tcPr>
            <w:tcW w:w="3880" w:type="dxa"/>
            <w:vAlign w:val="bottom"/>
            <w:tcBorders>
              <w:right w:val="single" w:sz="8" w:color="5EB5FC"/>
            </w:tcBorders>
            <w:shd w:val="clear" w:color="auto" w:fill="5EB5FC"/>
          </w:tcPr>
          <w:p>
            <w:pPr>
              <w:spacing w:after="0"/>
              <w:rPr>
                <w:sz w:val="10"/>
                <w:szCs w:val="10"/>
                <w:color w:val="auto"/>
              </w:rPr>
            </w:pPr>
          </w:p>
        </w:tc>
        <w:tc>
          <w:tcPr>
            <w:tcW w:w="0" w:type="dxa"/>
            <w:vAlign w:val="bottom"/>
          </w:tcPr>
          <w:p>
            <w:pPr>
              <w:spacing w:after="0"/>
              <w:rPr>
                <w:sz w:val="1"/>
                <w:szCs w:val="1"/>
                <w:color w:val="auto"/>
              </w:rPr>
            </w:pPr>
          </w:p>
        </w:tc>
      </w:tr>
      <w:tr>
        <w:trPr>
          <w:trHeight w:val="270"/>
        </w:trPr>
        <w:tc>
          <w:tcPr>
            <w:tcW w:w="408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Chief Executive Officer</w:t>
            </w:r>
          </w:p>
        </w:tc>
        <w:tc>
          <w:tcPr>
            <w:tcW w:w="38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3x</w:t>
            </w:r>
          </w:p>
        </w:tc>
        <w:tc>
          <w:tcPr>
            <w:tcW w:w="0" w:type="dxa"/>
            <w:vAlign w:val="bottom"/>
          </w:tcPr>
          <w:p>
            <w:pPr>
              <w:spacing w:after="0"/>
              <w:rPr>
                <w:sz w:val="1"/>
                <w:szCs w:val="1"/>
                <w:color w:val="auto"/>
              </w:rPr>
            </w:pPr>
          </w:p>
        </w:tc>
      </w:tr>
      <w:tr>
        <w:trPr>
          <w:trHeight w:val="81"/>
        </w:trPr>
        <w:tc>
          <w:tcPr>
            <w:tcW w:w="408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388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08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Other Executive Officers</w:t>
            </w:r>
          </w:p>
        </w:tc>
        <w:tc>
          <w:tcPr>
            <w:tcW w:w="38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1x</w:t>
            </w:r>
          </w:p>
        </w:tc>
        <w:tc>
          <w:tcPr>
            <w:tcW w:w="0" w:type="dxa"/>
            <w:vAlign w:val="bottom"/>
          </w:tcPr>
          <w:p>
            <w:pPr>
              <w:spacing w:after="0"/>
              <w:rPr>
                <w:sz w:val="1"/>
                <w:szCs w:val="1"/>
                <w:color w:val="auto"/>
              </w:rPr>
            </w:pPr>
          </w:p>
        </w:tc>
      </w:tr>
      <w:tr>
        <w:trPr>
          <w:trHeight w:val="81"/>
        </w:trPr>
        <w:tc>
          <w:tcPr>
            <w:tcW w:w="4080" w:type="dxa"/>
            <w:vAlign w:val="bottom"/>
            <w:tcBorders>
              <w:left w:val="single" w:sz="8" w:color="A0DBF9"/>
              <w:bottom w:val="single" w:sz="8" w:color="A0DBF9"/>
              <w:right w:val="single" w:sz="8" w:color="A0DBF9"/>
            </w:tcBorders>
          </w:tcPr>
          <w:p>
            <w:pPr>
              <w:spacing w:after="0"/>
              <w:rPr>
                <w:sz w:val="7"/>
                <w:szCs w:val="7"/>
                <w:color w:val="auto"/>
              </w:rPr>
            </w:pPr>
          </w:p>
        </w:tc>
        <w:tc>
          <w:tcPr>
            <w:tcW w:w="388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100" w:right="100"/>
        <w:spacing w:after="0" w:line="275" w:lineRule="auto"/>
        <w:rPr>
          <w:sz w:val="20"/>
          <w:szCs w:val="20"/>
          <w:color w:val="auto"/>
        </w:rPr>
      </w:pPr>
      <w:r>
        <w:rPr>
          <w:rFonts w:ascii="Arial" w:cs="Arial" w:eastAsia="Arial" w:hAnsi="Arial"/>
          <w:sz w:val="17"/>
          <w:szCs w:val="17"/>
          <w:color w:val="auto"/>
        </w:rPr>
        <w:t>Until an executive officer achieves his or her required ownership level, he or she is required to retain 50% of all after-tax Shares issued upon (i) exercise of any vested Company stock option award (calculated on a net exercise basis) or (ii) the vesting of any other equity award (such as RSAs, RSUs, PSAs and PSUs) granted in or after 2019. Our executive officers are required to comply with the Guidelines within five years of when the Guidelines first apply to them. As of December 31, 2019, Ms. Heino and Messrs. Duffy and Robinson each had already achieved the requirements under the stock ownership guidelines.</w:t>
      </w:r>
    </w:p>
    <w:p>
      <w:pPr>
        <w:spacing w:after="0" w:line="78" w:lineRule="exact"/>
        <w:rPr>
          <w:sz w:val="20"/>
          <w:szCs w:val="20"/>
          <w:color w:val="auto"/>
        </w:rPr>
      </w:pPr>
    </w:p>
    <w:p>
      <w:pPr>
        <w:ind w:left="1080" w:hanging="424"/>
        <w:spacing w:after="0" w:line="256"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b w:val="1"/>
          <w:bCs w:val="1"/>
          <w:color w:val="auto"/>
        </w:rPr>
        <w:t xml:space="preserve">Clawback: </w:t>
      </w:r>
      <w:r>
        <w:rPr>
          <w:rFonts w:ascii="Arial" w:cs="Arial" w:eastAsia="Arial" w:hAnsi="Arial"/>
          <w:sz w:val="18"/>
          <w:szCs w:val="18"/>
          <w:color w:val="auto"/>
        </w:rPr>
        <w:t>Under our 2015 Equity Incentive Plan, if a participant receives compensation pursuant to an award calculated by reference to</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statements that are subsequently required to be restated in a way that would decrease the value of that compensation, the participant will, upon our written request, forfeit and repay to us the difference between what the participant received and what the participant should have received based on the restated accounting, in accordance with (i) our compensation recovery, “clawback” or similar policy, as may be in effect from time to time, and (ii) any compensation recovery, “clawback” or similar policy made applicable by law, including the Dodd-Frank Act.</w:t>
      </w:r>
    </w:p>
    <w:p>
      <w:pPr>
        <w:spacing w:after="0" w:line="92" w:lineRule="exact"/>
        <w:rPr>
          <w:rFonts w:ascii="Arial" w:cs="Arial" w:eastAsia="Arial" w:hAnsi="Arial"/>
          <w:sz w:val="18"/>
          <w:szCs w:val="18"/>
          <w:color w:val="auto"/>
        </w:rPr>
      </w:pPr>
    </w:p>
    <w:p>
      <w:pPr>
        <w:ind w:left="1080" w:right="20" w:hanging="424"/>
        <w:spacing w:after="0" w:line="272" w:lineRule="auto"/>
        <w:tabs>
          <w:tab w:leader="none" w:pos="1080" w:val="left"/>
        </w:tabs>
        <w:numPr>
          <w:ilvl w:val="0"/>
          <w:numId w:val="33"/>
        </w:numPr>
        <w:rPr>
          <w:rFonts w:ascii="Arial" w:cs="Arial" w:eastAsia="Arial" w:hAnsi="Arial"/>
          <w:sz w:val="17"/>
          <w:szCs w:val="17"/>
          <w:color w:val="auto"/>
        </w:rPr>
      </w:pPr>
      <w:r>
        <w:rPr>
          <w:rFonts w:ascii="Arial" w:cs="Arial" w:eastAsia="Arial" w:hAnsi="Arial"/>
          <w:sz w:val="17"/>
          <w:szCs w:val="17"/>
          <w:b w:val="1"/>
          <w:bCs w:val="1"/>
          <w:color w:val="auto"/>
        </w:rPr>
        <w:t xml:space="preserve">Short Term Trading, Hedging and Pledging Prohibition: </w:t>
      </w:r>
      <w:r>
        <w:rPr>
          <w:rFonts w:ascii="Arial" w:cs="Arial" w:eastAsia="Arial" w:hAnsi="Arial"/>
          <w:sz w:val="17"/>
          <w:szCs w:val="17"/>
          <w:color w:val="auto"/>
        </w:rPr>
        <w:t>We have policies and procedures in place that strictly prohibit all directors and</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including NEOs, and their designees (i.e., their immediate family members, affiliated investment vehicles and persons who have delegated investment decisions to them) (collectively, “</w:t>
      </w:r>
      <w:r>
        <w:rPr>
          <w:rFonts w:ascii="Arial" w:cs="Arial" w:eastAsia="Arial" w:hAnsi="Arial"/>
          <w:sz w:val="17"/>
          <w:szCs w:val="17"/>
          <w:b w:val="1"/>
          <w:bCs w:val="1"/>
          <w:i w:val="1"/>
          <w:iCs w:val="1"/>
          <w:color w:val="auto"/>
        </w:rPr>
        <w:t>Company Personnel</w:t>
      </w:r>
      <w:r>
        <w:rPr>
          <w:rFonts w:ascii="Arial" w:cs="Arial" w:eastAsia="Arial" w:hAnsi="Arial"/>
          <w:sz w:val="17"/>
          <w:szCs w:val="17"/>
          <w:color w:val="auto"/>
        </w:rPr>
        <w:t>”) from engaging in short-term or speculative transactions in the Company’s securities. These prohibitions are intended to align the interests of Company Personnel with those of all stockholders, mainly by requiring Company Personnel to take on the full risks and rewards of ownership of Company securities, incentivizing Company Personnel to improve the Company’s performance, removing undue focus on the Company’s short-term stock market performance (versus the Company’s long-term business objectives) and avoiding the appearance that trading is based on inside information and the appearance of other improprieties.</w:t>
      </w:r>
    </w:p>
    <w:p>
      <w:pPr>
        <w:spacing w:after="0" w:line="67" w:lineRule="exact"/>
        <w:rPr>
          <w:rFonts w:ascii="Arial" w:cs="Arial" w:eastAsia="Arial" w:hAnsi="Arial"/>
          <w:sz w:val="17"/>
          <w:szCs w:val="17"/>
          <w:color w:val="auto"/>
        </w:rPr>
      </w:pPr>
    </w:p>
    <w:p>
      <w:pPr>
        <w:ind w:left="1100"/>
        <w:spacing w:after="0"/>
        <w:rPr>
          <w:rFonts w:ascii="Arial" w:cs="Arial" w:eastAsia="Arial" w:hAnsi="Arial"/>
          <w:sz w:val="17"/>
          <w:szCs w:val="17"/>
          <w:color w:val="auto"/>
        </w:rPr>
      </w:pPr>
      <w:r>
        <w:rPr>
          <w:rFonts w:ascii="Arial" w:cs="Arial" w:eastAsia="Arial" w:hAnsi="Arial"/>
          <w:sz w:val="18"/>
          <w:szCs w:val="18"/>
          <w:color w:val="auto"/>
        </w:rPr>
        <w:t>To those ends, the Company prohibits Company Personnel from:</w:t>
      </w:r>
    </w:p>
    <w:p>
      <w:pPr>
        <w:spacing w:after="0" w:line="130" w:lineRule="exact"/>
        <w:rPr>
          <w:rFonts w:ascii="Arial" w:cs="Arial" w:eastAsia="Arial" w:hAnsi="Arial"/>
          <w:sz w:val="17"/>
          <w:szCs w:val="17"/>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selling Company securities within six months of purchasing Company securities in the open market;</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holding Company securities in margin accounts;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pledging Company securities as collateral for loans or other obligations;</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1"/>
          <w:numId w:val="33"/>
        </w:numPr>
        <w:rPr>
          <w:rFonts w:ascii="Arial" w:cs="Arial" w:eastAsia="Arial" w:hAnsi="Arial"/>
          <w:sz w:val="18"/>
          <w:szCs w:val="18"/>
          <w:color w:val="auto"/>
        </w:rPr>
      </w:pPr>
      <w:r>
        <w:rPr>
          <w:rFonts w:ascii="Arial" w:cs="Arial" w:eastAsia="Arial" w:hAnsi="Arial"/>
          <w:sz w:val="18"/>
          <w:szCs w:val="18"/>
          <w:color w:val="auto"/>
        </w:rPr>
        <w:t>transacting through puts, calls or other derivative securities, on an exchange or in any other organized market;</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120"/>
          </w:cols>
          <w:pgMar w:left="320" w:top="459" w:right="4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540" w:hanging="331"/>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hedging or monetization transactions, such as zero-cost collars and forward sale contracts; and</w:t>
      </w:r>
    </w:p>
    <w:p>
      <w:pPr>
        <w:spacing w:after="0" w:line="130" w:lineRule="exact"/>
        <w:rPr>
          <w:rFonts w:ascii="Arial" w:cs="Arial" w:eastAsia="Arial" w:hAnsi="Arial"/>
          <w:sz w:val="18"/>
          <w:szCs w:val="18"/>
          <w:color w:val="auto"/>
        </w:rPr>
      </w:pPr>
    </w:p>
    <w:p>
      <w:pPr>
        <w:ind w:left="1540" w:hanging="331"/>
        <w:spacing w:after="0"/>
        <w:tabs>
          <w:tab w:leader="none" w:pos="15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engaging in short selling of the Company’s securities.</w:t>
      </w:r>
    </w:p>
    <w:p>
      <w:pPr>
        <w:spacing w:after="0" w:line="117" w:lineRule="exact"/>
        <w:rPr>
          <w:sz w:val="20"/>
          <w:szCs w:val="20"/>
          <w:color w:val="auto"/>
        </w:rPr>
      </w:pPr>
    </w:p>
    <w:p>
      <w:pPr>
        <w:ind w:left="1100" w:right="100"/>
        <w:spacing w:after="0" w:line="342" w:lineRule="auto"/>
        <w:rPr>
          <w:sz w:val="20"/>
          <w:szCs w:val="20"/>
          <w:color w:val="auto"/>
        </w:rPr>
      </w:pPr>
      <w:r>
        <w:rPr>
          <w:rFonts w:ascii="Arial" w:cs="Arial" w:eastAsia="Arial" w:hAnsi="Arial"/>
          <w:sz w:val="16"/>
          <w:szCs w:val="16"/>
          <w:color w:val="auto"/>
        </w:rPr>
        <w:t>The Company grants no exceptions to these policies and reserves the right to impose sanctions on any Company Personnel who violate these policies, including termination of employment or service for cause. No categories of hedging transactions are specifically permitted.</w:t>
      </w:r>
    </w:p>
    <w:p>
      <w:pPr>
        <w:spacing w:after="0" w:line="25" w:lineRule="exact"/>
        <w:rPr>
          <w:sz w:val="20"/>
          <w:szCs w:val="20"/>
          <w:color w:val="auto"/>
        </w:rPr>
      </w:pPr>
    </w:p>
    <w:p>
      <w:pPr>
        <w:ind w:left="1080" w:right="60" w:hanging="424"/>
        <w:spacing w:after="0" w:line="294"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b w:val="1"/>
          <w:bCs w:val="1"/>
          <w:color w:val="auto"/>
        </w:rPr>
        <w:t xml:space="preserve">Severance and “Double Trigger” Change In Control Arrangements: </w:t>
      </w:r>
      <w:r>
        <w:rPr>
          <w:rFonts w:ascii="Arial" w:cs="Arial" w:eastAsia="Arial" w:hAnsi="Arial"/>
          <w:sz w:val="16"/>
          <w:szCs w:val="16"/>
          <w:color w:val="auto"/>
        </w:rPr>
        <w:t>In exchange for being bound by certain restrictive covenants and</w:t>
      </w:r>
      <w:r>
        <w:rPr>
          <w:rFonts w:ascii="Arial" w:cs="Arial" w:eastAsia="Arial" w:hAnsi="Arial"/>
          <w:sz w:val="16"/>
          <w:szCs w:val="16"/>
          <w:b w:val="1"/>
          <w:bCs w:val="1"/>
          <w:color w:val="auto"/>
        </w:rPr>
        <w:t xml:space="preserve"> </w:t>
      </w:r>
      <w:r>
        <w:rPr>
          <w:rFonts w:ascii="Arial" w:cs="Arial" w:eastAsia="Arial" w:hAnsi="Arial"/>
          <w:sz w:val="16"/>
          <w:szCs w:val="16"/>
          <w:color w:val="auto"/>
        </w:rPr>
        <w:t>providing a release and waiver in favor of the Company, we provide our NEOs with severance and “double trigger” change of control benefits in connection with certain qualifying terminations of employment. We believe that providing our NEOs with market-competitive security protections in the event of certain employment terminations serves as an important retention tool and ensures that they remain dedicated, motivated and focused on achieving the best results for our stockholders. Additional details on these arrangements can be found under “</w:t>
      </w:r>
      <w:r>
        <w:rPr>
          <w:rFonts w:ascii="Arial" w:cs="Arial" w:eastAsia="Arial" w:hAnsi="Arial"/>
          <w:sz w:val="16"/>
          <w:szCs w:val="16"/>
          <w:i w:val="1"/>
          <w:iCs w:val="1"/>
          <w:color w:val="auto"/>
        </w:rPr>
        <w:t>Employment Agreements; Severance and Potential Payments, Upon Termination or Change of Control</w:t>
      </w:r>
      <w:r>
        <w:rPr>
          <w:rFonts w:ascii="Arial" w:cs="Arial" w:eastAsia="Arial" w:hAnsi="Arial"/>
          <w:sz w:val="16"/>
          <w:szCs w:val="16"/>
          <w:color w:val="auto"/>
        </w:rPr>
        <w:t>.”</w:t>
      </w:r>
    </w:p>
    <w:p>
      <w:pPr>
        <w:spacing w:after="0" w:line="307" w:lineRule="exact"/>
        <w:rPr>
          <w:sz w:val="20"/>
          <w:szCs w:val="20"/>
          <w:color w:val="auto"/>
        </w:rPr>
      </w:pPr>
    </w:p>
    <w:tbl>
      <w:tblPr>
        <w:tblLayout w:type="fixed"/>
        <w:tblInd w:w="130" w:type="dxa"/>
        <w:tblCellMar>
          <w:top w:w="0" w:type="dxa"/>
          <w:left w:w="0" w:type="dxa"/>
          <w:bottom w:w="0" w:type="dxa"/>
          <w:right w:w="0" w:type="dxa"/>
        </w:tblCellMar>
      </w:tblPr>
      <w:tr>
        <w:trPr>
          <w:trHeight w:val="351"/>
        </w:trPr>
        <w:tc>
          <w:tcPr>
            <w:tcW w:w="234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Executive Summary</w:t>
            </w:r>
          </w:p>
        </w:tc>
        <w:tc>
          <w:tcPr>
            <w:tcW w:w="2740" w:type="dxa"/>
            <w:vAlign w:val="bottom"/>
            <w:tcBorders>
              <w:top w:val="single" w:sz="8" w:color="auto"/>
            </w:tcBorders>
          </w:tcPr>
          <w:p>
            <w:pPr>
              <w:ind w:left="540"/>
              <w:spacing w:after="0"/>
              <w:rPr>
                <w:sz w:val="20"/>
                <w:szCs w:val="20"/>
                <w:color w:val="auto"/>
              </w:rPr>
            </w:pPr>
            <w:r>
              <w:rPr>
                <w:rFonts w:ascii="Arial" w:cs="Arial" w:eastAsia="Arial" w:hAnsi="Arial"/>
                <w:sz w:val="18"/>
                <w:szCs w:val="18"/>
                <w:b w:val="1"/>
                <w:bCs w:val="1"/>
                <w:color w:val="auto"/>
              </w:rPr>
              <w:t>Philosophy &amp; Program</w:t>
            </w:r>
          </w:p>
        </w:tc>
        <w:tc>
          <w:tcPr>
            <w:tcW w:w="2000" w:type="dxa"/>
            <w:vAlign w:val="bottom"/>
            <w:tcBorders>
              <w:top w:val="single" w:sz="8" w:color="auto"/>
            </w:tcBorders>
            <w:shd w:val="clear" w:color="auto" w:fill="000000"/>
          </w:tcPr>
          <w:p>
            <w:pPr>
              <w:ind w:left="780"/>
              <w:spacing w:after="0"/>
              <w:rPr>
                <w:sz w:val="20"/>
                <w:szCs w:val="20"/>
                <w:color w:val="auto"/>
              </w:rPr>
            </w:pPr>
            <w:r>
              <w:rPr>
                <w:rFonts w:ascii="Arial" w:cs="Arial" w:eastAsia="Arial" w:hAnsi="Arial"/>
                <w:sz w:val="18"/>
                <w:szCs w:val="18"/>
                <w:b w:val="1"/>
                <w:bCs w:val="1"/>
                <w:color w:val="FFFFFF"/>
              </w:rPr>
              <w:t>Process</w:t>
            </w:r>
          </w:p>
        </w:tc>
        <w:tc>
          <w:tcPr>
            <w:tcW w:w="1980" w:type="dxa"/>
            <w:vAlign w:val="bottom"/>
            <w:tcBorders>
              <w:top w:val="single" w:sz="8" w:color="auto"/>
              <w:right w:val="single" w:sz="8" w:color="auto"/>
            </w:tcBorders>
          </w:tcPr>
          <w:p>
            <w:pPr>
              <w:ind w:left="660"/>
              <w:spacing w:after="0"/>
              <w:rPr>
                <w:sz w:val="20"/>
                <w:szCs w:val="20"/>
                <w:color w:val="auto"/>
              </w:rPr>
            </w:pPr>
            <w:r>
              <w:rPr>
                <w:rFonts w:ascii="Arial" w:cs="Arial" w:eastAsia="Arial" w:hAnsi="Arial"/>
                <w:sz w:val="18"/>
                <w:szCs w:val="18"/>
                <w:b w:val="1"/>
                <w:bCs w:val="1"/>
                <w:color w:val="auto"/>
              </w:rPr>
              <w:t>Decisions</w:t>
            </w:r>
          </w:p>
        </w:tc>
        <w:tc>
          <w:tcPr>
            <w:tcW w:w="19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Other</w:t>
            </w:r>
          </w:p>
        </w:tc>
      </w:tr>
      <w:tr>
        <w:trPr>
          <w:trHeight w:val="162"/>
        </w:trPr>
        <w:tc>
          <w:tcPr>
            <w:tcW w:w="2340" w:type="dxa"/>
            <w:vAlign w:val="bottom"/>
            <w:tcBorders>
              <w:left w:val="single" w:sz="8" w:color="auto"/>
              <w:bottom w:val="single" w:sz="8" w:color="auto"/>
              <w:right w:val="single" w:sz="8" w:color="auto"/>
            </w:tcBorders>
          </w:tcPr>
          <w:p>
            <w:pPr>
              <w:spacing w:after="0"/>
              <w:rPr>
                <w:sz w:val="14"/>
                <w:szCs w:val="14"/>
                <w:color w:val="auto"/>
              </w:rPr>
            </w:pPr>
          </w:p>
        </w:tc>
        <w:tc>
          <w:tcPr>
            <w:tcW w:w="27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shd w:val="clear" w:color="auto" w:fill="000000"/>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section describes the process used in making decisions regarding NEO compensation.</w:t>
      </w:r>
    </w:p>
    <w:p>
      <w:pPr>
        <w:spacing w:after="0" w:line="329"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Roles of the Compensation Committee, Independent Consultants and Management</w:t>
      </w:r>
    </w:p>
    <w:p>
      <w:pPr>
        <w:spacing w:after="0" w:line="121" w:lineRule="exact"/>
        <w:rPr>
          <w:sz w:val="20"/>
          <w:szCs w:val="20"/>
          <w:color w:val="auto"/>
        </w:rPr>
      </w:pPr>
    </w:p>
    <w:p>
      <w:pPr>
        <w:ind w:left="120" w:right="160" w:firstLine="440"/>
        <w:spacing w:after="0" w:line="259" w:lineRule="auto"/>
        <w:rPr>
          <w:sz w:val="20"/>
          <w:szCs w:val="20"/>
          <w:color w:val="auto"/>
        </w:rPr>
      </w:pPr>
      <w:r>
        <w:rPr>
          <w:rFonts w:ascii="Arial" w:cs="Arial" w:eastAsia="Arial" w:hAnsi="Arial"/>
          <w:sz w:val="18"/>
          <w:szCs w:val="18"/>
          <w:color w:val="auto"/>
        </w:rPr>
        <w:t>Each year the Compensation Committee discusses, reviews, recommends, and/or approves certain actions related to executive compensation and our overall executive compensation program. The Compensation Committee makes use of an independent compensation consultant in certain cases to assist the Compensation Committee in its deliberations and decision-making process. Certain members of the management team also assist in developing materials and explaining aspects of our compensation program.</w:t>
      </w:r>
    </w:p>
    <w:p>
      <w:pPr>
        <w:spacing w:after="0" w:line="187" w:lineRule="exact"/>
        <w:rPr>
          <w:sz w:val="20"/>
          <w:szCs w:val="20"/>
          <w:color w:val="auto"/>
        </w:rPr>
      </w:pPr>
    </w:p>
    <w:p>
      <w:pPr>
        <w:ind w:left="120" w:right="600" w:firstLine="440"/>
        <w:spacing w:after="0" w:line="277" w:lineRule="auto"/>
        <w:rPr>
          <w:sz w:val="20"/>
          <w:szCs w:val="20"/>
          <w:color w:val="auto"/>
        </w:rPr>
      </w:pPr>
      <w:r>
        <w:rPr>
          <w:rFonts w:ascii="Arial" w:cs="Arial" w:eastAsia="Arial" w:hAnsi="Arial"/>
          <w:sz w:val="18"/>
          <w:szCs w:val="18"/>
          <w:i w:val="1"/>
          <w:iCs w:val="1"/>
          <w:color w:val="auto"/>
        </w:rPr>
        <w:t xml:space="preserve">Role of the Compensation Committee. </w:t>
      </w:r>
      <w:r>
        <w:rPr>
          <w:rFonts w:ascii="Arial" w:cs="Arial" w:eastAsia="Arial" w:hAnsi="Arial"/>
          <w:sz w:val="18"/>
          <w:szCs w:val="18"/>
          <w:color w:val="auto"/>
        </w:rPr>
        <w:t>The Compensation Committee is responsible for assisting the Board of Directors in establishing and</w:t>
      </w:r>
      <w:r>
        <w:rPr>
          <w:rFonts w:ascii="Arial" w:cs="Arial" w:eastAsia="Arial" w:hAnsi="Arial"/>
          <w:sz w:val="18"/>
          <w:szCs w:val="18"/>
          <w:i w:val="1"/>
          <w:iCs w:val="1"/>
          <w:color w:val="auto"/>
        </w:rPr>
        <w:t xml:space="preserve"> </w:t>
      </w:r>
      <w:r>
        <w:rPr>
          <w:rFonts w:ascii="Arial" w:cs="Arial" w:eastAsia="Arial" w:hAnsi="Arial"/>
          <w:sz w:val="18"/>
          <w:szCs w:val="18"/>
          <w:color w:val="auto"/>
        </w:rPr>
        <w:t>overseeing our executive compensation program. This includes the following key responsibilities:</w:t>
      </w:r>
    </w:p>
    <w:p>
      <w:pPr>
        <w:spacing w:after="0" w:line="76" w:lineRule="exact"/>
        <w:rPr>
          <w:sz w:val="20"/>
          <w:szCs w:val="20"/>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determining and approving the compensation of our CEO and other executive officers;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36"/>
        </w:numPr>
        <w:rPr>
          <w:rFonts w:ascii="Arial" w:cs="Arial" w:eastAsia="Arial" w:hAnsi="Arial"/>
          <w:sz w:val="17"/>
          <w:szCs w:val="17"/>
          <w:color w:val="auto"/>
        </w:rPr>
      </w:pPr>
      <w:r>
        <w:rPr>
          <w:rFonts w:ascii="Arial" w:cs="Arial" w:eastAsia="Arial" w:hAnsi="Arial"/>
          <w:sz w:val="17"/>
          <w:szCs w:val="17"/>
          <w:color w:val="auto"/>
        </w:rPr>
        <w:t>administering our equity and cash incentive compensation plans, including authorizing and granting awards under these plans; and</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preparing any required disclosures for the SEC.</w:t>
      </w:r>
    </w:p>
    <w:p>
      <w:pPr>
        <w:spacing w:after="0" w:line="225" w:lineRule="exact"/>
        <w:rPr>
          <w:sz w:val="20"/>
          <w:szCs w:val="20"/>
          <w:color w:val="auto"/>
        </w:rPr>
      </w:pPr>
    </w:p>
    <w:p>
      <w:pPr>
        <w:ind w:left="120" w:right="60" w:firstLine="440"/>
        <w:spacing w:after="0" w:line="279" w:lineRule="auto"/>
        <w:rPr>
          <w:sz w:val="20"/>
          <w:szCs w:val="20"/>
          <w:color w:val="auto"/>
        </w:rPr>
      </w:pPr>
      <w:r>
        <w:rPr>
          <w:rFonts w:ascii="Arial" w:cs="Arial" w:eastAsia="Arial" w:hAnsi="Arial"/>
          <w:sz w:val="17"/>
          <w:szCs w:val="17"/>
          <w:color w:val="auto"/>
        </w:rPr>
        <w:t>Our Compensation Committee typically reviews and discusses management’s proposed compensation with our CEO for all executive officers other than the CEO. Following the Compensation Committee’s discussions with management and consideration of the CEO’s performance and market data provided by Pearl Meyer (described below), the Compensation Committee then consults with the Board about the compensation of our CEO before approving her compensation. The Compensation Committee meets regularly throughout the year.</w:t>
      </w:r>
    </w:p>
    <w:p>
      <w:pPr>
        <w:spacing w:after="0" w:line="171" w:lineRule="exact"/>
        <w:rPr>
          <w:sz w:val="20"/>
          <w:szCs w:val="20"/>
          <w:color w:val="auto"/>
        </w:rPr>
      </w:pPr>
    </w:p>
    <w:p>
      <w:pPr>
        <w:ind w:left="120" w:right="40" w:firstLine="440"/>
        <w:spacing w:after="0" w:line="296" w:lineRule="auto"/>
        <w:rPr>
          <w:sz w:val="20"/>
          <w:szCs w:val="20"/>
          <w:color w:val="auto"/>
        </w:rPr>
      </w:pPr>
      <w:r>
        <w:rPr>
          <w:rFonts w:ascii="Arial" w:cs="Arial" w:eastAsia="Arial" w:hAnsi="Arial"/>
          <w:sz w:val="16"/>
          <w:szCs w:val="16"/>
          <w:i w:val="1"/>
          <w:iCs w:val="1"/>
          <w:color w:val="auto"/>
        </w:rPr>
        <w:t xml:space="preserve">Role of our CEO. </w:t>
      </w:r>
      <w:r>
        <w:rPr>
          <w:rFonts w:ascii="Arial" w:cs="Arial" w:eastAsia="Arial" w:hAnsi="Arial"/>
          <w:sz w:val="16"/>
          <w:szCs w:val="16"/>
          <w:color w:val="auto"/>
        </w:rPr>
        <w:t>Our CEO reports to our Compensation Committee on the individual performance and contributions of each of the other</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officers, and, with the benefit of market data provided by Pearl Meyer, annually makes recommendations to the Compensation Committee regarding base salary, executive bonus plan performance targets and payouts, and equity awards. The Compensation Committee reviews and considers those recommendations, but ultimately retains full discretion and authority over the final compensation decisions for the executive officers. Our CEO, in consultation with other members of management, also recommends the Company goals which are used for our executive bonus plan.</w:t>
      </w:r>
    </w:p>
    <w:p>
      <w:pPr>
        <w:spacing w:after="0" w:line="9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40"/>
          </w:cols>
          <w:pgMar w:left="320" w:top="459" w:right="4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80" w:firstLine="440"/>
        <w:spacing w:after="0" w:line="293" w:lineRule="auto"/>
        <w:rPr>
          <w:sz w:val="20"/>
          <w:szCs w:val="20"/>
          <w:color w:val="auto"/>
        </w:rPr>
      </w:pPr>
      <w:r>
        <w:rPr>
          <w:rFonts w:ascii="Arial" w:cs="Arial" w:eastAsia="Arial" w:hAnsi="Arial"/>
          <w:sz w:val="16"/>
          <w:szCs w:val="16"/>
          <w:i w:val="1"/>
          <w:iCs w:val="1"/>
          <w:color w:val="auto"/>
        </w:rPr>
        <w:t xml:space="preserve">Role of our Independent Compensation Consultant. </w:t>
      </w:r>
      <w:r>
        <w:rPr>
          <w:rFonts w:ascii="Arial" w:cs="Arial" w:eastAsia="Arial" w:hAnsi="Arial"/>
          <w:sz w:val="16"/>
          <w:szCs w:val="16"/>
          <w:color w:val="auto"/>
        </w:rPr>
        <w:t>Pursuant to its charter, the Compensation Committee has the sole authority to retain</w:t>
      </w:r>
      <w:r>
        <w:rPr>
          <w:rFonts w:ascii="Arial" w:cs="Arial" w:eastAsia="Arial" w:hAnsi="Arial"/>
          <w:sz w:val="16"/>
          <w:szCs w:val="16"/>
          <w:i w:val="1"/>
          <w:iCs w:val="1"/>
          <w:color w:val="auto"/>
        </w:rPr>
        <w:t xml:space="preserve"> </w:t>
      </w:r>
      <w:r>
        <w:rPr>
          <w:rFonts w:ascii="Arial" w:cs="Arial" w:eastAsia="Arial" w:hAnsi="Arial"/>
          <w:sz w:val="16"/>
          <w:szCs w:val="16"/>
          <w:color w:val="auto"/>
        </w:rPr>
        <w:t>compensation consultants to assist in its evaluation of executive compensation. Our Compensation Committee engaged Pearl Meyer as its independent compensation consultant in 2019. Pearl Meyer provides information and advice to our Compensation Committee on all aspects of the Compensation Committee’s key responsibilities and attends Compensation Committee meetings or calls at the request of the Committee. Our Compensation Committee considered the relationship that Pearl Meyer has with us, the members of our Board and our executive officers and based on its evaluation, the Compensation Committee has determined that Pearl Meyer is serving as an independent and conflict-free advisor to the Compensation Committee.</w:t>
      </w:r>
    </w:p>
    <w:p>
      <w:pPr>
        <w:spacing w:after="0" w:line="26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Market Benchmarking</w:t>
      </w:r>
    </w:p>
    <w:p>
      <w:pPr>
        <w:spacing w:after="0" w:line="121"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Our Compensation Committee utilizes compensation peer group and other market data in making compensation decisions. This information provides context for the Compensation Committee in setting target compensation levels going forward.</w:t>
      </w:r>
    </w:p>
    <w:p>
      <w:pPr>
        <w:spacing w:after="0" w:line="170" w:lineRule="exact"/>
        <w:rPr>
          <w:sz w:val="20"/>
          <w:szCs w:val="20"/>
          <w:color w:val="auto"/>
        </w:rPr>
      </w:pPr>
    </w:p>
    <w:p>
      <w:pPr>
        <w:ind w:left="120" w:right="500" w:firstLine="440"/>
        <w:spacing w:after="0" w:line="277" w:lineRule="auto"/>
        <w:rPr>
          <w:sz w:val="20"/>
          <w:szCs w:val="20"/>
          <w:color w:val="auto"/>
        </w:rPr>
      </w:pPr>
      <w:r>
        <w:rPr>
          <w:rFonts w:ascii="Arial" w:cs="Arial" w:eastAsia="Arial" w:hAnsi="Arial"/>
          <w:sz w:val="18"/>
          <w:szCs w:val="18"/>
          <w:color w:val="auto"/>
        </w:rPr>
        <w:t>In September 2018, our Compensation Committee, with the assistance of Pearl Meyer, constructed a peer group to use in setting 2019 target compensation based on the following screening criteria:</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31"/>
        </w:trPr>
        <w:tc>
          <w:tcPr>
            <w:tcW w:w="2440" w:type="dxa"/>
            <w:vAlign w:val="bottom"/>
            <w:tcBorders>
              <w:left w:val="single" w:sz="8" w:color="5EB5FC"/>
              <w:right w:val="single" w:sz="8" w:color="5EB5FC"/>
            </w:tcBorders>
            <w:shd w:val="clear" w:color="auto" w:fill="5EB5FC"/>
          </w:tcPr>
          <w:p>
            <w:pPr>
              <w:ind w:left="1040"/>
              <w:spacing w:after="0"/>
              <w:rPr>
                <w:sz w:val="20"/>
                <w:szCs w:val="20"/>
                <w:color w:val="auto"/>
              </w:rPr>
            </w:pPr>
            <w:r>
              <w:rPr>
                <w:rFonts w:ascii="Arial" w:cs="Arial" w:eastAsia="Arial" w:hAnsi="Arial"/>
                <w:sz w:val="14"/>
                <w:szCs w:val="14"/>
                <w:b w:val="1"/>
                <w:bCs w:val="1"/>
                <w:color w:val="FFFFFF"/>
              </w:rPr>
              <w:t>Criteria</w:t>
            </w:r>
          </w:p>
        </w:tc>
        <w:tc>
          <w:tcPr>
            <w:tcW w:w="8600" w:type="dxa"/>
            <w:vAlign w:val="bottom"/>
            <w:tcBorders>
              <w:right w:val="single" w:sz="8" w:color="5EB5FC"/>
            </w:tcBorders>
            <w:shd w:val="clear" w:color="auto" w:fill="5EB5FC"/>
          </w:tcPr>
          <w:p>
            <w:pPr>
              <w:ind w:left="3960"/>
              <w:spacing w:after="0"/>
              <w:rPr>
                <w:sz w:val="20"/>
                <w:szCs w:val="20"/>
                <w:color w:val="auto"/>
              </w:rPr>
            </w:pPr>
            <w:r>
              <w:rPr>
                <w:rFonts w:ascii="Arial" w:cs="Arial" w:eastAsia="Arial" w:hAnsi="Arial"/>
                <w:sz w:val="14"/>
                <w:szCs w:val="14"/>
                <w:b w:val="1"/>
                <w:bCs w:val="1"/>
                <w:color w:val="FFFFFF"/>
              </w:rPr>
              <w:t>Description</w:t>
            </w:r>
          </w:p>
        </w:tc>
        <w:tc>
          <w:tcPr>
            <w:tcW w:w="0" w:type="dxa"/>
            <w:vAlign w:val="bottom"/>
          </w:tcPr>
          <w:p>
            <w:pPr>
              <w:spacing w:after="0"/>
              <w:rPr>
                <w:sz w:val="1"/>
                <w:szCs w:val="1"/>
                <w:color w:val="auto"/>
              </w:rPr>
            </w:pPr>
          </w:p>
        </w:tc>
      </w:tr>
      <w:tr>
        <w:trPr>
          <w:trHeight w:val="93"/>
        </w:trPr>
        <w:tc>
          <w:tcPr>
            <w:tcW w:w="2440" w:type="dxa"/>
            <w:vAlign w:val="bottom"/>
            <w:tcBorders>
              <w:left w:val="single" w:sz="8" w:color="5EB5FC"/>
              <w:right w:val="single" w:sz="8" w:color="5EB5FC"/>
            </w:tcBorders>
            <w:shd w:val="clear" w:color="auto" w:fill="5EB5FC"/>
          </w:tcPr>
          <w:p>
            <w:pPr>
              <w:spacing w:after="0"/>
              <w:rPr>
                <w:sz w:val="8"/>
                <w:szCs w:val="8"/>
                <w:color w:val="auto"/>
              </w:rPr>
            </w:pPr>
          </w:p>
        </w:tc>
        <w:tc>
          <w:tcPr>
            <w:tcW w:w="860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2440" w:type="dxa"/>
            <w:vAlign w:val="bottom"/>
            <w:tcBorders>
              <w:left w:val="single" w:sz="8" w:color="A0DBF9"/>
              <w:right w:val="single" w:sz="8" w:color="A0DBF9"/>
            </w:tcBorders>
            <w:vMerge w:val="restart"/>
            <w:shd w:val="clear" w:color="auto" w:fill="E2F4FC"/>
          </w:tcPr>
          <w:p>
            <w:pPr>
              <w:ind w:left="240"/>
              <w:spacing w:after="0"/>
              <w:rPr>
                <w:sz w:val="20"/>
                <w:szCs w:val="20"/>
                <w:color w:val="auto"/>
              </w:rPr>
            </w:pPr>
            <w:r>
              <w:rPr>
                <w:rFonts w:ascii="Arial" w:cs="Arial" w:eastAsia="Arial" w:hAnsi="Arial"/>
                <w:sz w:val="18"/>
                <w:szCs w:val="18"/>
                <w:b w:val="1"/>
                <w:bCs w:val="1"/>
                <w:color w:val="auto"/>
              </w:rPr>
              <w:t>Industry</w:t>
            </w:r>
          </w:p>
        </w:tc>
        <w:tc>
          <w:tcPr>
            <w:tcW w:w="860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rPr>
              <w:t>U.S. publicly traded healthcare companies in the diagnostics, supplies, equipment, biotechnology and</w:t>
            </w:r>
          </w:p>
        </w:tc>
        <w:tc>
          <w:tcPr>
            <w:tcW w:w="0" w:type="dxa"/>
            <w:vAlign w:val="bottom"/>
          </w:tcPr>
          <w:p>
            <w:pPr>
              <w:spacing w:after="0"/>
              <w:rPr>
                <w:sz w:val="1"/>
                <w:szCs w:val="1"/>
                <w:color w:val="auto"/>
              </w:rPr>
            </w:pPr>
          </w:p>
        </w:tc>
      </w:tr>
      <w:tr>
        <w:trPr>
          <w:trHeight w:val="136"/>
        </w:trPr>
        <w:tc>
          <w:tcPr>
            <w:tcW w:w="2440" w:type="dxa"/>
            <w:vAlign w:val="bottom"/>
            <w:tcBorders>
              <w:left w:val="single" w:sz="8" w:color="A0DBF9"/>
              <w:right w:val="single" w:sz="8" w:color="A0DBF9"/>
            </w:tcBorders>
            <w:vMerge w:val="continue"/>
            <w:shd w:val="clear" w:color="auto" w:fill="E2F4FC"/>
          </w:tcPr>
          <w:p>
            <w:pPr>
              <w:spacing w:after="0"/>
              <w:rPr>
                <w:sz w:val="11"/>
                <w:szCs w:val="11"/>
                <w:color w:val="auto"/>
              </w:rPr>
            </w:pPr>
          </w:p>
        </w:tc>
        <w:tc>
          <w:tcPr>
            <w:tcW w:w="8600" w:type="dxa"/>
            <w:vAlign w:val="bottom"/>
            <w:tcBorders>
              <w:right w:val="single" w:sz="8" w:color="A0DBF9"/>
            </w:tcBorders>
            <w:vMerge w:val="restart"/>
            <w:shd w:val="clear" w:color="auto" w:fill="E2F4FC"/>
          </w:tcPr>
          <w:p>
            <w:pPr>
              <w:ind w:left="100"/>
              <w:spacing w:after="0"/>
              <w:rPr>
                <w:sz w:val="20"/>
                <w:szCs w:val="20"/>
                <w:color w:val="auto"/>
              </w:rPr>
            </w:pPr>
            <w:r>
              <w:rPr>
                <w:rFonts w:ascii="Arial" w:cs="Arial" w:eastAsia="Arial" w:hAnsi="Arial"/>
                <w:sz w:val="18"/>
                <w:szCs w:val="18"/>
                <w:color w:val="auto"/>
              </w:rPr>
              <w:t>pharmaceuticals sectors</w:t>
            </w:r>
          </w:p>
        </w:tc>
        <w:tc>
          <w:tcPr>
            <w:tcW w:w="0" w:type="dxa"/>
            <w:vAlign w:val="bottom"/>
          </w:tcPr>
          <w:p>
            <w:pPr>
              <w:spacing w:after="0"/>
              <w:rPr>
                <w:sz w:val="1"/>
                <w:szCs w:val="1"/>
                <w:color w:val="auto"/>
              </w:rPr>
            </w:pPr>
          </w:p>
        </w:tc>
      </w:tr>
      <w:tr>
        <w:trPr>
          <w:trHeight w:val="94"/>
        </w:trPr>
        <w:tc>
          <w:tcPr>
            <w:tcW w:w="2440" w:type="dxa"/>
            <w:vAlign w:val="bottom"/>
            <w:tcBorders>
              <w:left w:val="single" w:sz="8" w:color="A0DBF9"/>
              <w:right w:val="single" w:sz="8" w:color="A0DBF9"/>
            </w:tcBorders>
            <w:shd w:val="clear" w:color="auto" w:fill="E2F4FC"/>
          </w:tcPr>
          <w:p>
            <w:pPr>
              <w:spacing w:after="0"/>
              <w:rPr>
                <w:sz w:val="8"/>
                <w:szCs w:val="8"/>
                <w:color w:val="auto"/>
              </w:rPr>
            </w:pPr>
          </w:p>
        </w:tc>
        <w:tc>
          <w:tcPr>
            <w:tcW w:w="8600" w:type="dxa"/>
            <w:vAlign w:val="bottom"/>
            <w:tcBorders>
              <w:right w:val="single" w:sz="8" w:color="A0DBF9"/>
            </w:tcBorders>
            <w:vMerge w:val="continue"/>
            <w:shd w:val="clear" w:color="auto" w:fill="E2F4FC"/>
          </w:tcPr>
          <w:p>
            <w:pPr>
              <w:spacing w:after="0"/>
              <w:rPr>
                <w:sz w:val="8"/>
                <w:szCs w:val="8"/>
                <w:color w:val="auto"/>
              </w:rPr>
            </w:pPr>
          </w:p>
        </w:tc>
        <w:tc>
          <w:tcPr>
            <w:tcW w:w="0" w:type="dxa"/>
            <w:vAlign w:val="bottom"/>
          </w:tcPr>
          <w:p>
            <w:pPr>
              <w:spacing w:after="0"/>
              <w:rPr>
                <w:sz w:val="1"/>
                <w:szCs w:val="1"/>
                <w:color w:val="auto"/>
              </w:rPr>
            </w:pPr>
          </w:p>
        </w:tc>
      </w:tr>
      <w:tr>
        <w:trPr>
          <w:trHeight w:val="108"/>
        </w:trPr>
        <w:tc>
          <w:tcPr>
            <w:tcW w:w="2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860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250"/>
        </w:trPr>
        <w:tc>
          <w:tcPr>
            <w:tcW w:w="24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Size</w:t>
            </w:r>
          </w:p>
        </w:tc>
        <w:tc>
          <w:tcPr>
            <w:tcW w:w="8600" w:type="dxa"/>
            <w:vAlign w:val="bottom"/>
            <w:tcBorders>
              <w:right w:val="single" w:sz="8" w:color="A0DBF9"/>
            </w:tcBorders>
          </w:tcPr>
          <w:p>
            <w:pPr>
              <w:ind w:left="100"/>
              <w:spacing w:after="0"/>
              <w:rPr>
                <w:sz w:val="20"/>
                <w:szCs w:val="20"/>
                <w:color w:val="auto"/>
              </w:rPr>
            </w:pPr>
            <w:r>
              <w:rPr>
                <w:rFonts w:ascii="Arial" w:cs="Arial" w:eastAsia="Arial" w:hAnsi="Arial"/>
                <w:sz w:val="18"/>
                <w:szCs w:val="18"/>
                <w:color w:val="auto"/>
              </w:rPr>
              <w:t>1/2x to 2x Lantheus’ most recent annual revenue and enterprise value</w:t>
            </w:r>
          </w:p>
        </w:tc>
        <w:tc>
          <w:tcPr>
            <w:tcW w:w="0" w:type="dxa"/>
            <w:vAlign w:val="bottom"/>
          </w:tcPr>
          <w:p>
            <w:pPr>
              <w:spacing w:after="0"/>
              <w:rPr>
                <w:sz w:val="1"/>
                <w:szCs w:val="1"/>
                <w:color w:val="auto"/>
              </w:rPr>
            </w:pPr>
          </w:p>
        </w:tc>
      </w:tr>
      <w:tr>
        <w:trPr>
          <w:trHeight w:val="108"/>
        </w:trPr>
        <w:tc>
          <w:tcPr>
            <w:tcW w:w="2440" w:type="dxa"/>
            <w:vAlign w:val="bottom"/>
            <w:tcBorders>
              <w:left w:val="single" w:sz="8" w:color="A0DBF9"/>
              <w:bottom w:val="single" w:sz="8" w:color="A0DBF9"/>
              <w:right w:val="single" w:sz="8" w:color="A0DBF9"/>
            </w:tcBorders>
          </w:tcPr>
          <w:p>
            <w:pPr>
              <w:spacing w:after="0"/>
              <w:rPr>
                <w:sz w:val="9"/>
                <w:szCs w:val="9"/>
                <w:color w:val="auto"/>
              </w:rPr>
            </w:pPr>
          </w:p>
        </w:tc>
        <w:tc>
          <w:tcPr>
            <w:tcW w:w="860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r>
        <w:trPr>
          <w:trHeight w:val="236"/>
        </w:trPr>
        <w:tc>
          <w:tcPr>
            <w:tcW w:w="2440" w:type="dxa"/>
            <w:vAlign w:val="bottom"/>
            <w:tcBorders>
              <w:left w:val="single" w:sz="8" w:color="A0DBF9"/>
              <w:right w:val="single" w:sz="8" w:color="A0DBF9"/>
            </w:tcBorders>
            <w:vMerge w:val="restart"/>
            <w:shd w:val="clear" w:color="auto" w:fill="E2F4FC"/>
          </w:tcPr>
          <w:p>
            <w:pPr>
              <w:ind w:left="240"/>
              <w:spacing w:after="0"/>
              <w:rPr>
                <w:sz w:val="20"/>
                <w:szCs w:val="20"/>
                <w:color w:val="auto"/>
              </w:rPr>
            </w:pPr>
            <w:r>
              <w:rPr>
                <w:rFonts w:ascii="Arial" w:cs="Arial" w:eastAsia="Arial" w:hAnsi="Arial"/>
                <w:sz w:val="18"/>
                <w:szCs w:val="18"/>
                <w:b w:val="1"/>
                <w:bCs w:val="1"/>
                <w:color w:val="auto"/>
              </w:rPr>
              <w:t>Other</w:t>
            </w:r>
          </w:p>
        </w:tc>
        <w:tc>
          <w:tcPr>
            <w:tcW w:w="860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w w:val="93"/>
              </w:rPr>
              <w:t>Prioritized companies with (i) a focus on diagnostics products, (ii) in a comparable location and/or (iii) with positive</w:t>
            </w:r>
          </w:p>
        </w:tc>
        <w:tc>
          <w:tcPr>
            <w:tcW w:w="0" w:type="dxa"/>
            <w:vAlign w:val="bottom"/>
          </w:tcPr>
          <w:p>
            <w:pPr>
              <w:spacing w:after="0"/>
              <w:rPr>
                <w:sz w:val="1"/>
                <w:szCs w:val="1"/>
                <w:color w:val="auto"/>
              </w:rPr>
            </w:pPr>
          </w:p>
        </w:tc>
      </w:tr>
      <w:tr>
        <w:trPr>
          <w:trHeight w:val="230"/>
        </w:trPr>
        <w:tc>
          <w:tcPr>
            <w:tcW w:w="2440" w:type="dxa"/>
            <w:vAlign w:val="bottom"/>
            <w:tcBorders>
              <w:left w:val="single" w:sz="8" w:color="A0DBF9"/>
              <w:right w:val="single" w:sz="8" w:color="A0DBF9"/>
            </w:tcBorders>
            <w:vMerge w:val="continue"/>
            <w:shd w:val="clear" w:color="auto" w:fill="E2F4FC"/>
          </w:tcPr>
          <w:p>
            <w:pPr>
              <w:spacing w:after="0"/>
              <w:rPr>
                <w:sz w:val="20"/>
                <w:szCs w:val="20"/>
                <w:color w:val="auto"/>
              </w:rPr>
            </w:pPr>
          </w:p>
        </w:tc>
        <w:tc>
          <w:tcPr>
            <w:tcW w:w="8600" w:type="dxa"/>
            <w:vAlign w:val="bottom"/>
            <w:tcBorders>
              <w:right w:val="single" w:sz="8" w:color="A0DBF9"/>
            </w:tcBorders>
            <w:shd w:val="clear" w:color="auto" w:fill="E2F4FC"/>
          </w:tcPr>
          <w:p>
            <w:pPr>
              <w:ind w:left="100"/>
              <w:spacing w:after="0"/>
              <w:rPr>
                <w:sz w:val="20"/>
                <w:szCs w:val="20"/>
                <w:color w:val="auto"/>
              </w:rPr>
            </w:pPr>
            <w:r>
              <w:rPr>
                <w:rFonts w:ascii="Arial" w:cs="Arial" w:eastAsia="Arial" w:hAnsi="Arial"/>
                <w:sz w:val="18"/>
                <w:szCs w:val="18"/>
                <w:color w:val="auto"/>
              </w:rPr>
              <w:t>earnings</w:t>
            </w:r>
          </w:p>
        </w:tc>
        <w:tc>
          <w:tcPr>
            <w:tcW w:w="0" w:type="dxa"/>
            <w:vAlign w:val="bottom"/>
          </w:tcPr>
          <w:p>
            <w:pPr>
              <w:spacing w:after="0"/>
              <w:rPr>
                <w:sz w:val="1"/>
                <w:szCs w:val="1"/>
                <w:color w:val="auto"/>
              </w:rPr>
            </w:pPr>
          </w:p>
        </w:tc>
      </w:tr>
      <w:tr>
        <w:trPr>
          <w:trHeight w:val="108"/>
        </w:trPr>
        <w:tc>
          <w:tcPr>
            <w:tcW w:w="2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860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Based on this screening criteria, Pearl Meyer recommended, and the Compensation Committee approved, a peer group of 17 companies, listed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134620</wp:posOffset>
            </wp:positionV>
            <wp:extent cx="7003415" cy="2057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003415" cy="205740"/>
                    </a:xfrm>
                    <a:prstGeom prst="rect">
                      <a:avLst/>
                    </a:prstGeom>
                    <a:noFill/>
                  </pic:spPr>
                </pic:pic>
              </a:graphicData>
            </a:graphic>
          </wp:anchor>
        </w:drawing>
      </w:r>
    </w:p>
    <w:p>
      <w:pPr>
        <w:spacing w:after="0" w:line="236" w:lineRule="exact"/>
        <w:rPr>
          <w:sz w:val="20"/>
          <w:szCs w:val="20"/>
          <w:color w:val="auto"/>
        </w:rPr>
      </w:pPr>
    </w:p>
    <w:p>
      <w:pPr>
        <w:jc w:val="center"/>
        <w:ind w:right="-219"/>
        <w:spacing w:after="0"/>
        <w:rPr>
          <w:sz w:val="20"/>
          <w:szCs w:val="20"/>
          <w:color w:val="auto"/>
        </w:rPr>
      </w:pPr>
      <w:r>
        <w:rPr>
          <w:rFonts w:ascii="Arial" w:cs="Arial" w:eastAsia="Arial" w:hAnsi="Arial"/>
          <w:sz w:val="14"/>
          <w:szCs w:val="14"/>
          <w:b w:val="1"/>
          <w:bCs w:val="1"/>
          <w:color w:val="FFFFFF"/>
        </w:rPr>
        <w:t>Peer Companies for 2019 Compensation Purposes</w:t>
      </w:r>
    </w:p>
    <w:p>
      <w:pPr>
        <w:spacing w:after="0" w:line="118" w:lineRule="exact"/>
        <w:rPr>
          <w:sz w:val="20"/>
          <w:szCs w:val="20"/>
          <w:color w:val="auto"/>
        </w:rPr>
      </w:pPr>
    </w:p>
    <w:tbl>
      <w:tblPr>
        <w:tblLayout w:type="fixed"/>
        <w:tblInd w:w="130" w:type="dxa"/>
        <w:tblCellMar>
          <w:top w:w="0" w:type="dxa"/>
          <w:left w:w="0" w:type="dxa"/>
          <w:bottom w:w="0" w:type="dxa"/>
          <w:right w:w="0" w:type="dxa"/>
        </w:tblCellMar>
      </w:tblPr>
      <w:tr>
        <w:trPr>
          <w:trHeight w:val="270"/>
        </w:trPr>
        <w:tc>
          <w:tcPr>
            <w:tcW w:w="3980" w:type="dxa"/>
            <w:vAlign w:val="bottom"/>
            <w:tcBorders>
              <w:left w:val="single" w:sz="8" w:color="A0DBF9"/>
              <w:right w:val="single" w:sz="8" w:color="A0DBF9"/>
            </w:tcBorders>
            <w:shd w:val="clear" w:color="auto" w:fill="E2F4FC"/>
          </w:tcPr>
          <w:p>
            <w:pPr>
              <w:jc w:val="center"/>
              <w:ind w:left="50"/>
              <w:spacing w:after="0"/>
              <w:rPr>
                <w:sz w:val="20"/>
                <w:szCs w:val="20"/>
                <w:color w:val="auto"/>
              </w:rPr>
            </w:pPr>
            <w:r>
              <w:rPr>
                <w:rFonts w:ascii="Arial" w:cs="Arial" w:eastAsia="Arial" w:hAnsi="Arial"/>
                <w:sz w:val="18"/>
                <w:szCs w:val="18"/>
                <w:color w:val="auto"/>
                <w:w w:val="91"/>
              </w:rPr>
              <w:t>Accuray Incorporated</w:t>
            </w:r>
          </w:p>
        </w:tc>
        <w:tc>
          <w:tcPr>
            <w:tcW w:w="3540" w:type="dxa"/>
            <w:vAlign w:val="bottom"/>
            <w:tcBorders>
              <w:right w:val="single" w:sz="8" w:color="A0DBF9"/>
            </w:tcBorders>
            <w:shd w:val="clear" w:color="auto" w:fill="E2F4FC"/>
          </w:tcPr>
          <w:p>
            <w:pPr>
              <w:jc w:val="center"/>
              <w:ind w:left="10"/>
              <w:spacing w:after="0"/>
              <w:rPr>
                <w:sz w:val="20"/>
                <w:szCs w:val="20"/>
                <w:color w:val="auto"/>
              </w:rPr>
            </w:pPr>
            <w:r>
              <w:rPr>
                <w:rFonts w:ascii="Arial" w:cs="Arial" w:eastAsia="Arial" w:hAnsi="Arial"/>
                <w:sz w:val="18"/>
                <w:szCs w:val="18"/>
                <w:color w:val="auto"/>
                <w:w w:val="90"/>
              </w:rPr>
              <w:t>Cutera, Inc.</w:t>
            </w:r>
          </w:p>
        </w:tc>
        <w:tc>
          <w:tcPr>
            <w:tcW w:w="3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OraSure Technologies, Inc.</w:t>
            </w:r>
          </w:p>
        </w:tc>
      </w:tr>
      <w:tr>
        <w:trPr>
          <w:trHeight w:val="108"/>
        </w:trPr>
        <w:tc>
          <w:tcPr>
            <w:tcW w:w="398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3540" w:type="dxa"/>
            <w:vAlign w:val="bottom"/>
            <w:tcBorders>
              <w:bottom w:val="single" w:sz="8" w:color="A0DBF9"/>
              <w:right w:val="single" w:sz="8" w:color="A0DBF9"/>
            </w:tcBorders>
            <w:shd w:val="clear" w:color="auto" w:fill="E2F4FC"/>
          </w:tcPr>
          <w:p>
            <w:pPr>
              <w:spacing w:after="0"/>
              <w:rPr>
                <w:sz w:val="9"/>
                <w:szCs w:val="9"/>
                <w:color w:val="auto"/>
              </w:rPr>
            </w:pPr>
          </w:p>
        </w:tc>
        <w:tc>
          <w:tcPr>
            <w:tcW w:w="352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3980" w:type="dxa"/>
            <w:vAlign w:val="bottom"/>
            <w:tcBorders>
              <w:left w:val="single" w:sz="8" w:color="A0DBF9"/>
              <w:right w:val="single" w:sz="8" w:color="A0DBF9"/>
            </w:tcBorders>
          </w:tcPr>
          <w:p>
            <w:pPr>
              <w:jc w:val="center"/>
              <w:ind w:left="50"/>
              <w:spacing w:after="0"/>
              <w:rPr>
                <w:sz w:val="20"/>
                <w:szCs w:val="20"/>
                <w:color w:val="auto"/>
              </w:rPr>
            </w:pPr>
            <w:r>
              <w:rPr>
                <w:rFonts w:ascii="Arial" w:cs="Arial" w:eastAsia="Arial" w:hAnsi="Arial"/>
                <w:sz w:val="18"/>
                <w:szCs w:val="18"/>
                <w:color w:val="auto"/>
                <w:w w:val="91"/>
              </w:rPr>
              <w:t>Acorda Therapeutics, Inc.</w:t>
            </w:r>
          </w:p>
        </w:tc>
        <w:tc>
          <w:tcPr>
            <w:tcW w:w="3540" w:type="dxa"/>
            <w:vAlign w:val="bottom"/>
            <w:tcBorders>
              <w:right w:val="single" w:sz="8" w:color="A0DBF9"/>
            </w:tcBorders>
          </w:tcPr>
          <w:p>
            <w:pPr>
              <w:jc w:val="center"/>
              <w:ind w:left="10"/>
              <w:spacing w:after="0"/>
              <w:rPr>
                <w:sz w:val="20"/>
                <w:szCs w:val="20"/>
                <w:color w:val="auto"/>
              </w:rPr>
            </w:pPr>
            <w:r>
              <w:rPr>
                <w:rFonts w:ascii="Arial" w:cs="Arial" w:eastAsia="Arial" w:hAnsi="Arial"/>
                <w:sz w:val="18"/>
                <w:szCs w:val="18"/>
                <w:color w:val="auto"/>
                <w:w w:val="92"/>
              </w:rPr>
              <w:t>Emergent BioSolutions Inc.</w:t>
            </w:r>
          </w:p>
        </w:tc>
        <w:tc>
          <w:tcPr>
            <w:tcW w:w="3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6"/>
              </w:rPr>
              <w:t>Orthofix Medical Inc.</w:t>
            </w:r>
          </w:p>
        </w:tc>
      </w:tr>
      <w:tr>
        <w:trPr>
          <w:trHeight w:val="108"/>
        </w:trPr>
        <w:tc>
          <w:tcPr>
            <w:tcW w:w="3980" w:type="dxa"/>
            <w:vAlign w:val="bottom"/>
            <w:tcBorders>
              <w:left w:val="single" w:sz="8" w:color="A0DBF9"/>
              <w:bottom w:val="single" w:sz="8" w:color="A0DBF9"/>
              <w:right w:val="single" w:sz="8" w:color="A0DBF9"/>
            </w:tcBorders>
          </w:tcPr>
          <w:p>
            <w:pPr>
              <w:spacing w:after="0"/>
              <w:rPr>
                <w:sz w:val="9"/>
                <w:szCs w:val="9"/>
                <w:color w:val="auto"/>
              </w:rPr>
            </w:pPr>
          </w:p>
        </w:tc>
        <w:tc>
          <w:tcPr>
            <w:tcW w:w="3540" w:type="dxa"/>
            <w:vAlign w:val="bottom"/>
            <w:tcBorders>
              <w:bottom w:val="single" w:sz="8" w:color="A0DBF9"/>
              <w:right w:val="single" w:sz="8" w:color="A0DBF9"/>
            </w:tcBorders>
          </w:tcPr>
          <w:p>
            <w:pPr>
              <w:spacing w:after="0"/>
              <w:rPr>
                <w:sz w:val="9"/>
                <w:szCs w:val="9"/>
                <w:color w:val="auto"/>
              </w:rPr>
            </w:pPr>
          </w:p>
        </w:tc>
        <w:tc>
          <w:tcPr>
            <w:tcW w:w="3520" w:type="dxa"/>
            <w:vAlign w:val="bottom"/>
            <w:tcBorders>
              <w:bottom w:val="single" w:sz="8" w:color="A0DBF9"/>
              <w:right w:val="single" w:sz="8" w:color="A0DBF9"/>
            </w:tcBorders>
          </w:tcPr>
          <w:p>
            <w:pPr>
              <w:spacing w:after="0"/>
              <w:rPr>
                <w:sz w:val="9"/>
                <w:szCs w:val="9"/>
                <w:color w:val="auto"/>
              </w:rPr>
            </w:pPr>
          </w:p>
        </w:tc>
      </w:tr>
      <w:tr>
        <w:trPr>
          <w:trHeight w:val="250"/>
        </w:trPr>
        <w:tc>
          <w:tcPr>
            <w:tcW w:w="3980" w:type="dxa"/>
            <w:vAlign w:val="bottom"/>
            <w:tcBorders>
              <w:left w:val="single" w:sz="8" w:color="A0DBF9"/>
              <w:right w:val="single" w:sz="8" w:color="A0DBF9"/>
            </w:tcBorders>
            <w:shd w:val="clear" w:color="auto" w:fill="E2F4FC"/>
          </w:tcPr>
          <w:p>
            <w:pPr>
              <w:jc w:val="center"/>
              <w:ind w:left="50"/>
              <w:spacing w:after="0"/>
              <w:rPr>
                <w:sz w:val="20"/>
                <w:szCs w:val="20"/>
                <w:color w:val="auto"/>
              </w:rPr>
            </w:pPr>
            <w:r>
              <w:rPr>
                <w:rFonts w:ascii="Arial" w:cs="Arial" w:eastAsia="Arial" w:hAnsi="Arial"/>
                <w:sz w:val="18"/>
                <w:szCs w:val="18"/>
                <w:color w:val="auto"/>
                <w:w w:val="92"/>
              </w:rPr>
              <w:t>AMAG Pharmaceuticals, Inc.</w:t>
            </w:r>
          </w:p>
        </w:tc>
        <w:tc>
          <w:tcPr>
            <w:tcW w:w="3540" w:type="dxa"/>
            <w:vAlign w:val="bottom"/>
            <w:tcBorders>
              <w:right w:val="single" w:sz="8" w:color="A0DBF9"/>
            </w:tcBorders>
            <w:shd w:val="clear" w:color="auto" w:fill="E2F4FC"/>
          </w:tcPr>
          <w:p>
            <w:pPr>
              <w:jc w:val="center"/>
              <w:ind w:left="10"/>
              <w:spacing w:after="0"/>
              <w:rPr>
                <w:sz w:val="20"/>
                <w:szCs w:val="20"/>
                <w:color w:val="auto"/>
              </w:rPr>
            </w:pPr>
            <w:r>
              <w:rPr>
                <w:rFonts w:ascii="Arial" w:cs="Arial" w:eastAsia="Arial" w:hAnsi="Arial"/>
                <w:sz w:val="18"/>
                <w:szCs w:val="18"/>
                <w:color w:val="auto"/>
                <w:w w:val="94"/>
              </w:rPr>
              <w:t>Endologix, Inc.</w:t>
            </w:r>
          </w:p>
        </w:tc>
        <w:tc>
          <w:tcPr>
            <w:tcW w:w="3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Quidel Corporation</w:t>
            </w:r>
          </w:p>
        </w:tc>
      </w:tr>
      <w:tr>
        <w:trPr>
          <w:trHeight w:val="108"/>
        </w:trPr>
        <w:tc>
          <w:tcPr>
            <w:tcW w:w="398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3540" w:type="dxa"/>
            <w:vAlign w:val="bottom"/>
            <w:tcBorders>
              <w:bottom w:val="single" w:sz="8" w:color="A0DBF9"/>
              <w:right w:val="single" w:sz="8" w:color="A0DBF9"/>
            </w:tcBorders>
            <w:shd w:val="clear" w:color="auto" w:fill="E2F4FC"/>
          </w:tcPr>
          <w:p>
            <w:pPr>
              <w:spacing w:after="0"/>
              <w:rPr>
                <w:sz w:val="9"/>
                <w:szCs w:val="9"/>
                <w:color w:val="auto"/>
              </w:rPr>
            </w:pPr>
          </w:p>
        </w:tc>
        <w:tc>
          <w:tcPr>
            <w:tcW w:w="352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3980" w:type="dxa"/>
            <w:vAlign w:val="bottom"/>
            <w:tcBorders>
              <w:left w:val="single" w:sz="8" w:color="A0DBF9"/>
              <w:right w:val="single" w:sz="8" w:color="A0DBF9"/>
            </w:tcBorders>
          </w:tcPr>
          <w:p>
            <w:pPr>
              <w:jc w:val="center"/>
              <w:ind w:left="50"/>
              <w:spacing w:after="0"/>
              <w:rPr>
                <w:sz w:val="20"/>
                <w:szCs w:val="20"/>
                <w:color w:val="auto"/>
              </w:rPr>
            </w:pPr>
            <w:r>
              <w:rPr>
                <w:rFonts w:ascii="Arial" w:cs="Arial" w:eastAsia="Arial" w:hAnsi="Arial"/>
                <w:sz w:val="18"/>
                <w:szCs w:val="18"/>
                <w:color w:val="auto"/>
                <w:w w:val="94"/>
              </w:rPr>
              <w:t>Angiodynamics, Inc.</w:t>
            </w:r>
          </w:p>
        </w:tc>
        <w:tc>
          <w:tcPr>
            <w:tcW w:w="3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Genomic Health, Inc.</w:t>
            </w:r>
          </w:p>
        </w:tc>
        <w:tc>
          <w:tcPr>
            <w:tcW w:w="3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2"/>
              </w:rPr>
              <w:t>RTI Surgical, Inc.</w:t>
            </w:r>
          </w:p>
        </w:tc>
      </w:tr>
      <w:tr>
        <w:trPr>
          <w:trHeight w:val="108"/>
        </w:trPr>
        <w:tc>
          <w:tcPr>
            <w:tcW w:w="3980" w:type="dxa"/>
            <w:vAlign w:val="bottom"/>
            <w:tcBorders>
              <w:left w:val="single" w:sz="8" w:color="A0DBF9"/>
              <w:bottom w:val="single" w:sz="8" w:color="A0DBF9"/>
              <w:right w:val="single" w:sz="8" w:color="A0DBF9"/>
            </w:tcBorders>
          </w:tcPr>
          <w:p>
            <w:pPr>
              <w:spacing w:after="0"/>
              <w:rPr>
                <w:sz w:val="9"/>
                <w:szCs w:val="9"/>
                <w:color w:val="auto"/>
              </w:rPr>
            </w:pPr>
          </w:p>
        </w:tc>
        <w:tc>
          <w:tcPr>
            <w:tcW w:w="3540" w:type="dxa"/>
            <w:vAlign w:val="bottom"/>
            <w:tcBorders>
              <w:bottom w:val="single" w:sz="8" w:color="A0DBF9"/>
              <w:right w:val="single" w:sz="8" w:color="A0DBF9"/>
            </w:tcBorders>
          </w:tcPr>
          <w:p>
            <w:pPr>
              <w:spacing w:after="0"/>
              <w:rPr>
                <w:sz w:val="9"/>
                <w:szCs w:val="9"/>
                <w:color w:val="auto"/>
              </w:rPr>
            </w:pPr>
          </w:p>
        </w:tc>
        <w:tc>
          <w:tcPr>
            <w:tcW w:w="3520" w:type="dxa"/>
            <w:vAlign w:val="bottom"/>
            <w:tcBorders>
              <w:bottom w:val="single" w:sz="8" w:color="A0DBF9"/>
              <w:right w:val="single" w:sz="8" w:color="A0DBF9"/>
            </w:tcBorders>
          </w:tcPr>
          <w:p>
            <w:pPr>
              <w:spacing w:after="0"/>
              <w:rPr>
                <w:sz w:val="9"/>
                <w:szCs w:val="9"/>
                <w:color w:val="auto"/>
              </w:rPr>
            </w:pPr>
          </w:p>
        </w:tc>
      </w:tr>
      <w:tr>
        <w:trPr>
          <w:trHeight w:val="250"/>
        </w:trPr>
        <w:tc>
          <w:tcPr>
            <w:tcW w:w="3980" w:type="dxa"/>
            <w:vAlign w:val="bottom"/>
            <w:tcBorders>
              <w:left w:val="single" w:sz="8" w:color="A0DBF9"/>
              <w:right w:val="single" w:sz="8" w:color="A0DBF9"/>
            </w:tcBorders>
            <w:shd w:val="clear" w:color="auto" w:fill="E2F4FC"/>
          </w:tcPr>
          <w:p>
            <w:pPr>
              <w:jc w:val="center"/>
              <w:ind w:left="50"/>
              <w:spacing w:after="0"/>
              <w:rPr>
                <w:sz w:val="20"/>
                <w:szCs w:val="20"/>
                <w:color w:val="auto"/>
              </w:rPr>
            </w:pPr>
            <w:r>
              <w:rPr>
                <w:rFonts w:ascii="Arial" w:cs="Arial" w:eastAsia="Arial" w:hAnsi="Arial"/>
                <w:sz w:val="18"/>
                <w:szCs w:val="18"/>
                <w:color w:val="auto"/>
                <w:w w:val="95"/>
              </w:rPr>
              <w:t>Atrion Corporation</w:t>
            </w:r>
          </w:p>
        </w:tc>
        <w:tc>
          <w:tcPr>
            <w:tcW w:w="3540" w:type="dxa"/>
            <w:vAlign w:val="bottom"/>
            <w:tcBorders>
              <w:right w:val="single" w:sz="8" w:color="A0DBF9"/>
            </w:tcBorders>
            <w:shd w:val="clear" w:color="auto" w:fill="E2F4FC"/>
          </w:tcPr>
          <w:p>
            <w:pPr>
              <w:jc w:val="center"/>
              <w:ind w:left="10"/>
              <w:spacing w:after="0"/>
              <w:rPr>
                <w:sz w:val="20"/>
                <w:szCs w:val="20"/>
                <w:color w:val="auto"/>
              </w:rPr>
            </w:pPr>
            <w:r>
              <w:rPr>
                <w:rFonts w:ascii="Arial" w:cs="Arial" w:eastAsia="Arial" w:hAnsi="Arial"/>
                <w:sz w:val="18"/>
                <w:szCs w:val="18"/>
                <w:color w:val="auto"/>
                <w:w w:val="93"/>
              </w:rPr>
              <w:t>Luminex Corporation</w:t>
            </w:r>
          </w:p>
        </w:tc>
        <w:tc>
          <w:tcPr>
            <w:tcW w:w="3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Supernus Pharmaceuticals, Inc.</w:t>
            </w:r>
          </w:p>
        </w:tc>
      </w:tr>
      <w:tr>
        <w:trPr>
          <w:trHeight w:val="108"/>
        </w:trPr>
        <w:tc>
          <w:tcPr>
            <w:tcW w:w="398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3540" w:type="dxa"/>
            <w:vAlign w:val="bottom"/>
            <w:tcBorders>
              <w:bottom w:val="single" w:sz="8" w:color="A0DBF9"/>
              <w:right w:val="single" w:sz="8" w:color="A0DBF9"/>
            </w:tcBorders>
            <w:shd w:val="clear" w:color="auto" w:fill="E2F4FC"/>
          </w:tcPr>
          <w:p>
            <w:pPr>
              <w:spacing w:after="0"/>
              <w:rPr>
                <w:sz w:val="9"/>
                <w:szCs w:val="9"/>
                <w:color w:val="auto"/>
              </w:rPr>
            </w:pPr>
          </w:p>
        </w:tc>
        <w:tc>
          <w:tcPr>
            <w:tcW w:w="352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3980" w:type="dxa"/>
            <w:vAlign w:val="bottom"/>
            <w:tcBorders>
              <w:left w:val="single" w:sz="8" w:color="A0DBF9"/>
              <w:right w:val="single" w:sz="8" w:color="A0DBF9"/>
            </w:tcBorders>
          </w:tcPr>
          <w:p>
            <w:pPr>
              <w:jc w:val="center"/>
              <w:ind w:left="50"/>
              <w:spacing w:after="0"/>
              <w:rPr>
                <w:sz w:val="20"/>
                <w:szCs w:val="20"/>
                <w:color w:val="auto"/>
              </w:rPr>
            </w:pPr>
            <w:r>
              <w:rPr>
                <w:rFonts w:ascii="Arial" w:cs="Arial" w:eastAsia="Arial" w:hAnsi="Arial"/>
                <w:sz w:val="18"/>
                <w:szCs w:val="18"/>
                <w:color w:val="auto"/>
                <w:w w:val="95"/>
              </w:rPr>
              <w:t>Cryolife, Inc.</w:t>
            </w:r>
          </w:p>
        </w:tc>
        <w:tc>
          <w:tcPr>
            <w:tcW w:w="3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2"/>
              </w:rPr>
              <w:t>Meridian Biosciences, Inc.</w:t>
            </w:r>
          </w:p>
        </w:tc>
        <w:tc>
          <w:tcPr>
            <w:tcW w:w="3520" w:type="dxa"/>
            <w:vAlign w:val="bottom"/>
            <w:tcBorders>
              <w:right w:val="single" w:sz="8" w:color="A0DBF9"/>
            </w:tcBorders>
          </w:tcPr>
          <w:p>
            <w:pPr>
              <w:spacing w:after="0"/>
              <w:rPr>
                <w:sz w:val="21"/>
                <w:szCs w:val="21"/>
                <w:color w:val="auto"/>
              </w:rPr>
            </w:pPr>
          </w:p>
        </w:tc>
      </w:tr>
      <w:tr>
        <w:trPr>
          <w:trHeight w:val="108"/>
        </w:trPr>
        <w:tc>
          <w:tcPr>
            <w:tcW w:w="3980" w:type="dxa"/>
            <w:vAlign w:val="bottom"/>
            <w:tcBorders>
              <w:left w:val="single" w:sz="8" w:color="A0DBF9"/>
              <w:bottom w:val="single" w:sz="8" w:color="A0DBF9"/>
              <w:right w:val="single" w:sz="8" w:color="A0DBF9"/>
            </w:tcBorders>
          </w:tcPr>
          <w:p>
            <w:pPr>
              <w:spacing w:after="0"/>
              <w:rPr>
                <w:sz w:val="9"/>
                <w:szCs w:val="9"/>
                <w:color w:val="auto"/>
              </w:rPr>
            </w:pPr>
          </w:p>
        </w:tc>
        <w:tc>
          <w:tcPr>
            <w:tcW w:w="3540" w:type="dxa"/>
            <w:vAlign w:val="bottom"/>
            <w:tcBorders>
              <w:bottom w:val="single" w:sz="8" w:color="A0DBF9"/>
              <w:right w:val="single" w:sz="8" w:color="A0DBF9"/>
            </w:tcBorders>
          </w:tcPr>
          <w:p>
            <w:pPr>
              <w:spacing w:after="0"/>
              <w:rPr>
                <w:sz w:val="9"/>
                <w:szCs w:val="9"/>
                <w:color w:val="auto"/>
              </w:rPr>
            </w:pPr>
          </w:p>
        </w:tc>
        <w:tc>
          <w:tcPr>
            <w:tcW w:w="3520" w:type="dxa"/>
            <w:vAlign w:val="bottom"/>
            <w:tcBorders>
              <w:bottom w:val="single" w:sz="8" w:color="A0DBF9"/>
              <w:right w:val="single" w:sz="8" w:color="A0DBF9"/>
            </w:tcBorders>
          </w:tcPr>
          <w:p>
            <w:pPr>
              <w:spacing w:after="0"/>
              <w:rPr>
                <w:sz w:val="9"/>
                <w:szCs w:val="9"/>
                <w:color w:val="auto"/>
              </w:rPr>
            </w:pPr>
          </w:p>
        </w:tc>
      </w:tr>
      <w:tr>
        <w:trPr>
          <w:trHeight w:val="601"/>
        </w:trPr>
        <w:tc>
          <w:tcPr>
            <w:tcW w:w="3980" w:type="dxa"/>
            <w:vAlign w:val="bottom"/>
          </w:tcPr>
          <w:p>
            <w:pPr>
              <w:spacing w:after="0"/>
              <w:rPr>
                <w:sz w:val="24"/>
                <w:szCs w:val="24"/>
                <w:color w:val="auto"/>
              </w:rPr>
            </w:pPr>
          </w:p>
        </w:tc>
        <w:tc>
          <w:tcPr>
            <w:tcW w:w="3540" w:type="dxa"/>
            <w:vAlign w:val="bottom"/>
          </w:tcPr>
          <w:p>
            <w:pPr>
              <w:jc w:val="right"/>
              <w:ind w:right="1830"/>
              <w:spacing w:after="0"/>
              <w:rPr>
                <w:sz w:val="20"/>
                <w:szCs w:val="20"/>
                <w:color w:val="auto"/>
              </w:rPr>
            </w:pPr>
            <w:r>
              <w:rPr>
                <w:rFonts w:ascii="Arial" w:cs="Arial" w:eastAsia="Arial" w:hAnsi="Arial"/>
                <w:sz w:val="18"/>
                <w:szCs w:val="18"/>
                <w:color w:val="auto"/>
              </w:rPr>
              <w:t>34</w:t>
            </w:r>
          </w:p>
        </w:tc>
        <w:tc>
          <w:tcPr>
            <w:tcW w:w="3520" w:type="dxa"/>
            <w:vAlign w:val="bottom"/>
          </w:tcPr>
          <w:p>
            <w:pPr>
              <w:spacing w:after="0"/>
              <w:rPr>
                <w:sz w:val="24"/>
                <w:szCs w:val="24"/>
                <w:color w:val="auto"/>
              </w:rPr>
            </w:pPr>
          </w:p>
        </w:tc>
      </w:tr>
    </w:tbl>
    <w:p>
      <w:pPr>
        <w:sectPr>
          <w:pgSz w:w="11900" w:h="16838" w:orient="portrait"/>
          <w:cols w:equalWidth="0" w:num="1">
            <w:col w:w="11140"/>
          </w:cols>
          <w:pgMar w:left="320" w:top="459" w:right="4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140" w:firstLine="440"/>
        <w:spacing w:after="0" w:line="277" w:lineRule="auto"/>
        <w:rPr>
          <w:sz w:val="20"/>
          <w:szCs w:val="20"/>
          <w:color w:val="auto"/>
        </w:rPr>
      </w:pPr>
      <w:r>
        <w:rPr>
          <w:rFonts w:ascii="Arial" w:cs="Arial" w:eastAsia="Arial" w:hAnsi="Arial"/>
          <w:sz w:val="18"/>
          <w:szCs w:val="18"/>
          <w:color w:val="auto"/>
        </w:rPr>
        <w:t>The extent to which these peer group companies meet the screening criteria, based on the statistics* below, illustrates that Lantheus is reasonably situated among this group:</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31"/>
        </w:trPr>
        <w:tc>
          <w:tcPr>
            <w:tcW w:w="3440" w:type="dxa"/>
            <w:vAlign w:val="bottom"/>
            <w:tcBorders>
              <w:left w:val="single" w:sz="8" w:color="5EB5FC"/>
              <w:right w:val="single" w:sz="8" w:color="5EB5FC"/>
            </w:tcBorders>
            <w:shd w:val="clear" w:color="auto" w:fill="5EB5FC"/>
          </w:tcPr>
          <w:p>
            <w:pPr>
              <w:ind w:left="1120"/>
              <w:spacing w:after="0"/>
              <w:rPr>
                <w:sz w:val="20"/>
                <w:szCs w:val="20"/>
                <w:color w:val="auto"/>
              </w:rPr>
            </w:pPr>
            <w:r>
              <w:rPr>
                <w:rFonts w:ascii="Arial" w:cs="Arial" w:eastAsia="Arial" w:hAnsi="Arial"/>
                <w:sz w:val="14"/>
                <w:szCs w:val="14"/>
                <w:b w:val="1"/>
                <w:bCs w:val="1"/>
                <w:color w:val="FFFFFF"/>
              </w:rPr>
              <w:t>Peer Group Statistics</w:t>
            </w:r>
          </w:p>
        </w:tc>
        <w:tc>
          <w:tcPr>
            <w:tcW w:w="2540" w:type="dxa"/>
            <w:vAlign w:val="bottom"/>
            <w:tcBorders>
              <w:right w:val="single" w:sz="8" w:color="5EB5FC"/>
            </w:tcBorders>
            <w:shd w:val="clear" w:color="auto" w:fill="5EB5FC"/>
          </w:tcPr>
          <w:p>
            <w:pPr>
              <w:ind w:left="1040"/>
              <w:spacing w:after="0"/>
              <w:rPr>
                <w:sz w:val="20"/>
                <w:szCs w:val="20"/>
                <w:color w:val="auto"/>
              </w:rPr>
            </w:pPr>
            <w:r>
              <w:rPr>
                <w:rFonts w:ascii="Arial" w:cs="Arial" w:eastAsia="Arial" w:hAnsi="Arial"/>
                <w:sz w:val="14"/>
                <w:szCs w:val="14"/>
                <w:b w:val="1"/>
                <w:bCs w:val="1"/>
                <w:color w:val="FFFFFF"/>
              </w:rPr>
              <w:t>Revenue</w:t>
            </w:r>
          </w:p>
        </w:tc>
        <w:tc>
          <w:tcPr>
            <w:tcW w:w="2520" w:type="dxa"/>
            <w:vAlign w:val="bottom"/>
            <w:tcBorders>
              <w:right w:val="single" w:sz="8" w:color="5EB5FC"/>
            </w:tcBorders>
            <w:shd w:val="clear" w:color="auto" w:fill="5EB5FC"/>
          </w:tcPr>
          <w:p>
            <w:pPr>
              <w:ind w:left="1020"/>
              <w:spacing w:after="0"/>
              <w:rPr>
                <w:sz w:val="20"/>
                <w:szCs w:val="20"/>
                <w:color w:val="auto"/>
              </w:rPr>
            </w:pPr>
            <w:r>
              <w:rPr>
                <w:rFonts w:ascii="Arial" w:cs="Arial" w:eastAsia="Arial" w:hAnsi="Arial"/>
                <w:sz w:val="14"/>
                <w:szCs w:val="14"/>
                <w:b w:val="1"/>
                <w:bCs w:val="1"/>
                <w:color w:val="FFFFFF"/>
              </w:rPr>
              <w:t>EBITDA</w:t>
            </w:r>
          </w:p>
        </w:tc>
        <w:tc>
          <w:tcPr>
            <w:tcW w:w="2540" w:type="dxa"/>
            <w:vAlign w:val="bottom"/>
            <w:tcBorders>
              <w:right w:val="single" w:sz="8" w:color="5EB5FC"/>
            </w:tcBorders>
            <w:shd w:val="clear" w:color="auto" w:fill="5EB5FC"/>
          </w:tcPr>
          <w:p>
            <w:pPr>
              <w:ind w:left="760"/>
              <w:spacing w:after="0"/>
              <w:rPr>
                <w:sz w:val="20"/>
                <w:szCs w:val="20"/>
                <w:color w:val="auto"/>
              </w:rPr>
            </w:pPr>
            <w:r>
              <w:rPr>
                <w:rFonts w:ascii="Arial" w:cs="Arial" w:eastAsia="Arial" w:hAnsi="Arial"/>
                <w:sz w:val="14"/>
                <w:szCs w:val="14"/>
                <w:b w:val="1"/>
                <w:bCs w:val="1"/>
                <w:color w:val="FFFFFF"/>
              </w:rPr>
              <w:t>Enterprise Value</w:t>
            </w:r>
          </w:p>
        </w:tc>
      </w:tr>
      <w:tr>
        <w:trPr>
          <w:trHeight w:val="93"/>
        </w:trPr>
        <w:tc>
          <w:tcPr>
            <w:tcW w:w="3440" w:type="dxa"/>
            <w:vAlign w:val="bottom"/>
            <w:tcBorders>
              <w:left w:val="single" w:sz="8" w:color="5EB5FC"/>
              <w:right w:val="single" w:sz="8" w:color="5EB5FC"/>
            </w:tcBorders>
            <w:shd w:val="clear" w:color="auto" w:fill="5EB5FC"/>
          </w:tcPr>
          <w:p>
            <w:pPr>
              <w:spacing w:after="0"/>
              <w:rPr>
                <w:sz w:val="8"/>
                <w:szCs w:val="8"/>
                <w:color w:val="auto"/>
              </w:rPr>
            </w:pPr>
          </w:p>
        </w:tc>
        <w:tc>
          <w:tcPr>
            <w:tcW w:w="2540" w:type="dxa"/>
            <w:vAlign w:val="bottom"/>
            <w:tcBorders>
              <w:right w:val="single" w:sz="8" w:color="5EB5FC"/>
            </w:tcBorders>
            <w:shd w:val="clear" w:color="auto" w:fill="5EB5FC"/>
          </w:tcPr>
          <w:p>
            <w:pPr>
              <w:spacing w:after="0"/>
              <w:rPr>
                <w:sz w:val="8"/>
                <w:szCs w:val="8"/>
                <w:color w:val="auto"/>
              </w:rPr>
            </w:pPr>
          </w:p>
        </w:tc>
        <w:tc>
          <w:tcPr>
            <w:tcW w:w="2520" w:type="dxa"/>
            <w:vAlign w:val="bottom"/>
            <w:tcBorders>
              <w:right w:val="single" w:sz="8" w:color="5EB5FC"/>
            </w:tcBorders>
            <w:shd w:val="clear" w:color="auto" w:fill="5EB5FC"/>
          </w:tcPr>
          <w:p>
            <w:pPr>
              <w:spacing w:after="0"/>
              <w:rPr>
                <w:sz w:val="8"/>
                <w:szCs w:val="8"/>
                <w:color w:val="auto"/>
              </w:rPr>
            </w:pPr>
          </w:p>
        </w:tc>
        <w:tc>
          <w:tcPr>
            <w:tcW w:w="2540" w:type="dxa"/>
            <w:vAlign w:val="bottom"/>
            <w:tcBorders>
              <w:right w:val="single" w:sz="8" w:color="5EB5FC"/>
            </w:tcBorders>
            <w:shd w:val="clear" w:color="auto" w:fill="5EB5FC"/>
          </w:tcPr>
          <w:p>
            <w:pPr>
              <w:spacing w:after="0"/>
              <w:rPr>
                <w:sz w:val="8"/>
                <w:szCs w:val="8"/>
                <w:color w:val="auto"/>
              </w:rPr>
            </w:pPr>
          </w:p>
        </w:tc>
      </w:tr>
      <w:tr>
        <w:trPr>
          <w:trHeight w:val="270"/>
        </w:trPr>
        <w:tc>
          <w:tcPr>
            <w:tcW w:w="34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color w:val="auto"/>
              </w:rPr>
              <w:t>75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540" w:type="dxa"/>
            <w:vAlign w:val="bottom"/>
            <w:tcBorders>
              <w:right w:val="single" w:sz="8" w:color="A0DBF9"/>
            </w:tcBorders>
            <w:shd w:val="clear" w:color="auto" w:fill="E2F4FC"/>
          </w:tcPr>
          <w:p>
            <w:pPr>
              <w:ind w:left="1040"/>
              <w:spacing w:after="0"/>
              <w:rPr>
                <w:sz w:val="20"/>
                <w:szCs w:val="20"/>
                <w:color w:val="auto"/>
              </w:rPr>
            </w:pPr>
            <w:r>
              <w:rPr>
                <w:rFonts w:ascii="Arial" w:cs="Arial" w:eastAsia="Arial" w:hAnsi="Arial"/>
                <w:sz w:val="18"/>
                <w:szCs w:val="18"/>
                <w:color w:val="auto"/>
              </w:rPr>
              <w:t>$438M</w:t>
            </w:r>
          </w:p>
        </w:tc>
        <w:tc>
          <w:tcPr>
            <w:tcW w:w="2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$129M</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$1,469M</w:t>
            </w:r>
          </w:p>
        </w:tc>
      </w:tr>
      <w:tr>
        <w:trPr>
          <w:trHeight w:val="108"/>
        </w:trPr>
        <w:tc>
          <w:tcPr>
            <w:tcW w:w="3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2520" w:type="dxa"/>
            <w:vAlign w:val="bottom"/>
            <w:tcBorders>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50"/>
        </w:trPr>
        <w:tc>
          <w:tcPr>
            <w:tcW w:w="34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color w:val="auto"/>
              </w:rPr>
              <w:t>50</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540" w:type="dxa"/>
            <w:vAlign w:val="bottom"/>
            <w:tcBorders>
              <w:right w:val="single" w:sz="8" w:color="A0DBF9"/>
            </w:tcBorders>
          </w:tcPr>
          <w:p>
            <w:pPr>
              <w:ind w:left="1040"/>
              <w:spacing w:after="0"/>
              <w:rPr>
                <w:sz w:val="20"/>
                <w:szCs w:val="20"/>
                <w:color w:val="auto"/>
              </w:rPr>
            </w:pPr>
            <w:r>
              <w:rPr>
                <w:rFonts w:ascii="Arial" w:cs="Arial" w:eastAsia="Arial" w:hAnsi="Arial"/>
                <w:sz w:val="18"/>
                <w:szCs w:val="18"/>
                <w:color w:val="auto"/>
              </w:rPr>
              <w:t>$344M</w:t>
            </w:r>
          </w:p>
        </w:tc>
        <w:tc>
          <w:tcPr>
            <w:tcW w:w="2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7"/>
              </w:rPr>
              <w:t>$51M</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$1,119M</w:t>
            </w:r>
          </w:p>
        </w:tc>
      </w:tr>
      <w:tr>
        <w:trPr>
          <w:trHeight w:val="108"/>
        </w:trPr>
        <w:tc>
          <w:tcPr>
            <w:tcW w:w="3440" w:type="dxa"/>
            <w:vAlign w:val="bottom"/>
            <w:tcBorders>
              <w:left w:val="single" w:sz="8" w:color="A0DBF9"/>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2520" w:type="dxa"/>
            <w:vAlign w:val="bottom"/>
            <w:tcBorders>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r>
      <w:tr>
        <w:trPr>
          <w:trHeight w:val="250"/>
        </w:trPr>
        <w:tc>
          <w:tcPr>
            <w:tcW w:w="34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color w:val="auto"/>
              </w:rPr>
              <w:t>25</w:t>
            </w:r>
            <w:r>
              <w:rPr>
                <w:rFonts w:ascii="Arial" w:cs="Arial" w:eastAsia="Arial" w:hAnsi="Arial"/>
                <w:sz w:val="15"/>
                <w:szCs w:val="15"/>
                <w:color w:val="auto"/>
              </w:rPr>
              <w:t>th</w:t>
            </w:r>
            <w:r>
              <w:rPr>
                <w:rFonts w:ascii="Arial" w:cs="Arial" w:eastAsia="Arial" w:hAnsi="Arial"/>
                <w:sz w:val="18"/>
                <w:szCs w:val="18"/>
                <w:color w:val="auto"/>
              </w:rPr>
              <w:t xml:space="preserve"> Percentile</w:t>
            </w:r>
          </w:p>
        </w:tc>
        <w:tc>
          <w:tcPr>
            <w:tcW w:w="2540" w:type="dxa"/>
            <w:vAlign w:val="bottom"/>
            <w:tcBorders>
              <w:right w:val="single" w:sz="8" w:color="A0DBF9"/>
            </w:tcBorders>
            <w:shd w:val="clear" w:color="auto" w:fill="E2F4FC"/>
          </w:tcPr>
          <w:p>
            <w:pPr>
              <w:ind w:left="1040"/>
              <w:spacing w:after="0"/>
              <w:rPr>
                <w:sz w:val="20"/>
                <w:szCs w:val="20"/>
                <w:color w:val="auto"/>
              </w:rPr>
            </w:pPr>
            <w:r>
              <w:rPr>
                <w:rFonts w:ascii="Arial" w:cs="Arial" w:eastAsia="Arial" w:hAnsi="Arial"/>
                <w:sz w:val="18"/>
                <w:szCs w:val="18"/>
                <w:color w:val="auto"/>
              </w:rPr>
              <w:t>$210M</w:t>
            </w:r>
          </w:p>
        </w:tc>
        <w:tc>
          <w:tcPr>
            <w:tcW w:w="2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7"/>
              </w:rPr>
              <w:t>$25M</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$659M</w:t>
            </w:r>
          </w:p>
        </w:tc>
      </w:tr>
      <w:tr>
        <w:trPr>
          <w:trHeight w:val="108"/>
        </w:trPr>
        <w:tc>
          <w:tcPr>
            <w:tcW w:w="3440" w:type="dxa"/>
            <w:vAlign w:val="bottom"/>
            <w:tcBorders>
              <w:left w:val="single" w:sz="8" w:color="A0DBF9"/>
              <w:right w:val="single" w:sz="8" w:color="A0DBF9"/>
            </w:tcBorders>
            <w:shd w:val="clear" w:color="auto" w:fill="E2F4FC"/>
          </w:tcPr>
          <w:p>
            <w:pPr>
              <w:spacing w:after="0"/>
              <w:rPr>
                <w:sz w:val="9"/>
                <w:szCs w:val="9"/>
                <w:color w:val="auto"/>
              </w:rPr>
            </w:pPr>
          </w:p>
        </w:tc>
        <w:tc>
          <w:tcPr>
            <w:tcW w:w="2540" w:type="dxa"/>
            <w:vAlign w:val="bottom"/>
            <w:tcBorders>
              <w:right w:val="single" w:sz="8" w:color="A0DBF9"/>
            </w:tcBorders>
            <w:shd w:val="clear" w:color="auto" w:fill="E2F4FC"/>
          </w:tcPr>
          <w:p>
            <w:pPr>
              <w:spacing w:after="0"/>
              <w:rPr>
                <w:sz w:val="9"/>
                <w:szCs w:val="9"/>
                <w:color w:val="auto"/>
              </w:rPr>
            </w:pPr>
          </w:p>
        </w:tc>
        <w:tc>
          <w:tcPr>
            <w:tcW w:w="2520" w:type="dxa"/>
            <w:vAlign w:val="bottom"/>
            <w:tcBorders>
              <w:right w:val="single" w:sz="8" w:color="A0DBF9"/>
            </w:tcBorders>
            <w:shd w:val="clear" w:color="auto" w:fill="E2F4FC"/>
          </w:tcPr>
          <w:p>
            <w:pPr>
              <w:spacing w:after="0"/>
              <w:rPr>
                <w:sz w:val="9"/>
                <w:szCs w:val="9"/>
                <w:color w:val="auto"/>
              </w:rPr>
            </w:pPr>
          </w:p>
        </w:tc>
        <w:tc>
          <w:tcPr>
            <w:tcW w:w="2540" w:type="dxa"/>
            <w:vAlign w:val="bottom"/>
            <w:tcBorders>
              <w:right w:val="single" w:sz="8" w:color="A0DBF9"/>
            </w:tcBorders>
            <w:shd w:val="clear" w:color="auto" w:fill="E2F4FC"/>
          </w:tcPr>
          <w:p>
            <w:pPr>
              <w:spacing w:after="0"/>
              <w:rPr>
                <w:sz w:val="9"/>
                <w:szCs w:val="9"/>
                <w:color w:val="auto"/>
              </w:rPr>
            </w:pPr>
          </w:p>
        </w:tc>
      </w:tr>
      <w:tr>
        <w:trPr>
          <w:trHeight w:val="270"/>
        </w:trPr>
        <w:tc>
          <w:tcPr>
            <w:tcW w:w="3440" w:type="dxa"/>
            <w:vAlign w:val="bottom"/>
            <w:tcBorders>
              <w:left w:val="single" w:sz="8" w:color="A0DBF9"/>
              <w:bottom w:val="single" w:sz="8" w:color="A0DBF9"/>
              <w:right w:val="single" w:sz="8" w:color="A0DBF9"/>
            </w:tcBorders>
          </w:tcPr>
          <w:p>
            <w:pPr>
              <w:spacing w:after="0"/>
              <w:rPr>
                <w:sz w:val="23"/>
                <w:szCs w:val="23"/>
                <w:color w:val="auto"/>
              </w:rPr>
            </w:pPr>
          </w:p>
        </w:tc>
        <w:tc>
          <w:tcPr>
            <w:tcW w:w="2540" w:type="dxa"/>
            <w:vAlign w:val="bottom"/>
            <w:tcBorders>
              <w:bottom w:val="single" w:sz="8" w:color="A0DBF9"/>
              <w:right w:val="single" w:sz="8" w:color="A0DBF9"/>
            </w:tcBorders>
          </w:tcPr>
          <w:p>
            <w:pPr>
              <w:spacing w:after="0"/>
              <w:rPr>
                <w:sz w:val="23"/>
                <w:szCs w:val="23"/>
                <w:color w:val="auto"/>
              </w:rPr>
            </w:pPr>
          </w:p>
        </w:tc>
        <w:tc>
          <w:tcPr>
            <w:tcW w:w="2520" w:type="dxa"/>
            <w:vAlign w:val="bottom"/>
            <w:tcBorders>
              <w:bottom w:val="single" w:sz="8" w:color="A0DBF9"/>
              <w:right w:val="single" w:sz="8" w:color="A0DBF9"/>
            </w:tcBorders>
          </w:tcPr>
          <w:p>
            <w:pPr>
              <w:spacing w:after="0"/>
              <w:rPr>
                <w:sz w:val="23"/>
                <w:szCs w:val="23"/>
                <w:color w:val="auto"/>
              </w:rPr>
            </w:pPr>
          </w:p>
        </w:tc>
        <w:tc>
          <w:tcPr>
            <w:tcW w:w="2540" w:type="dxa"/>
            <w:vAlign w:val="bottom"/>
            <w:tcBorders>
              <w:bottom w:val="single" w:sz="8" w:color="A0DBF9"/>
              <w:right w:val="single" w:sz="8" w:color="A0DBF9"/>
            </w:tcBorders>
          </w:tcPr>
          <w:p>
            <w:pPr>
              <w:spacing w:after="0"/>
              <w:rPr>
                <w:sz w:val="23"/>
                <w:szCs w:val="23"/>
                <w:color w:val="auto"/>
              </w:rPr>
            </w:pPr>
          </w:p>
        </w:tc>
      </w:tr>
      <w:tr>
        <w:trPr>
          <w:trHeight w:val="250"/>
        </w:trPr>
        <w:tc>
          <w:tcPr>
            <w:tcW w:w="3440" w:type="dxa"/>
            <w:vAlign w:val="bottom"/>
            <w:tcBorders>
              <w:left w:val="single" w:sz="8" w:color="auto"/>
              <w:right w:val="single" w:sz="8" w:color="A0DBF9"/>
            </w:tcBorders>
          </w:tcPr>
          <w:p>
            <w:pPr>
              <w:ind w:left="240"/>
              <w:spacing w:after="0"/>
              <w:rPr>
                <w:sz w:val="20"/>
                <w:szCs w:val="20"/>
                <w:color w:val="auto"/>
              </w:rPr>
            </w:pPr>
            <w:r>
              <w:rPr>
                <w:rFonts w:ascii="Arial" w:cs="Arial" w:eastAsia="Arial" w:hAnsi="Arial"/>
                <w:sz w:val="18"/>
                <w:szCs w:val="18"/>
                <w:b w:val="1"/>
                <w:bCs w:val="1"/>
                <w:color w:val="auto"/>
              </w:rPr>
              <w:t>Lantheus Holdings</w:t>
            </w:r>
          </w:p>
        </w:tc>
        <w:tc>
          <w:tcPr>
            <w:tcW w:w="2540" w:type="dxa"/>
            <w:vAlign w:val="bottom"/>
            <w:tcBorders>
              <w:right w:val="single" w:sz="8" w:color="A0DBF9"/>
            </w:tcBorders>
          </w:tcPr>
          <w:p>
            <w:pPr>
              <w:ind w:left="1040"/>
              <w:spacing w:after="0"/>
              <w:rPr>
                <w:sz w:val="20"/>
                <w:szCs w:val="20"/>
                <w:color w:val="auto"/>
              </w:rPr>
            </w:pPr>
            <w:r>
              <w:rPr>
                <w:rFonts w:ascii="Arial" w:cs="Arial" w:eastAsia="Arial" w:hAnsi="Arial"/>
                <w:sz w:val="18"/>
                <w:szCs w:val="18"/>
                <w:b w:val="1"/>
                <w:bCs w:val="1"/>
                <w:color w:val="auto"/>
              </w:rPr>
              <w:t>$329M</w:t>
            </w:r>
          </w:p>
        </w:tc>
        <w:tc>
          <w:tcPr>
            <w:tcW w:w="2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b w:val="1"/>
                <w:bCs w:val="1"/>
                <w:color w:val="auto"/>
                <w:w w:val="97"/>
              </w:rPr>
              <w:t>$70M</w:t>
            </w:r>
          </w:p>
        </w:tc>
        <w:tc>
          <w:tcPr>
            <w:tcW w:w="254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$797M</w:t>
            </w:r>
          </w:p>
        </w:tc>
      </w:tr>
      <w:tr>
        <w:trPr>
          <w:trHeight w:val="108"/>
        </w:trPr>
        <w:tc>
          <w:tcPr>
            <w:tcW w:w="3440" w:type="dxa"/>
            <w:vAlign w:val="bottom"/>
            <w:tcBorders>
              <w:left w:val="single" w:sz="8" w:color="auto"/>
              <w:bottom w:val="single" w:sz="8" w:color="auto"/>
              <w:right w:val="single" w:sz="8" w:color="A0DBF9"/>
            </w:tcBorders>
          </w:tcPr>
          <w:p>
            <w:pPr>
              <w:spacing w:after="0"/>
              <w:rPr>
                <w:sz w:val="9"/>
                <w:szCs w:val="9"/>
                <w:color w:val="auto"/>
              </w:rPr>
            </w:pPr>
          </w:p>
        </w:tc>
        <w:tc>
          <w:tcPr>
            <w:tcW w:w="2540" w:type="dxa"/>
            <w:vAlign w:val="bottom"/>
            <w:tcBorders>
              <w:bottom w:val="single" w:sz="8" w:color="auto"/>
              <w:right w:val="single" w:sz="8" w:color="A0DBF9"/>
            </w:tcBorders>
          </w:tcPr>
          <w:p>
            <w:pPr>
              <w:spacing w:after="0"/>
              <w:rPr>
                <w:sz w:val="9"/>
                <w:szCs w:val="9"/>
                <w:color w:val="auto"/>
              </w:rPr>
            </w:pPr>
          </w:p>
        </w:tc>
        <w:tc>
          <w:tcPr>
            <w:tcW w:w="2520" w:type="dxa"/>
            <w:vAlign w:val="bottom"/>
            <w:tcBorders>
              <w:bottom w:val="single" w:sz="8" w:color="auto"/>
              <w:right w:val="single" w:sz="8" w:color="A0DBF9"/>
            </w:tcBorders>
          </w:tcPr>
          <w:p>
            <w:pPr>
              <w:spacing w:after="0"/>
              <w:rPr>
                <w:sz w:val="9"/>
                <w:szCs w:val="9"/>
                <w:color w:val="auto"/>
              </w:rPr>
            </w:pPr>
          </w:p>
        </w:tc>
        <w:tc>
          <w:tcPr>
            <w:tcW w:w="2540" w:type="dxa"/>
            <w:vAlign w:val="bottom"/>
            <w:tcBorders>
              <w:bottom w:val="single" w:sz="8" w:color="auto"/>
              <w:right w:val="single" w:sz="8" w:color="auto"/>
            </w:tcBorders>
          </w:tcPr>
          <w:p>
            <w:pPr>
              <w:spacing w:after="0"/>
              <w:rPr>
                <w:sz w:val="9"/>
                <w:szCs w:val="9"/>
                <w:color w:val="auto"/>
              </w:rPr>
            </w:pPr>
          </w:p>
        </w:tc>
      </w:tr>
    </w:tbl>
    <w:p>
      <w:pPr>
        <w:spacing w:after="0" w:line="103" w:lineRule="exact"/>
        <w:rPr>
          <w:sz w:val="20"/>
          <w:szCs w:val="20"/>
          <w:color w:val="auto"/>
        </w:rPr>
      </w:pPr>
    </w:p>
    <w:p>
      <w:pPr>
        <w:ind w:left="880" w:hanging="332"/>
        <w:spacing w:after="0"/>
        <w:tabs>
          <w:tab w:leader="none" w:pos="880" w:val="left"/>
        </w:tabs>
        <w:numPr>
          <w:ilvl w:val="0"/>
          <w:numId w:val="37"/>
        </w:numPr>
        <w:rPr>
          <w:rFonts w:ascii="Arial" w:cs="Arial" w:eastAsia="Arial" w:hAnsi="Arial"/>
          <w:sz w:val="14"/>
          <w:szCs w:val="14"/>
          <w:color w:val="auto"/>
        </w:rPr>
      </w:pPr>
      <w:r>
        <w:rPr>
          <w:rFonts w:ascii="Arial" w:cs="Arial" w:eastAsia="Arial" w:hAnsi="Arial"/>
          <w:sz w:val="14"/>
          <w:szCs w:val="14"/>
          <w:color w:val="auto"/>
        </w:rPr>
        <w:t>Based on publicly available information as of August 2018.</w:t>
      </w:r>
    </w:p>
    <w:p>
      <w:pPr>
        <w:spacing w:after="0" w:line="208" w:lineRule="exact"/>
        <w:rPr>
          <w:sz w:val="20"/>
          <w:szCs w:val="20"/>
          <w:color w:val="auto"/>
        </w:rPr>
      </w:pPr>
    </w:p>
    <w:p>
      <w:pPr>
        <w:ind w:left="120" w:right="100" w:firstLine="440"/>
        <w:spacing w:after="0" w:line="272" w:lineRule="auto"/>
        <w:rPr>
          <w:sz w:val="20"/>
          <w:szCs w:val="20"/>
          <w:color w:val="auto"/>
        </w:rPr>
      </w:pPr>
      <w:r>
        <w:rPr>
          <w:rFonts w:ascii="Arial" w:cs="Arial" w:eastAsia="Arial" w:hAnsi="Arial"/>
          <w:sz w:val="17"/>
          <w:szCs w:val="17"/>
          <w:color w:val="auto"/>
        </w:rPr>
        <w:t>As discussed above, the Compensation Committee reviews data on total compensation and individual elements of compensation (i.e., base salary, and short-term and long-term incentive, each, at target) for similarly-situated positions, compensation program design and other key compensation program attributes of companies in this peer group. In addition to the peer group of companies, the Compensation Committee also utilizes broader market survey data (based on our size and industry) provided by Pearl Meyer to evaluate the competitiveness of compensation levels from time to time and to provide the Compensation Committee with a composite market perspective and to help inform decision-making relating to the Company’s executive compensation programs. As discussed above, the Compensation Committee also evaluates on the factors described in “</w:t>
      </w:r>
      <w:r>
        <w:rPr>
          <w:rFonts w:ascii="Arial" w:cs="Arial" w:eastAsia="Arial" w:hAnsi="Arial"/>
          <w:sz w:val="17"/>
          <w:szCs w:val="17"/>
          <w:i w:val="1"/>
          <w:iCs w:val="1"/>
          <w:color w:val="auto"/>
        </w:rPr>
        <w:t>Compensation</w:t>
      </w:r>
      <w:r>
        <w:rPr>
          <w:rFonts w:ascii="Arial" w:cs="Arial" w:eastAsia="Arial" w:hAnsi="Arial"/>
          <w:sz w:val="17"/>
          <w:szCs w:val="17"/>
          <w:color w:val="auto"/>
        </w:rPr>
        <w:t xml:space="preserve"> </w:t>
      </w:r>
      <w:r>
        <w:rPr>
          <w:rFonts w:ascii="Arial" w:cs="Arial" w:eastAsia="Arial" w:hAnsi="Arial"/>
          <w:sz w:val="17"/>
          <w:szCs w:val="17"/>
          <w:i w:val="1"/>
          <w:iCs w:val="1"/>
          <w:color w:val="auto"/>
        </w:rPr>
        <w:t>Philosophy</w:t>
      </w:r>
      <w:r>
        <w:rPr>
          <w:rFonts w:ascii="Arial" w:cs="Arial" w:eastAsia="Arial" w:hAnsi="Arial"/>
          <w:sz w:val="17"/>
          <w:szCs w:val="17"/>
          <w:color w:val="auto"/>
        </w:rPr>
        <w:t>” above in making individual compensation decisions.</w:t>
      </w:r>
    </w:p>
    <w:p>
      <w:pPr>
        <w:spacing w:after="0" w:line="320" w:lineRule="exact"/>
        <w:rPr>
          <w:sz w:val="20"/>
          <w:szCs w:val="20"/>
          <w:color w:val="auto"/>
        </w:rPr>
      </w:pPr>
    </w:p>
    <w:tbl>
      <w:tblPr>
        <w:tblLayout w:type="fixed"/>
        <w:tblInd w:w="130" w:type="dxa"/>
        <w:tblCellMar>
          <w:top w:w="0" w:type="dxa"/>
          <w:left w:w="0" w:type="dxa"/>
          <w:bottom w:w="0" w:type="dxa"/>
          <w:right w:w="0" w:type="dxa"/>
        </w:tblCellMar>
      </w:tblPr>
      <w:tr>
        <w:trPr>
          <w:trHeight w:val="351"/>
        </w:trPr>
        <w:tc>
          <w:tcPr>
            <w:tcW w:w="2340" w:type="dxa"/>
            <w:vAlign w:val="bottom"/>
            <w:tcBorders>
              <w:top w:val="single" w:sz="8" w:color="auto"/>
              <w:left w:val="single" w:sz="8" w:color="auto"/>
              <w:right w:val="single" w:sz="8" w:color="auto"/>
            </w:tcBorders>
          </w:tcPr>
          <w:p>
            <w:pPr>
              <w:ind w:left="460"/>
              <w:spacing w:after="0"/>
              <w:rPr>
                <w:sz w:val="20"/>
                <w:szCs w:val="20"/>
                <w:color w:val="auto"/>
              </w:rPr>
            </w:pPr>
            <w:r>
              <w:rPr>
                <w:rFonts w:ascii="Arial" w:cs="Arial" w:eastAsia="Arial" w:hAnsi="Arial"/>
                <w:sz w:val="18"/>
                <w:szCs w:val="18"/>
                <w:b w:val="1"/>
                <w:bCs w:val="1"/>
                <w:color w:val="auto"/>
              </w:rPr>
              <w:t>Executive Summary</w:t>
            </w:r>
          </w:p>
        </w:tc>
        <w:tc>
          <w:tcPr>
            <w:tcW w:w="2760" w:type="dxa"/>
            <w:vAlign w:val="bottom"/>
            <w:tcBorders>
              <w:top w:val="single" w:sz="8" w:color="auto"/>
              <w:right w:val="single" w:sz="8" w:color="auto"/>
            </w:tcBorders>
          </w:tcPr>
          <w:p>
            <w:pPr>
              <w:ind w:left="540"/>
              <w:spacing w:after="0"/>
              <w:rPr>
                <w:sz w:val="20"/>
                <w:szCs w:val="20"/>
                <w:color w:val="auto"/>
              </w:rPr>
            </w:pPr>
            <w:r>
              <w:rPr>
                <w:rFonts w:ascii="Arial" w:cs="Arial" w:eastAsia="Arial" w:hAnsi="Arial"/>
                <w:sz w:val="18"/>
                <w:szCs w:val="18"/>
                <w:b w:val="1"/>
                <w:bCs w:val="1"/>
                <w:color w:val="auto"/>
              </w:rPr>
              <w:t>Philosophy &amp; Program</w:t>
            </w:r>
          </w:p>
        </w:tc>
        <w:tc>
          <w:tcPr>
            <w:tcW w:w="1960" w:type="dxa"/>
            <w:vAlign w:val="bottom"/>
            <w:tcBorders>
              <w:top w:val="single" w:sz="8" w:color="auto"/>
            </w:tcBorders>
          </w:tcPr>
          <w:p>
            <w:pPr>
              <w:ind w:left="760"/>
              <w:spacing w:after="0"/>
              <w:rPr>
                <w:sz w:val="20"/>
                <w:szCs w:val="20"/>
                <w:color w:val="auto"/>
              </w:rPr>
            </w:pPr>
            <w:r>
              <w:rPr>
                <w:rFonts w:ascii="Arial" w:cs="Arial" w:eastAsia="Arial" w:hAnsi="Arial"/>
                <w:sz w:val="18"/>
                <w:szCs w:val="18"/>
                <w:b w:val="1"/>
                <w:bCs w:val="1"/>
                <w:color w:val="auto"/>
              </w:rPr>
              <w:t>Process</w:t>
            </w:r>
          </w:p>
        </w:tc>
        <w:tc>
          <w:tcPr>
            <w:tcW w:w="2000" w:type="dxa"/>
            <w:vAlign w:val="bottom"/>
            <w:tcBorders>
              <w:top w:val="single" w:sz="8" w:color="auto"/>
            </w:tcBorders>
            <w:shd w:val="clear" w:color="auto" w:fill="000000"/>
          </w:tcPr>
          <w:p>
            <w:pPr>
              <w:ind w:left="680"/>
              <w:spacing w:after="0"/>
              <w:rPr>
                <w:sz w:val="20"/>
                <w:szCs w:val="20"/>
                <w:color w:val="auto"/>
              </w:rPr>
            </w:pPr>
            <w:r>
              <w:rPr>
                <w:rFonts w:ascii="Arial" w:cs="Arial" w:eastAsia="Arial" w:hAnsi="Arial"/>
                <w:sz w:val="18"/>
                <w:szCs w:val="18"/>
                <w:b w:val="1"/>
                <w:bCs w:val="1"/>
                <w:color w:val="FFFFFF"/>
              </w:rPr>
              <w:t>Decisions</w:t>
            </w:r>
          </w:p>
        </w:tc>
        <w:tc>
          <w:tcPr>
            <w:tcW w:w="1980" w:type="dxa"/>
            <w:vAlign w:val="bottom"/>
            <w:tcBorders>
              <w:top w:val="single" w:sz="8" w:color="auto"/>
              <w:right w:val="single" w:sz="8" w:color="auto"/>
            </w:tcBorders>
          </w:tcPr>
          <w:p>
            <w:pPr>
              <w:ind w:left="780"/>
              <w:spacing w:after="0"/>
              <w:rPr>
                <w:sz w:val="20"/>
                <w:szCs w:val="20"/>
                <w:color w:val="auto"/>
              </w:rPr>
            </w:pPr>
            <w:r>
              <w:rPr>
                <w:rFonts w:ascii="Arial" w:cs="Arial" w:eastAsia="Arial" w:hAnsi="Arial"/>
                <w:sz w:val="18"/>
                <w:szCs w:val="18"/>
                <w:b w:val="1"/>
                <w:bCs w:val="1"/>
                <w:color w:val="auto"/>
              </w:rPr>
              <w:t>Other</w:t>
            </w:r>
          </w:p>
        </w:tc>
      </w:tr>
      <w:tr>
        <w:trPr>
          <w:trHeight w:val="162"/>
        </w:trPr>
        <w:tc>
          <w:tcPr>
            <w:tcW w:w="2340" w:type="dxa"/>
            <w:vAlign w:val="bottom"/>
            <w:tcBorders>
              <w:left w:val="single" w:sz="8" w:color="auto"/>
              <w:bottom w:val="single" w:sz="8" w:color="auto"/>
              <w:right w:val="single" w:sz="8" w:color="auto"/>
            </w:tcBorders>
          </w:tcPr>
          <w:p>
            <w:pPr>
              <w:spacing w:after="0"/>
              <w:rPr>
                <w:sz w:val="14"/>
                <w:szCs w:val="14"/>
                <w:color w:val="auto"/>
              </w:rPr>
            </w:pPr>
          </w:p>
        </w:tc>
        <w:tc>
          <w:tcPr>
            <w:tcW w:w="2760" w:type="dxa"/>
            <w:vAlign w:val="bottom"/>
            <w:tcBorders>
              <w:bottom w:val="single" w:sz="8" w:color="auto"/>
              <w:right w:val="single" w:sz="8" w:color="auto"/>
            </w:tcBorders>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shd w:val="clear" w:color="auto" w:fill="000000"/>
          </w:tcPr>
          <w:p>
            <w:pPr>
              <w:spacing w:after="0"/>
              <w:rPr>
                <w:sz w:val="14"/>
                <w:szCs w:val="14"/>
                <w:color w:val="auto"/>
              </w:rPr>
            </w:pPr>
          </w:p>
        </w:tc>
        <w:tc>
          <w:tcPr>
            <w:tcW w:w="1980" w:type="dxa"/>
            <w:vAlign w:val="bottom"/>
            <w:tcBorders>
              <w:bottom w:val="single" w:sz="8" w:color="auto"/>
              <w:right w:val="single" w:sz="8" w:color="auto"/>
            </w:tcBorders>
          </w:tcPr>
          <w:p>
            <w:pPr>
              <w:spacing w:after="0"/>
              <w:rPr>
                <w:sz w:val="14"/>
                <w:szCs w:val="14"/>
                <w:color w:val="auto"/>
              </w:rPr>
            </w:pPr>
          </w:p>
        </w:tc>
      </w:tr>
    </w:tbl>
    <w:p>
      <w:pPr>
        <w:spacing w:after="0" w:line="202"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The following section describes the material compensation actions and decisions relating to executive compensation that took place in 2019 and early 2020.</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Base Salaries</w:t>
      </w:r>
    </w:p>
    <w:p>
      <w:pPr>
        <w:spacing w:after="0" w:line="121" w:lineRule="exact"/>
        <w:rPr>
          <w:sz w:val="20"/>
          <w:szCs w:val="20"/>
          <w:color w:val="auto"/>
        </w:rPr>
      </w:pPr>
    </w:p>
    <w:p>
      <w:pPr>
        <w:ind w:left="120" w:right="120" w:firstLine="440"/>
        <w:spacing w:after="0" w:line="259" w:lineRule="auto"/>
        <w:rPr>
          <w:sz w:val="20"/>
          <w:szCs w:val="20"/>
          <w:color w:val="auto"/>
        </w:rPr>
      </w:pPr>
      <w:r>
        <w:rPr>
          <w:rFonts w:ascii="Arial" w:cs="Arial" w:eastAsia="Arial" w:hAnsi="Arial"/>
          <w:sz w:val="18"/>
          <w:szCs w:val="18"/>
          <w:color w:val="auto"/>
        </w:rPr>
        <w:t>The Compensation Committee met in February 2019 to review our NEOs’ base salaries. The Compensation Committee reviewed market data provided by Pearl Meyer, the Company’s needs, and corporate and individual executive performance in 2018 for determining 2019 base salaries. Based on this review and evaluation, and for the reasons described in the table below, the Compensation Committee approved the following base salaries, effective as of April 1, 2019.</w:t>
      </w:r>
    </w:p>
    <w:p>
      <w:pPr>
        <w:spacing w:after="0" w:line="228" w:lineRule="exact"/>
        <w:rPr>
          <w:sz w:val="20"/>
          <w:szCs w:val="20"/>
          <w:color w:val="auto"/>
        </w:rPr>
      </w:pPr>
    </w:p>
    <w:tbl>
      <w:tblPr>
        <w:tblLayout w:type="fixed"/>
        <w:tblInd w:w="130" w:type="dxa"/>
        <w:tblCellMar>
          <w:top w:w="0" w:type="dxa"/>
          <w:left w:w="0" w:type="dxa"/>
          <w:bottom w:w="0" w:type="dxa"/>
          <w:right w:w="0" w:type="dxa"/>
        </w:tblCellMar>
      </w:tblPr>
      <w:tr>
        <w:trPr>
          <w:trHeight w:val="54"/>
        </w:trPr>
        <w:tc>
          <w:tcPr>
            <w:tcW w:w="2220" w:type="dxa"/>
            <w:vAlign w:val="bottom"/>
            <w:tcBorders>
              <w:left w:val="single" w:sz="8" w:color="5EB5FC"/>
              <w:right w:val="single" w:sz="8" w:color="5EB5FC"/>
            </w:tcBorders>
            <w:shd w:val="clear" w:color="auto" w:fill="5EB5FC"/>
          </w:tcPr>
          <w:p>
            <w:pPr>
              <w:spacing w:after="0"/>
              <w:rPr>
                <w:sz w:val="4"/>
                <w:szCs w:val="4"/>
                <w:color w:val="auto"/>
              </w:rPr>
            </w:pPr>
          </w:p>
        </w:tc>
        <w:tc>
          <w:tcPr>
            <w:tcW w:w="1800" w:type="dxa"/>
            <w:vAlign w:val="bottom"/>
            <w:tcBorders>
              <w:right w:val="single" w:sz="8" w:color="5EB5FC"/>
            </w:tcBorders>
            <w:shd w:val="clear" w:color="auto" w:fill="5EB5FC"/>
          </w:tcPr>
          <w:p>
            <w:pPr>
              <w:spacing w:after="0"/>
              <w:rPr>
                <w:sz w:val="4"/>
                <w:szCs w:val="4"/>
                <w:color w:val="auto"/>
              </w:rPr>
            </w:pPr>
          </w:p>
        </w:tc>
        <w:tc>
          <w:tcPr>
            <w:tcW w:w="80" w:type="dxa"/>
            <w:vAlign w:val="bottom"/>
            <w:shd w:val="clear" w:color="auto" w:fill="5EB5FC"/>
          </w:tcPr>
          <w:p>
            <w:pPr>
              <w:spacing w:after="0"/>
              <w:rPr>
                <w:sz w:val="4"/>
                <w:szCs w:val="4"/>
                <w:color w:val="auto"/>
              </w:rPr>
            </w:pPr>
          </w:p>
        </w:tc>
        <w:tc>
          <w:tcPr>
            <w:tcW w:w="2240" w:type="dxa"/>
            <w:vAlign w:val="bottom"/>
            <w:gridSpan w:val="2"/>
            <w:vMerge w:val="restart"/>
            <w:shd w:val="clear" w:color="auto" w:fill="5EB5FC"/>
          </w:tcPr>
          <w:p>
            <w:pPr>
              <w:ind w:left="1180"/>
              <w:spacing w:after="0"/>
              <w:rPr>
                <w:sz w:val="20"/>
                <w:szCs w:val="20"/>
                <w:color w:val="auto"/>
              </w:rPr>
            </w:pPr>
            <w:r>
              <w:rPr>
                <w:rFonts w:ascii="Arial" w:cs="Arial" w:eastAsia="Arial" w:hAnsi="Arial"/>
                <w:sz w:val="14"/>
                <w:szCs w:val="14"/>
                <w:b w:val="1"/>
                <w:bCs w:val="1"/>
                <w:color w:val="FFFFFF"/>
                <w:w w:val="96"/>
              </w:rPr>
              <w:t>April 2019 Raise</w:t>
            </w:r>
          </w:p>
        </w:tc>
        <w:tc>
          <w:tcPr>
            <w:tcW w:w="1180" w:type="dxa"/>
            <w:vAlign w:val="bottom"/>
            <w:tcBorders>
              <w:right w:val="single" w:sz="8" w:color="5EB5FC"/>
            </w:tcBorders>
            <w:shd w:val="clear" w:color="auto" w:fill="5EB5FC"/>
          </w:tcPr>
          <w:p>
            <w:pPr>
              <w:spacing w:after="0"/>
              <w:rPr>
                <w:sz w:val="4"/>
                <w:szCs w:val="4"/>
                <w:color w:val="auto"/>
              </w:rPr>
            </w:pPr>
          </w:p>
        </w:tc>
        <w:tc>
          <w:tcPr>
            <w:tcW w:w="1760" w:type="dxa"/>
            <w:vAlign w:val="bottom"/>
            <w:tcBorders>
              <w:right w:val="single" w:sz="8" w:color="5EB5FC"/>
            </w:tcBorders>
            <w:shd w:val="clear" w:color="auto" w:fill="5EB5FC"/>
          </w:tcPr>
          <w:p>
            <w:pPr>
              <w:spacing w:after="0"/>
              <w:rPr>
                <w:sz w:val="4"/>
                <w:szCs w:val="4"/>
                <w:color w:val="auto"/>
              </w:rPr>
            </w:pPr>
          </w:p>
        </w:tc>
        <w:tc>
          <w:tcPr>
            <w:tcW w:w="17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Nature of</w:t>
            </w:r>
          </w:p>
        </w:tc>
        <w:tc>
          <w:tcPr>
            <w:tcW w:w="0" w:type="dxa"/>
            <w:vAlign w:val="bottom"/>
          </w:tcPr>
          <w:p>
            <w:pPr>
              <w:spacing w:after="0"/>
              <w:rPr>
                <w:sz w:val="1"/>
                <w:szCs w:val="1"/>
                <w:color w:val="auto"/>
              </w:rPr>
            </w:pPr>
          </w:p>
        </w:tc>
      </w:tr>
      <w:tr>
        <w:trPr>
          <w:trHeight w:val="164"/>
        </w:trPr>
        <w:tc>
          <w:tcPr>
            <w:tcW w:w="2220" w:type="dxa"/>
            <w:vAlign w:val="bottom"/>
            <w:tcBorders>
              <w:left w:val="single" w:sz="8" w:color="5EB5FC"/>
              <w:right w:val="single" w:sz="8" w:color="5EB5FC"/>
            </w:tcBorders>
            <w:shd w:val="clear" w:color="auto" w:fill="5EB5FC"/>
          </w:tcPr>
          <w:p>
            <w:pPr>
              <w:spacing w:after="0"/>
              <w:rPr>
                <w:sz w:val="14"/>
                <w:szCs w:val="14"/>
                <w:color w:val="auto"/>
              </w:rPr>
            </w:pPr>
          </w:p>
        </w:tc>
        <w:tc>
          <w:tcPr>
            <w:tcW w:w="1800" w:type="dxa"/>
            <w:vAlign w:val="bottom"/>
            <w:tcBorders>
              <w:right w:val="single" w:sz="8" w:color="5EB5FC"/>
            </w:tcBorders>
            <w:shd w:val="clear" w:color="auto" w:fill="5EB5FC"/>
          </w:tcPr>
          <w:p>
            <w:pPr>
              <w:spacing w:after="0"/>
              <w:rPr>
                <w:sz w:val="14"/>
                <w:szCs w:val="14"/>
                <w:color w:val="auto"/>
              </w:rPr>
            </w:pPr>
          </w:p>
        </w:tc>
        <w:tc>
          <w:tcPr>
            <w:tcW w:w="80" w:type="dxa"/>
            <w:vAlign w:val="bottom"/>
            <w:shd w:val="clear" w:color="auto" w:fill="5EB5FC"/>
          </w:tcPr>
          <w:p>
            <w:pPr>
              <w:spacing w:after="0"/>
              <w:rPr>
                <w:sz w:val="14"/>
                <w:szCs w:val="14"/>
                <w:color w:val="auto"/>
              </w:rPr>
            </w:pPr>
          </w:p>
        </w:tc>
        <w:tc>
          <w:tcPr>
            <w:tcW w:w="2240" w:type="dxa"/>
            <w:vAlign w:val="bottom"/>
            <w:gridSpan w:val="2"/>
            <w:vMerge w:val="continue"/>
            <w:shd w:val="clear" w:color="auto" w:fill="5EB5FC"/>
          </w:tcPr>
          <w:p>
            <w:pPr>
              <w:spacing w:after="0"/>
              <w:rPr>
                <w:sz w:val="14"/>
                <w:szCs w:val="14"/>
                <w:color w:val="auto"/>
              </w:rPr>
            </w:pPr>
          </w:p>
        </w:tc>
        <w:tc>
          <w:tcPr>
            <w:tcW w:w="1180" w:type="dxa"/>
            <w:vAlign w:val="bottom"/>
            <w:tcBorders>
              <w:right w:val="single" w:sz="8" w:color="5EB5FC"/>
            </w:tcBorders>
            <w:shd w:val="clear" w:color="auto" w:fill="5EB5FC"/>
          </w:tcPr>
          <w:p>
            <w:pPr>
              <w:spacing w:after="0"/>
              <w:rPr>
                <w:sz w:val="14"/>
                <w:szCs w:val="14"/>
                <w:color w:val="auto"/>
              </w:rPr>
            </w:pPr>
          </w:p>
        </w:tc>
        <w:tc>
          <w:tcPr>
            <w:tcW w:w="1760" w:type="dxa"/>
            <w:vAlign w:val="bottom"/>
            <w:tcBorders>
              <w:right w:val="single" w:sz="8" w:color="5EB5FC"/>
            </w:tcBorders>
            <w:shd w:val="clear" w:color="auto" w:fill="5EB5FC"/>
          </w:tcPr>
          <w:p>
            <w:pPr>
              <w:spacing w:after="0"/>
              <w:rPr>
                <w:sz w:val="14"/>
                <w:szCs w:val="14"/>
                <w:color w:val="auto"/>
              </w:rPr>
            </w:pPr>
          </w:p>
        </w:tc>
        <w:tc>
          <w:tcPr>
            <w:tcW w:w="1760" w:type="dxa"/>
            <w:vAlign w:val="bottom"/>
            <w:tcBorders>
              <w:right w:val="single" w:sz="8" w:color="5EB5FC"/>
            </w:tcBorders>
            <w:vMerge w:val="continue"/>
            <w:shd w:val="clear" w:color="auto" w:fill="5EB5FC"/>
          </w:tcPr>
          <w:p>
            <w:pPr>
              <w:spacing w:after="0"/>
              <w:rPr>
                <w:sz w:val="14"/>
                <w:szCs w:val="14"/>
                <w:color w:val="auto"/>
              </w:rPr>
            </w:pPr>
          </w:p>
        </w:tc>
        <w:tc>
          <w:tcPr>
            <w:tcW w:w="0" w:type="dxa"/>
            <w:vAlign w:val="bottom"/>
          </w:tcPr>
          <w:p>
            <w:pPr>
              <w:spacing w:after="0"/>
              <w:rPr>
                <w:sz w:val="1"/>
                <w:szCs w:val="1"/>
                <w:color w:val="auto"/>
              </w:rPr>
            </w:pPr>
          </w:p>
        </w:tc>
      </w:tr>
      <w:tr>
        <w:trPr>
          <w:trHeight w:val="70"/>
        </w:trPr>
        <w:tc>
          <w:tcPr>
            <w:tcW w:w="2220" w:type="dxa"/>
            <w:vAlign w:val="bottom"/>
            <w:tcBorders>
              <w:left w:val="single" w:sz="8" w:color="5EB5FC"/>
              <w:right w:val="single" w:sz="8" w:color="5EB5FC"/>
            </w:tcBorders>
            <w:shd w:val="clear" w:color="auto" w:fill="5EB5FC"/>
          </w:tcPr>
          <w:p>
            <w:pPr>
              <w:spacing w:after="0"/>
              <w:rPr>
                <w:sz w:val="6"/>
                <w:szCs w:val="6"/>
                <w:color w:val="auto"/>
              </w:rPr>
            </w:pPr>
          </w:p>
        </w:tc>
        <w:tc>
          <w:tcPr>
            <w:tcW w:w="1800" w:type="dxa"/>
            <w:vAlign w:val="bottom"/>
            <w:tcBorders>
              <w:right w:val="single" w:sz="8" w:color="5EB5FC"/>
            </w:tcBorders>
            <w:shd w:val="clear" w:color="auto" w:fill="5EB5FC"/>
          </w:tcPr>
          <w:p>
            <w:pPr>
              <w:spacing w:after="0"/>
              <w:rPr>
                <w:sz w:val="6"/>
                <w:szCs w:val="6"/>
                <w:color w:val="auto"/>
              </w:rPr>
            </w:pPr>
          </w:p>
        </w:tc>
        <w:tc>
          <w:tcPr>
            <w:tcW w:w="80" w:type="dxa"/>
            <w:vAlign w:val="bottom"/>
            <w:shd w:val="clear" w:color="auto" w:fill="5EB5FC"/>
          </w:tcPr>
          <w:p>
            <w:pPr>
              <w:spacing w:after="0"/>
              <w:rPr>
                <w:sz w:val="6"/>
                <w:szCs w:val="6"/>
                <w:color w:val="auto"/>
              </w:rPr>
            </w:pPr>
          </w:p>
        </w:tc>
        <w:tc>
          <w:tcPr>
            <w:tcW w:w="1660" w:type="dxa"/>
            <w:vAlign w:val="bottom"/>
            <w:tcBorders>
              <w:right w:val="single" w:sz="8" w:color="5EB5FC"/>
            </w:tcBorders>
            <w:shd w:val="clear" w:color="auto" w:fill="5EB5FC"/>
          </w:tcPr>
          <w:p>
            <w:pPr>
              <w:spacing w:after="0"/>
              <w:rPr>
                <w:sz w:val="6"/>
                <w:szCs w:val="6"/>
                <w:color w:val="auto"/>
              </w:rPr>
            </w:pPr>
          </w:p>
        </w:tc>
        <w:tc>
          <w:tcPr>
            <w:tcW w:w="580" w:type="dxa"/>
            <w:vAlign w:val="bottom"/>
            <w:shd w:val="clear" w:color="auto" w:fill="5EB5FC"/>
          </w:tcPr>
          <w:p>
            <w:pPr>
              <w:spacing w:after="0"/>
              <w:rPr>
                <w:sz w:val="6"/>
                <w:szCs w:val="6"/>
                <w:color w:val="auto"/>
              </w:rPr>
            </w:pPr>
          </w:p>
        </w:tc>
        <w:tc>
          <w:tcPr>
            <w:tcW w:w="1180" w:type="dxa"/>
            <w:vAlign w:val="bottom"/>
            <w:tcBorders>
              <w:right w:val="single" w:sz="8" w:color="5EB5FC"/>
            </w:tcBorders>
            <w:shd w:val="clear" w:color="auto" w:fill="5EB5FC"/>
          </w:tcPr>
          <w:p>
            <w:pPr>
              <w:spacing w:after="0"/>
              <w:rPr>
                <w:sz w:val="6"/>
                <w:szCs w:val="6"/>
                <w:color w:val="auto"/>
              </w:rPr>
            </w:pPr>
          </w:p>
        </w:tc>
        <w:tc>
          <w:tcPr>
            <w:tcW w:w="1760" w:type="dxa"/>
            <w:vAlign w:val="bottom"/>
            <w:tcBorders>
              <w:right w:val="single" w:sz="8" w:color="5EB5FC"/>
            </w:tcBorders>
            <w:shd w:val="clear" w:color="auto" w:fill="5EB5FC"/>
          </w:tcPr>
          <w:p>
            <w:pPr>
              <w:spacing w:after="0"/>
              <w:rPr>
                <w:sz w:val="6"/>
                <w:szCs w:val="6"/>
                <w:color w:val="auto"/>
              </w:rPr>
            </w:pPr>
          </w:p>
        </w:tc>
        <w:tc>
          <w:tcPr>
            <w:tcW w:w="1760" w:type="dxa"/>
            <w:vAlign w:val="bottom"/>
            <w:tcBorders>
              <w:right w:val="single" w:sz="8" w:color="5EB5FC"/>
            </w:tcBorders>
            <w:vMerge w:val="continue"/>
            <w:shd w:val="clear" w:color="auto" w:fill="5EB5FC"/>
          </w:tcPr>
          <w:p>
            <w:pPr>
              <w:spacing w:after="0"/>
              <w:rPr>
                <w:sz w:val="6"/>
                <w:szCs w:val="6"/>
                <w:color w:val="auto"/>
              </w:rPr>
            </w:pPr>
          </w:p>
        </w:tc>
        <w:tc>
          <w:tcPr>
            <w:tcW w:w="0" w:type="dxa"/>
            <w:vAlign w:val="bottom"/>
          </w:tcPr>
          <w:p>
            <w:pPr>
              <w:spacing w:after="0"/>
              <w:rPr>
                <w:sz w:val="1"/>
                <w:szCs w:val="1"/>
                <w:color w:val="auto"/>
              </w:rPr>
            </w:pPr>
          </w:p>
        </w:tc>
      </w:tr>
      <w:tr>
        <w:trPr>
          <w:trHeight w:val="200"/>
        </w:trPr>
        <w:tc>
          <w:tcPr>
            <w:tcW w:w="2220" w:type="dxa"/>
            <w:vAlign w:val="bottom"/>
            <w:tcBorders>
              <w:left w:val="single" w:sz="8" w:color="5EB5FC"/>
              <w:right w:val="single" w:sz="8" w:color="5EB5FC"/>
            </w:tcBorders>
            <w:shd w:val="clear" w:color="auto" w:fill="5EB5FC"/>
          </w:tcPr>
          <w:p>
            <w:pPr>
              <w:ind w:left="1020"/>
              <w:spacing w:after="0"/>
              <w:rPr>
                <w:sz w:val="20"/>
                <w:szCs w:val="20"/>
                <w:color w:val="auto"/>
              </w:rPr>
            </w:pPr>
            <w:r>
              <w:rPr>
                <w:rFonts w:ascii="Arial" w:cs="Arial" w:eastAsia="Arial" w:hAnsi="Arial"/>
                <w:sz w:val="14"/>
                <w:szCs w:val="14"/>
                <w:b w:val="1"/>
                <w:bCs w:val="1"/>
                <w:color w:val="FFFFFF"/>
              </w:rPr>
              <w:t>NEO</w:t>
            </w:r>
          </w:p>
        </w:tc>
        <w:tc>
          <w:tcPr>
            <w:tcW w:w="18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2018 Salary</w:t>
            </w:r>
          </w:p>
        </w:tc>
        <w:tc>
          <w:tcPr>
            <w:tcW w:w="80" w:type="dxa"/>
            <w:vAlign w:val="bottom"/>
            <w:shd w:val="clear" w:color="auto" w:fill="5EB5FC"/>
          </w:tcPr>
          <w:p>
            <w:pPr>
              <w:spacing w:after="0"/>
              <w:rPr>
                <w:sz w:val="17"/>
                <w:szCs w:val="17"/>
                <w:color w:val="auto"/>
              </w:rPr>
            </w:pPr>
          </w:p>
        </w:tc>
        <w:tc>
          <w:tcPr>
            <w:tcW w:w="16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 of 2018 Salary</w:t>
            </w:r>
          </w:p>
        </w:tc>
        <w:tc>
          <w:tcPr>
            <w:tcW w:w="580" w:type="dxa"/>
            <w:vAlign w:val="bottom"/>
            <w:shd w:val="clear" w:color="auto" w:fill="5EB5FC"/>
          </w:tcPr>
          <w:p>
            <w:pPr>
              <w:spacing w:after="0"/>
              <w:rPr>
                <w:sz w:val="17"/>
                <w:szCs w:val="17"/>
                <w:color w:val="auto"/>
              </w:rPr>
            </w:pPr>
          </w:p>
        </w:tc>
        <w:tc>
          <w:tcPr>
            <w:tcW w:w="1180" w:type="dxa"/>
            <w:vAlign w:val="bottom"/>
            <w:tcBorders>
              <w:right w:val="single" w:sz="8" w:color="5EB5FC"/>
            </w:tcBorders>
            <w:shd w:val="clear" w:color="auto" w:fill="5EB5FC"/>
          </w:tcPr>
          <w:p>
            <w:pPr>
              <w:ind w:left="80"/>
              <w:spacing w:after="0"/>
              <w:rPr>
                <w:sz w:val="20"/>
                <w:szCs w:val="20"/>
                <w:color w:val="auto"/>
              </w:rPr>
            </w:pPr>
            <w:r>
              <w:rPr>
                <w:rFonts w:ascii="Arial" w:cs="Arial" w:eastAsia="Arial" w:hAnsi="Arial"/>
                <w:sz w:val="14"/>
                <w:szCs w:val="14"/>
                <w:b w:val="1"/>
                <w:bCs w:val="1"/>
                <w:color w:val="FFFFFF"/>
              </w:rPr>
              <w:t>Amount</w:t>
            </w:r>
          </w:p>
        </w:tc>
        <w:tc>
          <w:tcPr>
            <w:tcW w:w="1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2019 Salary</w:t>
            </w:r>
          </w:p>
        </w:tc>
        <w:tc>
          <w:tcPr>
            <w:tcW w:w="1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87"/>
              </w:rPr>
              <w:t>Increase</w:t>
            </w:r>
          </w:p>
        </w:tc>
        <w:tc>
          <w:tcPr>
            <w:tcW w:w="0" w:type="dxa"/>
            <w:vAlign w:val="bottom"/>
          </w:tcPr>
          <w:p>
            <w:pPr>
              <w:spacing w:after="0"/>
              <w:rPr>
                <w:sz w:val="1"/>
                <w:szCs w:val="1"/>
                <w:color w:val="auto"/>
              </w:rPr>
            </w:pPr>
          </w:p>
        </w:tc>
      </w:tr>
      <w:tr>
        <w:trPr>
          <w:trHeight w:val="93"/>
        </w:trPr>
        <w:tc>
          <w:tcPr>
            <w:tcW w:w="2220" w:type="dxa"/>
            <w:vAlign w:val="bottom"/>
            <w:tcBorders>
              <w:left w:val="single" w:sz="8" w:color="5EB5FC"/>
              <w:right w:val="single" w:sz="8" w:color="5EB5FC"/>
            </w:tcBorders>
            <w:shd w:val="clear" w:color="auto" w:fill="5EB5FC"/>
          </w:tcPr>
          <w:p>
            <w:pPr>
              <w:spacing w:after="0"/>
              <w:rPr>
                <w:sz w:val="8"/>
                <w:szCs w:val="8"/>
                <w:color w:val="auto"/>
              </w:rPr>
            </w:pPr>
          </w:p>
        </w:tc>
        <w:tc>
          <w:tcPr>
            <w:tcW w:w="1800" w:type="dxa"/>
            <w:vAlign w:val="bottom"/>
            <w:tcBorders>
              <w:right w:val="single" w:sz="8" w:color="5EB5FC"/>
            </w:tcBorders>
            <w:shd w:val="clear" w:color="auto" w:fill="5EB5FC"/>
          </w:tcPr>
          <w:p>
            <w:pPr>
              <w:spacing w:after="0"/>
              <w:rPr>
                <w:sz w:val="8"/>
                <w:szCs w:val="8"/>
                <w:color w:val="auto"/>
              </w:rPr>
            </w:pPr>
          </w:p>
        </w:tc>
        <w:tc>
          <w:tcPr>
            <w:tcW w:w="80" w:type="dxa"/>
            <w:vAlign w:val="bottom"/>
            <w:shd w:val="clear" w:color="auto" w:fill="5EB5FC"/>
          </w:tcPr>
          <w:p>
            <w:pPr>
              <w:spacing w:after="0"/>
              <w:rPr>
                <w:sz w:val="8"/>
                <w:szCs w:val="8"/>
                <w:color w:val="auto"/>
              </w:rPr>
            </w:pPr>
          </w:p>
        </w:tc>
        <w:tc>
          <w:tcPr>
            <w:tcW w:w="1660" w:type="dxa"/>
            <w:vAlign w:val="bottom"/>
            <w:tcBorders>
              <w:right w:val="single" w:sz="8" w:color="5EB5FC"/>
            </w:tcBorders>
            <w:shd w:val="clear" w:color="auto" w:fill="5EB5FC"/>
          </w:tcPr>
          <w:p>
            <w:pPr>
              <w:spacing w:after="0"/>
              <w:rPr>
                <w:sz w:val="8"/>
                <w:szCs w:val="8"/>
                <w:color w:val="auto"/>
              </w:rPr>
            </w:pPr>
          </w:p>
        </w:tc>
        <w:tc>
          <w:tcPr>
            <w:tcW w:w="580" w:type="dxa"/>
            <w:vAlign w:val="bottom"/>
            <w:shd w:val="clear" w:color="auto" w:fill="5EB5FC"/>
          </w:tcPr>
          <w:p>
            <w:pPr>
              <w:spacing w:after="0"/>
              <w:rPr>
                <w:sz w:val="8"/>
                <w:szCs w:val="8"/>
                <w:color w:val="auto"/>
              </w:rPr>
            </w:pPr>
          </w:p>
        </w:tc>
        <w:tc>
          <w:tcPr>
            <w:tcW w:w="1180" w:type="dxa"/>
            <w:vAlign w:val="bottom"/>
            <w:tcBorders>
              <w:right w:val="single" w:sz="8" w:color="5EB5FC"/>
            </w:tcBorders>
            <w:shd w:val="clear" w:color="auto" w:fill="5EB5FC"/>
          </w:tcPr>
          <w:p>
            <w:pPr>
              <w:spacing w:after="0"/>
              <w:rPr>
                <w:sz w:val="8"/>
                <w:szCs w:val="8"/>
                <w:color w:val="auto"/>
              </w:rPr>
            </w:pPr>
          </w:p>
        </w:tc>
        <w:tc>
          <w:tcPr>
            <w:tcW w:w="1760" w:type="dxa"/>
            <w:vAlign w:val="bottom"/>
            <w:tcBorders>
              <w:right w:val="single" w:sz="8" w:color="5EB5FC"/>
            </w:tcBorders>
            <w:shd w:val="clear" w:color="auto" w:fill="5EB5FC"/>
          </w:tcPr>
          <w:p>
            <w:pPr>
              <w:spacing w:after="0"/>
              <w:rPr>
                <w:sz w:val="8"/>
                <w:szCs w:val="8"/>
                <w:color w:val="auto"/>
              </w:rPr>
            </w:pPr>
          </w:p>
        </w:tc>
        <w:tc>
          <w:tcPr>
            <w:tcW w:w="176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310"/>
        </w:trPr>
        <w:tc>
          <w:tcPr>
            <w:tcW w:w="2220" w:type="dxa"/>
            <w:vAlign w:val="bottom"/>
            <w:tcBorders>
              <w:left w:val="single" w:sz="8" w:color="A0DBF9"/>
              <w:right w:val="single" w:sz="8" w:color="A0DBF9"/>
            </w:tcBorders>
            <w:vMerge w:val="restart"/>
          </w:tcPr>
          <w:p>
            <w:pPr>
              <w:ind w:left="240"/>
              <w:spacing w:after="0"/>
              <w:rPr>
                <w:sz w:val="20"/>
                <w:szCs w:val="20"/>
                <w:color w:val="auto"/>
              </w:rPr>
            </w:pPr>
            <w:r>
              <w:rPr>
                <w:rFonts w:ascii="Arial" w:cs="Arial" w:eastAsia="Arial" w:hAnsi="Arial"/>
                <w:sz w:val="18"/>
                <w:szCs w:val="18"/>
                <w:b w:val="1"/>
                <w:bCs w:val="1"/>
                <w:color w:val="auto"/>
              </w:rPr>
              <w:t>Mary Anne Heino</w:t>
            </w:r>
          </w:p>
        </w:tc>
        <w:tc>
          <w:tcPr>
            <w:tcW w:w="180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0"/>
              </w:rPr>
              <w:t>$675,000</w:t>
            </w:r>
          </w:p>
        </w:tc>
        <w:tc>
          <w:tcPr>
            <w:tcW w:w="1740" w:type="dxa"/>
            <w:vAlign w:val="bottom"/>
            <w:tcBorders>
              <w:right w:val="single" w:sz="8" w:color="A0DBF9"/>
            </w:tcBorders>
            <w:gridSpan w:val="2"/>
            <w:vMerge w:val="restart"/>
          </w:tcPr>
          <w:p>
            <w:pPr>
              <w:jc w:val="center"/>
              <w:spacing w:after="0"/>
              <w:rPr>
                <w:sz w:val="20"/>
                <w:szCs w:val="20"/>
                <w:color w:val="auto"/>
              </w:rPr>
            </w:pPr>
            <w:r>
              <w:rPr>
                <w:rFonts w:ascii="Arial" w:cs="Arial" w:eastAsia="Arial" w:hAnsi="Arial"/>
                <w:sz w:val="18"/>
                <w:szCs w:val="18"/>
                <w:color w:val="auto"/>
                <w:w w:val="92"/>
              </w:rPr>
              <w:t>7.4%</w:t>
            </w:r>
          </w:p>
        </w:tc>
        <w:tc>
          <w:tcPr>
            <w:tcW w:w="580" w:type="dxa"/>
            <w:vAlign w:val="bottom"/>
          </w:tcPr>
          <w:p>
            <w:pPr>
              <w:spacing w:after="0"/>
              <w:rPr>
                <w:sz w:val="24"/>
                <w:szCs w:val="24"/>
                <w:color w:val="auto"/>
              </w:rPr>
            </w:pPr>
          </w:p>
        </w:tc>
        <w:tc>
          <w:tcPr>
            <w:tcW w:w="1180" w:type="dxa"/>
            <w:vAlign w:val="bottom"/>
            <w:tcBorders>
              <w:right w:val="single" w:sz="8" w:color="A0DBF9"/>
            </w:tcBorders>
            <w:vMerge w:val="restart"/>
          </w:tcPr>
          <w:p>
            <w:pPr>
              <w:jc w:val="center"/>
              <w:ind w:right="413"/>
              <w:spacing w:after="0"/>
              <w:rPr>
                <w:sz w:val="20"/>
                <w:szCs w:val="20"/>
                <w:color w:val="auto"/>
              </w:rPr>
            </w:pPr>
            <w:r>
              <w:rPr>
                <w:rFonts w:ascii="Arial" w:cs="Arial" w:eastAsia="Arial" w:hAnsi="Arial"/>
                <w:sz w:val="18"/>
                <w:szCs w:val="18"/>
                <w:color w:val="auto"/>
                <w:w w:val="92"/>
              </w:rPr>
              <w:t>$50,000</w:t>
            </w:r>
          </w:p>
        </w:tc>
        <w:tc>
          <w:tcPr>
            <w:tcW w:w="176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0"/>
              </w:rPr>
              <w:t>$725,000</w:t>
            </w:r>
          </w:p>
        </w:tc>
        <w:tc>
          <w:tcPr>
            <w:tcW w:w="17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3"/>
              </w:rPr>
              <w:t>Merit and Market</w:t>
            </w:r>
          </w:p>
        </w:tc>
        <w:tc>
          <w:tcPr>
            <w:tcW w:w="0" w:type="dxa"/>
            <w:vAlign w:val="bottom"/>
          </w:tcPr>
          <w:p>
            <w:pPr>
              <w:spacing w:after="0"/>
              <w:rPr>
                <w:sz w:val="1"/>
                <w:szCs w:val="1"/>
                <w:color w:val="auto"/>
              </w:rPr>
            </w:pPr>
          </w:p>
        </w:tc>
      </w:tr>
      <w:tr>
        <w:trPr>
          <w:trHeight w:val="122"/>
        </w:trPr>
        <w:tc>
          <w:tcPr>
            <w:tcW w:w="2220" w:type="dxa"/>
            <w:vAlign w:val="bottom"/>
            <w:tcBorders>
              <w:left w:val="single" w:sz="8" w:color="A0DBF9"/>
              <w:right w:val="single" w:sz="8" w:color="A0DBF9"/>
            </w:tcBorders>
            <w:vMerge w:val="continue"/>
          </w:tcPr>
          <w:p>
            <w:pPr>
              <w:spacing w:after="0"/>
              <w:rPr>
                <w:sz w:val="10"/>
                <w:szCs w:val="10"/>
                <w:color w:val="auto"/>
              </w:rPr>
            </w:pPr>
          </w:p>
        </w:tc>
        <w:tc>
          <w:tcPr>
            <w:tcW w:w="1800" w:type="dxa"/>
            <w:vAlign w:val="bottom"/>
            <w:tcBorders>
              <w:right w:val="single" w:sz="8" w:color="A0DBF9"/>
            </w:tcBorders>
            <w:vMerge w:val="continue"/>
          </w:tcPr>
          <w:p>
            <w:pPr>
              <w:spacing w:after="0"/>
              <w:rPr>
                <w:sz w:val="10"/>
                <w:szCs w:val="10"/>
                <w:color w:val="auto"/>
              </w:rPr>
            </w:pPr>
          </w:p>
        </w:tc>
        <w:tc>
          <w:tcPr>
            <w:tcW w:w="1740" w:type="dxa"/>
            <w:vAlign w:val="bottom"/>
            <w:tcBorders>
              <w:right w:val="single" w:sz="8" w:color="A0DBF9"/>
            </w:tcBorders>
            <w:gridSpan w:val="2"/>
            <w:vMerge w:val="continue"/>
          </w:tcPr>
          <w:p>
            <w:pPr>
              <w:spacing w:after="0"/>
              <w:rPr>
                <w:sz w:val="10"/>
                <w:szCs w:val="10"/>
                <w:color w:val="auto"/>
              </w:rPr>
            </w:pPr>
          </w:p>
        </w:tc>
        <w:tc>
          <w:tcPr>
            <w:tcW w:w="580" w:type="dxa"/>
            <w:vAlign w:val="bottom"/>
          </w:tcPr>
          <w:p>
            <w:pPr>
              <w:spacing w:after="0"/>
              <w:rPr>
                <w:sz w:val="10"/>
                <w:szCs w:val="10"/>
                <w:color w:val="auto"/>
              </w:rPr>
            </w:pPr>
          </w:p>
        </w:tc>
        <w:tc>
          <w:tcPr>
            <w:tcW w:w="1180" w:type="dxa"/>
            <w:vAlign w:val="bottom"/>
            <w:tcBorders>
              <w:right w:val="single" w:sz="8" w:color="A0DBF9"/>
            </w:tcBorders>
            <w:vMerge w:val="continue"/>
          </w:tcPr>
          <w:p>
            <w:pPr>
              <w:spacing w:after="0"/>
              <w:rPr>
                <w:sz w:val="10"/>
                <w:szCs w:val="10"/>
                <w:color w:val="auto"/>
              </w:rPr>
            </w:pPr>
          </w:p>
        </w:tc>
        <w:tc>
          <w:tcPr>
            <w:tcW w:w="1760" w:type="dxa"/>
            <w:vAlign w:val="bottom"/>
            <w:tcBorders>
              <w:right w:val="single" w:sz="8" w:color="A0DBF9"/>
            </w:tcBorders>
            <w:vMerge w:val="continue"/>
          </w:tcPr>
          <w:p>
            <w:pPr>
              <w:spacing w:after="0"/>
              <w:rPr>
                <w:sz w:val="10"/>
                <w:szCs w:val="10"/>
                <w:color w:val="auto"/>
              </w:rPr>
            </w:pPr>
          </w:p>
        </w:tc>
        <w:tc>
          <w:tcPr>
            <w:tcW w:w="176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3"/>
              </w:rPr>
              <w:t>Adjustment</w:t>
            </w:r>
          </w:p>
        </w:tc>
        <w:tc>
          <w:tcPr>
            <w:tcW w:w="0" w:type="dxa"/>
            <w:vAlign w:val="bottom"/>
          </w:tcPr>
          <w:p>
            <w:pPr>
              <w:spacing w:after="0"/>
              <w:rPr>
                <w:sz w:val="1"/>
                <w:szCs w:val="1"/>
                <w:color w:val="auto"/>
              </w:rPr>
            </w:pPr>
          </w:p>
        </w:tc>
      </w:tr>
      <w:tr>
        <w:trPr>
          <w:trHeight w:val="108"/>
        </w:trPr>
        <w:tc>
          <w:tcPr>
            <w:tcW w:w="2220" w:type="dxa"/>
            <w:vAlign w:val="bottom"/>
            <w:tcBorders>
              <w:left w:val="single" w:sz="8" w:color="A0DBF9"/>
              <w:right w:val="single" w:sz="8" w:color="A0DBF9"/>
            </w:tcBorders>
          </w:tcPr>
          <w:p>
            <w:pPr>
              <w:spacing w:after="0"/>
              <w:rPr>
                <w:sz w:val="9"/>
                <w:szCs w:val="9"/>
                <w:color w:val="auto"/>
              </w:rPr>
            </w:pPr>
          </w:p>
        </w:tc>
        <w:tc>
          <w:tcPr>
            <w:tcW w:w="1800" w:type="dxa"/>
            <w:vAlign w:val="bottom"/>
            <w:tcBorders>
              <w:right w:val="single" w:sz="8" w:color="A0DBF9"/>
            </w:tcBorders>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tcBorders>
              <w:right w:val="single" w:sz="8" w:color="A0DBF9"/>
            </w:tcBorders>
          </w:tcPr>
          <w:p>
            <w:pPr>
              <w:spacing w:after="0"/>
              <w:rPr>
                <w:sz w:val="9"/>
                <w:szCs w:val="9"/>
                <w:color w:val="auto"/>
              </w:rPr>
            </w:pPr>
          </w:p>
        </w:tc>
        <w:tc>
          <w:tcPr>
            <w:tcW w:w="580" w:type="dxa"/>
            <w:vAlign w:val="bottom"/>
          </w:tcPr>
          <w:p>
            <w:pPr>
              <w:spacing w:after="0"/>
              <w:rPr>
                <w:sz w:val="9"/>
                <w:szCs w:val="9"/>
                <w:color w:val="auto"/>
              </w:rPr>
            </w:pPr>
          </w:p>
        </w:tc>
        <w:tc>
          <w:tcPr>
            <w:tcW w:w="1180" w:type="dxa"/>
            <w:vAlign w:val="bottom"/>
            <w:tcBorders>
              <w:right w:val="single" w:sz="8" w:color="A0DBF9"/>
            </w:tcBorders>
          </w:tcPr>
          <w:p>
            <w:pPr>
              <w:spacing w:after="0"/>
              <w:rPr>
                <w:sz w:val="9"/>
                <w:szCs w:val="9"/>
                <w:color w:val="auto"/>
              </w:rPr>
            </w:pPr>
          </w:p>
        </w:tc>
        <w:tc>
          <w:tcPr>
            <w:tcW w:w="1760" w:type="dxa"/>
            <w:vAlign w:val="bottom"/>
            <w:tcBorders>
              <w:right w:val="single" w:sz="8" w:color="A0DBF9"/>
            </w:tcBorders>
          </w:tcPr>
          <w:p>
            <w:pPr>
              <w:spacing w:after="0"/>
              <w:rPr>
                <w:sz w:val="9"/>
                <w:szCs w:val="9"/>
                <w:color w:val="auto"/>
              </w:rPr>
            </w:pPr>
          </w:p>
        </w:tc>
        <w:tc>
          <w:tcPr>
            <w:tcW w:w="1760" w:type="dxa"/>
            <w:vAlign w:val="bottom"/>
            <w:tcBorders>
              <w:right w:val="single" w:sz="8" w:color="A0DBF9"/>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220" w:type="dxa"/>
            <w:vAlign w:val="bottom"/>
            <w:tcBorders>
              <w:left w:val="single" w:sz="8" w:color="A0DBF9"/>
              <w:right w:val="single" w:sz="8" w:color="A0DBF9"/>
            </w:tcBorders>
          </w:tcPr>
          <w:p>
            <w:pPr>
              <w:spacing w:after="0"/>
              <w:rPr>
                <w:sz w:val="4"/>
                <w:szCs w:val="4"/>
                <w:color w:val="auto"/>
              </w:rPr>
            </w:pPr>
          </w:p>
        </w:tc>
        <w:tc>
          <w:tcPr>
            <w:tcW w:w="1800" w:type="dxa"/>
            <w:vAlign w:val="bottom"/>
            <w:tcBorders>
              <w:right w:val="single" w:sz="8" w:color="A0DBF9"/>
            </w:tcBorders>
          </w:tcPr>
          <w:p>
            <w:pPr>
              <w:spacing w:after="0"/>
              <w:rPr>
                <w:sz w:val="4"/>
                <w:szCs w:val="4"/>
                <w:color w:val="auto"/>
              </w:rPr>
            </w:pPr>
          </w:p>
        </w:tc>
        <w:tc>
          <w:tcPr>
            <w:tcW w:w="1740" w:type="dxa"/>
            <w:vAlign w:val="bottom"/>
            <w:tcBorders>
              <w:right w:val="single" w:sz="8" w:color="A0DBF9"/>
            </w:tcBorders>
            <w:gridSpan w:val="2"/>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22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Robert J. Marshall, Jr.</w:t>
            </w:r>
          </w:p>
        </w:tc>
        <w:tc>
          <w:tcPr>
            <w:tcW w:w="18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$405,000</w:t>
            </w:r>
          </w:p>
        </w:tc>
        <w:tc>
          <w:tcPr>
            <w:tcW w:w="1740" w:type="dxa"/>
            <w:vAlign w:val="bottom"/>
            <w:tcBorders>
              <w:bottom w:val="single" w:sz="8" w:color="E2F4FC"/>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2"/>
              </w:rPr>
              <w:t>4.0%</w:t>
            </w:r>
          </w:p>
        </w:tc>
        <w:tc>
          <w:tcPr>
            <w:tcW w:w="580" w:type="dxa"/>
            <w:vAlign w:val="bottom"/>
            <w:tcBorders>
              <w:bottom w:val="single" w:sz="8" w:color="E2F4FC"/>
            </w:tcBorders>
            <w:shd w:val="clear" w:color="auto" w:fill="E2F4FC"/>
          </w:tcPr>
          <w:p>
            <w:pPr>
              <w:spacing w:after="0"/>
              <w:rPr>
                <w:sz w:val="24"/>
                <w:szCs w:val="24"/>
                <w:color w:val="auto"/>
              </w:rPr>
            </w:pPr>
          </w:p>
        </w:tc>
        <w:tc>
          <w:tcPr>
            <w:tcW w:w="1180" w:type="dxa"/>
            <w:vAlign w:val="bottom"/>
            <w:tcBorders>
              <w:bottom w:val="single" w:sz="8" w:color="E2F4FC"/>
              <w:right w:val="single" w:sz="8" w:color="A0DBF9"/>
            </w:tcBorders>
            <w:shd w:val="clear" w:color="auto" w:fill="E2F4FC"/>
          </w:tcPr>
          <w:p>
            <w:pPr>
              <w:jc w:val="center"/>
              <w:ind w:right="413"/>
              <w:spacing w:after="0"/>
              <w:rPr>
                <w:sz w:val="20"/>
                <w:szCs w:val="20"/>
                <w:color w:val="auto"/>
              </w:rPr>
            </w:pPr>
            <w:r>
              <w:rPr>
                <w:rFonts w:ascii="Arial" w:cs="Arial" w:eastAsia="Arial" w:hAnsi="Arial"/>
                <w:sz w:val="18"/>
                <w:szCs w:val="18"/>
                <w:color w:val="auto"/>
                <w:w w:val="92"/>
              </w:rPr>
              <w:t>$16,200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$421,200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Merit</w:t>
            </w:r>
          </w:p>
        </w:tc>
        <w:tc>
          <w:tcPr>
            <w:tcW w:w="0" w:type="dxa"/>
            <w:vAlign w:val="bottom"/>
          </w:tcPr>
          <w:p>
            <w:pPr>
              <w:spacing w:after="0"/>
              <w:rPr>
                <w:sz w:val="1"/>
                <w:szCs w:val="1"/>
                <w:color w:val="auto"/>
              </w:rPr>
            </w:pPr>
          </w:p>
        </w:tc>
      </w:tr>
      <w:tr>
        <w:trPr>
          <w:trHeight w:val="324"/>
        </w:trPr>
        <w:tc>
          <w:tcPr>
            <w:tcW w:w="22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John Bolla</w:t>
            </w:r>
          </w:p>
        </w:tc>
        <w:tc>
          <w:tcPr>
            <w:tcW w:w="18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$328,000</w:t>
            </w:r>
          </w:p>
        </w:tc>
        <w:tc>
          <w:tcPr>
            <w:tcW w:w="1740" w:type="dxa"/>
            <w:vAlign w:val="bottom"/>
            <w:tcBorders>
              <w:right w:val="single" w:sz="8" w:color="A0DBF9"/>
            </w:tcBorders>
            <w:gridSpan w:val="2"/>
          </w:tcPr>
          <w:p>
            <w:pPr>
              <w:jc w:val="center"/>
              <w:spacing w:after="0"/>
              <w:rPr>
                <w:sz w:val="20"/>
                <w:szCs w:val="20"/>
                <w:color w:val="auto"/>
              </w:rPr>
            </w:pPr>
            <w:r>
              <w:rPr>
                <w:rFonts w:ascii="Arial" w:cs="Arial" w:eastAsia="Arial" w:hAnsi="Arial"/>
                <w:sz w:val="18"/>
                <w:szCs w:val="18"/>
                <w:color w:val="auto"/>
                <w:w w:val="92"/>
              </w:rPr>
              <w:t>9.8%</w:t>
            </w:r>
          </w:p>
        </w:tc>
        <w:tc>
          <w:tcPr>
            <w:tcW w:w="580" w:type="dxa"/>
            <w:vAlign w:val="bottom"/>
          </w:tcPr>
          <w:p>
            <w:pPr>
              <w:spacing w:after="0"/>
              <w:rPr>
                <w:sz w:val="24"/>
                <w:szCs w:val="24"/>
                <w:color w:val="auto"/>
              </w:rPr>
            </w:pPr>
          </w:p>
        </w:tc>
        <w:tc>
          <w:tcPr>
            <w:tcW w:w="1180" w:type="dxa"/>
            <w:vAlign w:val="bottom"/>
            <w:tcBorders>
              <w:right w:val="single" w:sz="8" w:color="A0DBF9"/>
            </w:tcBorders>
          </w:tcPr>
          <w:p>
            <w:pPr>
              <w:jc w:val="center"/>
              <w:ind w:right="413"/>
              <w:spacing w:after="0"/>
              <w:rPr>
                <w:sz w:val="20"/>
                <w:szCs w:val="20"/>
                <w:color w:val="auto"/>
              </w:rPr>
            </w:pPr>
            <w:r>
              <w:rPr>
                <w:rFonts w:ascii="Arial" w:cs="Arial" w:eastAsia="Arial" w:hAnsi="Arial"/>
                <w:sz w:val="18"/>
                <w:szCs w:val="18"/>
                <w:color w:val="auto"/>
                <w:w w:val="92"/>
              </w:rPr>
              <w:t>$32,000</w:t>
            </w:r>
          </w:p>
        </w:tc>
        <w:tc>
          <w:tcPr>
            <w:tcW w:w="17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$360,000</w:t>
            </w:r>
          </w:p>
        </w:tc>
        <w:tc>
          <w:tcPr>
            <w:tcW w:w="17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2"/>
              </w:rPr>
              <w:t>Merit and Promotion</w:t>
            </w:r>
          </w:p>
        </w:tc>
        <w:tc>
          <w:tcPr>
            <w:tcW w:w="0" w:type="dxa"/>
            <w:vAlign w:val="bottom"/>
          </w:tcPr>
          <w:p>
            <w:pPr>
              <w:spacing w:after="0"/>
              <w:rPr>
                <w:sz w:val="1"/>
                <w:szCs w:val="1"/>
                <w:color w:val="auto"/>
              </w:rPr>
            </w:pPr>
          </w:p>
        </w:tc>
      </w:tr>
      <w:tr>
        <w:trPr>
          <w:trHeight w:val="54"/>
        </w:trPr>
        <w:tc>
          <w:tcPr>
            <w:tcW w:w="2220" w:type="dxa"/>
            <w:vAlign w:val="bottom"/>
            <w:tcBorders>
              <w:left w:val="single" w:sz="8" w:color="A0DBF9"/>
              <w:right w:val="single" w:sz="8" w:color="A0DBF9"/>
            </w:tcBorders>
          </w:tcPr>
          <w:p>
            <w:pPr>
              <w:spacing w:after="0"/>
              <w:rPr>
                <w:sz w:val="4"/>
                <w:szCs w:val="4"/>
                <w:color w:val="auto"/>
              </w:rPr>
            </w:pPr>
          </w:p>
        </w:tc>
        <w:tc>
          <w:tcPr>
            <w:tcW w:w="1800" w:type="dxa"/>
            <w:vAlign w:val="bottom"/>
            <w:tcBorders>
              <w:right w:val="single" w:sz="8" w:color="A0DBF9"/>
            </w:tcBorders>
          </w:tcPr>
          <w:p>
            <w:pPr>
              <w:spacing w:after="0"/>
              <w:rPr>
                <w:sz w:val="4"/>
                <w:szCs w:val="4"/>
                <w:color w:val="auto"/>
              </w:rPr>
            </w:pPr>
          </w:p>
        </w:tc>
        <w:tc>
          <w:tcPr>
            <w:tcW w:w="1740" w:type="dxa"/>
            <w:vAlign w:val="bottom"/>
            <w:tcBorders>
              <w:right w:val="single" w:sz="8" w:color="A0DBF9"/>
            </w:tcBorders>
            <w:gridSpan w:val="2"/>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22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Michael P. Duffy</w:t>
            </w:r>
          </w:p>
        </w:tc>
        <w:tc>
          <w:tcPr>
            <w:tcW w:w="18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$407,000</w:t>
            </w:r>
          </w:p>
        </w:tc>
        <w:tc>
          <w:tcPr>
            <w:tcW w:w="1740" w:type="dxa"/>
            <w:vAlign w:val="bottom"/>
            <w:tcBorders>
              <w:bottom w:val="single" w:sz="8" w:color="E2F4FC"/>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2"/>
              </w:rPr>
              <w:t>4.0%</w:t>
            </w:r>
          </w:p>
        </w:tc>
        <w:tc>
          <w:tcPr>
            <w:tcW w:w="580" w:type="dxa"/>
            <w:vAlign w:val="bottom"/>
            <w:tcBorders>
              <w:bottom w:val="single" w:sz="8" w:color="E2F4FC"/>
            </w:tcBorders>
            <w:shd w:val="clear" w:color="auto" w:fill="E2F4FC"/>
          </w:tcPr>
          <w:p>
            <w:pPr>
              <w:spacing w:after="0"/>
              <w:rPr>
                <w:sz w:val="24"/>
                <w:szCs w:val="24"/>
                <w:color w:val="auto"/>
              </w:rPr>
            </w:pPr>
          </w:p>
        </w:tc>
        <w:tc>
          <w:tcPr>
            <w:tcW w:w="1180" w:type="dxa"/>
            <w:vAlign w:val="bottom"/>
            <w:tcBorders>
              <w:bottom w:val="single" w:sz="8" w:color="E2F4FC"/>
              <w:right w:val="single" w:sz="8" w:color="A0DBF9"/>
            </w:tcBorders>
            <w:shd w:val="clear" w:color="auto" w:fill="E2F4FC"/>
          </w:tcPr>
          <w:p>
            <w:pPr>
              <w:jc w:val="center"/>
              <w:ind w:right="413"/>
              <w:spacing w:after="0"/>
              <w:rPr>
                <w:sz w:val="20"/>
                <w:szCs w:val="20"/>
                <w:color w:val="auto"/>
              </w:rPr>
            </w:pPr>
            <w:r>
              <w:rPr>
                <w:rFonts w:ascii="Arial" w:cs="Arial" w:eastAsia="Arial" w:hAnsi="Arial"/>
                <w:sz w:val="18"/>
                <w:szCs w:val="18"/>
                <w:color w:val="auto"/>
                <w:w w:val="92"/>
              </w:rPr>
              <w:t>$16,280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$423,280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Merit</w:t>
            </w:r>
          </w:p>
        </w:tc>
        <w:tc>
          <w:tcPr>
            <w:tcW w:w="0" w:type="dxa"/>
            <w:vAlign w:val="bottom"/>
          </w:tcPr>
          <w:p>
            <w:pPr>
              <w:spacing w:after="0"/>
              <w:rPr>
                <w:sz w:val="1"/>
                <w:szCs w:val="1"/>
                <w:color w:val="auto"/>
              </w:rPr>
            </w:pPr>
          </w:p>
        </w:tc>
      </w:tr>
      <w:tr>
        <w:trPr>
          <w:trHeight w:val="324"/>
        </w:trPr>
        <w:tc>
          <w:tcPr>
            <w:tcW w:w="22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w w:val="97"/>
              </w:rPr>
              <w:t>Simon Robinson, Ph.D.</w:t>
            </w:r>
          </w:p>
        </w:tc>
        <w:tc>
          <w:tcPr>
            <w:tcW w:w="18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$328,000</w:t>
            </w:r>
          </w:p>
        </w:tc>
        <w:tc>
          <w:tcPr>
            <w:tcW w:w="1740" w:type="dxa"/>
            <w:vAlign w:val="bottom"/>
            <w:tcBorders>
              <w:right w:val="single" w:sz="8" w:color="A0DBF9"/>
            </w:tcBorders>
            <w:gridSpan w:val="2"/>
          </w:tcPr>
          <w:p>
            <w:pPr>
              <w:jc w:val="center"/>
              <w:spacing w:after="0"/>
              <w:rPr>
                <w:sz w:val="20"/>
                <w:szCs w:val="20"/>
                <w:color w:val="auto"/>
              </w:rPr>
            </w:pPr>
            <w:r>
              <w:rPr>
                <w:rFonts w:ascii="Arial" w:cs="Arial" w:eastAsia="Arial" w:hAnsi="Arial"/>
                <w:sz w:val="18"/>
                <w:szCs w:val="18"/>
                <w:color w:val="auto"/>
                <w:w w:val="92"/>
              </w:rPr>
              <w:t>4.0%</w:t>
            </w:r>
          </w:p>
        </w:tc>
        <w:tc>
          <w:tcPr>
            <w:tcW w:w="580" w:type="dxa"/>
            <w:vAlign w:val="bottom"/>
          </w:tcPr>
          <w:p>
            <w:pPr>
              <w:spacing w:after="0"/>
              <w:rPr>
                <w:sz w:val="24"/>
                <w:szCs w:val="24"/>
                <w:color w:val="auto"/>
              </w:rPr>
            </w:pPr>
          </w:p>
        </w:tc>
        <w:tc>
          <w:tcPr>
            <w:tcW w:w="1180" w:type="dxa"/>
            <w:vAlign w:val="bottom"/>
            <w:tcBorders>
              <w:right w:val="single" w:sz="8" w:color="A0DBF9"/>
            </w:tcBorders>
          </w:tcPr>
          <w:p>
            <w:pPr>
              <w:jc w:val="center"/>
              <w:ind w:right="413"/>
              <w:spacing w:after="0"/>
              <w:rPr>
                <w:sz w:val="20"/>
                <w:szCs w:val="20"/>
                <w:color w:val="auto"/>
              </w:rPr>
            </w:pPr>
            <w:r>
              <w:rPr>
                <w:rFonts w:ascii="Arial" w:cs="Arial" w:eastAsia="Arial" w:hAnsi="Arial"/>
                <w:sz w:val="18"/>
                <w:szCs w:val="18"/>
                <w:color w:val="auto"/>
                <w:w w:val="92"/>
              </w:rPr>
              <w:t>$13,120</w:t>
            </w:r>
          </w:p>
        </w:tc>
        <w:tc>
          <w:tcPr>
            <w:tcW w:w="17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$341,120</w:t>
            </w:r>
          </w:p>
        </w:tc>
        <w:tc>
          <w:tcPr>
            <w:tcW w:w="17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9"/>
              </w:rPr>
              <w:t>Merit</w:t>
            </w:r>
          </w:p>
        </w:tc>
        <w:tc>
          <w:tcPr>
            <w:tcW w:w="0" w:type="dxa"/>
            <w:vAlign w:val="bottom"/>
          </w:tcPr>
          <w:p>
            <w:pPr>
              <w:spacing w:after="0"/>
              <w:rPr>
                <w:sz w:val="1"/>
                <w:szCs w:val="1"/>
                <w:color w:val="auto"/>
              </w:rPr>
            </w:pPr>
          </w:p>
        </w:tc>
      </w:tr>
      <w:tr>
        <w:trPr>
          <w:trHeight w:val="54"/>
        </w:trPr>
        <w:tc>
          <w:tcPr>
            <w:tcW w:w="2220" w:type="dxa"/>
            <w:vAlign w:val="bottom"/>
            <w:tcBorders>
              <w:left w:val="single" w:sz="8" w:color="A0DBF9"/>
              <w:right w:val="single" w:sz="8" w:color="A0DBF9"/>
            </w:tcBorders>
          </w:tcPr>
          <w:p>
            <w:pPr>
              <w:spacing w:after="0"/>
              <w:rPr>
                <w:sz w:val="4"/>
                <w:szCs w:val="4"/>
                <w:color w:val="auto"/>
              </w:rPr>
            </w:pPr>
          </w:p>
        </w:tc>
        <w:tc>
          <w:tcPr>
            <w:tcW w:w="1800" w:type="dxa"/>
            <w:vAlign w:val="bottom"/>
            <w:tcBorders>
              <w:right w:val="single" w:sz="8" w:color="A0DBF9"/>
            </w:tcBorders>
          </w:tcPr>
          <w:p>
            <w:pPr>
              <w:spacing w:after="0"/>
              <w:rPr>
                <w:sz w:val="4"/>
                <w:szCs w:val="4"/>
                <w:color w:val="auto"/>
              </w:rPr>
            </w:pPr>
          </w:p>
        </w:tc>
        <w:tc>
          <w:tcPr>
            <w:tcW w:w="1740" w:type="dxa"/>
            <w:vAlign w:val="bottom"/>
            <w:tcBorders>
              <w:right w:val="single" w:sz="8" w:color="A0DBF9"/>
            </w:tcBorders>
            <w:gridSpan w:val="2"/>
          </w:tcPr>
          <w:p>
            <w:pPr>
              <w:spacing w:after="0"/>
              <w:rPr>
                <w:sz w:val="4"/>
                <w:szCs w:val="4"/>
                <w:color w:val="auto"/>
              </w:rPr>
            </w:pPr>
          </w:p>
        </w:tc>
        <w:tc>
          <w:tcPr>
            <w:tcW w:w="580" w:type="dxa"/>
            <w:vAlign w:val="bottom"/>
          </w:tcPr>
          <w:p>
            <w:pPr>
              <w:spacing w:after="0"/>
              <w:rPr>
                <w:sz w:val="4"/>
                <w:szCs w:val="4"/>
                <w:color w:val="auto"/>
              </w:rPr>
            </w:pPr>
          </w:p>
        </w:tc>
        <w:tc>
          <w:tcPr>
            <w:tcW w:w="118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1760" w:type="dxa"/>
            <w:vAlign w:val="bottom"/>
            <w:tcBorders>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r>
        <w:trPr>
          <w:trHeight w:val="383"/>
        </w:trPr>
        <w:tc>
          <w:tcPr>
            <w:tcW w:w="222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Cesare Orlandi, M.D.</w:t>
            </w:r>
          </w:p>
        </w:tc>
        <w:tc>
          <w:tcPr>
            <w:tcW w:w="18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$418,000</w:t>
            </w:r>
          </w:p>
        </w:tc>
        <w:tc>
          <w:tcPr>
            <w:tcW w:w="1740" w:type="dxa"/>
            <w:vAlign w:val="bottom"/>
            <w:tcBorders>
              <w:bottom w:val="single" w:sz="8" w:color="E2F4FC"/>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2"/>
              </w:rPr>
              <w:t>0.0%</w:t>
            </w:r>
          </w:p>
        </w:tc>
        <w:tc>
          <w:tcPr>
            <w:tcW w:w="580" w:type="dxa"/>
            <w:vAlign w:val="bottom"/>
            <w:tcBorders>
              <w:bottom w:val="single" w:sz="8" w:color="E2F4FC"/>
            </w:tcBorders>
            <w:shd w:val="clear" w:color="auto" w:fill="E2F4FC"/>
          </w:tcPr>
          <w:p>
            <w:pPr>
              <w:spacing w:after="0"/>
              <w:rPr>
                <w:sz w:val="24"/>
                <w:szCs w:val="24"/>
                <w:color w:val="auto"/>
              </w:rPr>
            </w:pPr>
          </w:p>
        </w:tc>
        <w:tc>
          <w:tcPr>
            <w:tcW w:w="1180" w:type="dxa"/>
            <w:vAlign w:val="bottom"/>
            <w:tcBorders>
              <w:bottom w:val="single" w:sz="8" w:color="E2F4FC"/>
              <w:right w:val="single" w:sz="8" w:color="A0DBF9"/>
            </w:tcBorders>
            <w:shd w:val="clear" w:color="auto" w:fill="E2F4FC"/>
          </w:tcPr>
          <w:p>
            <w:pPr>
              <w:jc w:val="center"/>
              <w:ind w:right="433"/>
              <w:spacing w:after="0"/>
              <w:rPr>
                <w:sz w:val="20"/>
                <w:szCs w:val="20"/>
                <w:color w:val="auto"/>
              </w:rPr>
            </w:pPr>
            <w:r>
              <w:rPr>
                <w:rFonts w:ascii="Arial" w:cs="Arial" w:eastAsia="Arial" w:hAnsi="Arial"/>
                <w:sz w:val="18"/>
                <w:szCs w:val="18"/>
                <w:color w:val="auto"/>
                <w:w w:val="89"/>
              </w:rPr>
              <w:t>$0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$418,000</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358"/>
        </w:trPr>
        <w:tc>
          <w:tcPr>
            <w:tcW w:w="2220" w:type="dxa"/>
            <w:vAlign w:val="bottom"/>
            <w:tcBorders>
              <w:top w:val="single" w:sz="8" w:color="A0DBF9"/>
            </w:tcBorders>
          </w:tcPr>
          <w:p>
            <w:pPr>
              <w:spacing w:after="0"/>
              <w:rPr>
                <w:sz w:val="24"/>
                <w:szCs w:val="24"/>
                <w:color w:val="auto"/>
              </w:rPr>
            </w:pPr>
          </w:p>
        </w:tc>
        <w:tc>
          <w:tcPr>
            <w:tcW w:w="1800" w:type="dxa"/>
            <w:vAlign w:val="bottom"/>
            <w:tcBorders>
              <w:top w:val="single" w:sz="8" w:color="A0DBF9"/>
            </w:tcBorders>
          </w:tcPr>
          <w:p>
            <w:pPr>
              <w:spacing w:after="0"/>
              <w:rPr>
                <w:sz w:val="24"/>
                <w:szCs w:val="24"/>
                <w:color w:val="auto"/>
              </w:rPr>
            </w:pPr>
          </w:p>
        </w:tc>
        <w:tc>
          <w:tcPr>
            <w:tcW w:w="1740" w:type="dxa"/>
            <w:vAlign w:val="bottom"/>
            <w:tcBorders>
              <w:top w:val="single" w:sz="8" w:color="A0DBF9"/>
            </w:tcBorders>
            <w:gridSpan w:val="2"/>
          </w:tcPr>
          <w:p>
            <w:pPr>
              <w:jc w:val="right"/>
              <w:ind w:right="88"/>
              <w:spacing w:after="0"/>
              <w:rPr>
                <w:sz w:val="20"/>
                <w:szCs w:val="20"/>
                <w:color w:val="auto"/>
              </w:rPr>
            </w:pPr>
            <w:r>
              <w:rPr>
                <w:rFonts w:ascii="Arial" w:cs="Arial" w:eastAsia="Arial" w:hAnsi="Arial"/>
                <w:sz w:val="18"/>
                <w:szCs w:val="18"/>
                <w:color w:val="auto"/>
              </w:rPr>
              <w:t>35</w:t>
            </w:r>
          </w:p>
        </w:tc>
        <w:tc>
          <w:tcPr>
            <w:tcW w:w="580" w:type="dxa"/>
            <w:vAlign w:val="bottom"/>
            <w:tcBorders>
              <w:top w:val="single" w:sz="8" w:color="A0DBF9"/>
            </w:tcBorders>
          </w:tcPr>
          <w:p>
            <w:pPr>
              <w:spacing w:after="0"/>
              <w:rPr>
                <w:sz w:val="24"/>
                <w:szCs w:val="24"/>
                <w:color w:val="auto"/>
              </w:rPr>
            </w:pPr>
          </w:p>
        </w:tc>
        <w:tc>
          <w:tcPr>
            <w:tcW w:w="1180" w:type="dxa"/>
            <w:vAlign w:val="bottom"/>
            <w:tcBorders>
              <w:top w:val="single" w:sz="8" w:color="A0DBF9"/>
            </w:tcBorders>
          </w:tcPr>
          <w:p>
            <w:pPr>
              <w:spacing w:after="0"/>
              <w:rPr>
                <w:sz w:val="24"/>
                <w:szCs w:val="24"/>
                <w:color w:val="auto"/>
              </w:rPr>
            </w:pPr>
          </w:p>
        </w:tc>
        <w:tc>
          <w:tcPr>
            <w:tcW w:w="1760" w:type="dxa"/>
            <w:vAlign w:val="bottom"/>
            <w:tcBorders>
              <w:top w:val="single" w:sz="8" w:color="A0DBF9"/>
            </w:tcBorders>
          </w:tcPr>
          <w:p>
            <w:pPr>
              <w:spacing w:after="0"/>
              <w:rPr>
                <w:sz w:val="24"/>
                <w:szCs w:val="24"/>
                <w:color w:val="auto"/>
              </w:rPr>
            </w:pPr>
          </w:p>
        </w:tc>
        <w:tc>
          <w:tcPr>
            <w:tcW w:w="1760" w:type="dxa"/>
            <w:vAlign w:val="bottom"/>
            <w:tcBorders>
              <w:top w:val="single" w:sz="8" w:color="A0DBF9"/>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Executive Leadership Team Incentive Bonus Plan</w:t>
      </w:r>
    </w:p>
    <w:p>
      <w:pPr>
        <w:spacing w:after="0" w:line="121"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General Design</w:t>
      </w:r>
    </w:p>
    <w:p>
      <w:pPr>
        <w:spacing w:after="0" w:line="117"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At the beginning of 2019, the Compensation Committee established the design parameters for the 2019 Executive Leadership Team Incentive Bonus Plan (the “</w:t>
      </w:r>
      <w:r>
        <w:rPr>
          <w:rFonts w:ascii="Arial" w:cs="Arial" w:eastAsia="Arial" w:hAnsi="Arial"/>
          <w:sz w:val="16"/>
          <w:szCs w:val="16"/>
          <w:b w:val="1"/>
          <w:bCs w:val="1"/>
          <w:i w:val="1"/>
          <w:iCs w:val="1"/>
          <w:color w:val="auto"/>
        </w:rPr>
        <w:t>2019 Executive Bonus Plan</w:t>
      </w:r>
      <w:r>
        <w:rPr>
          <w:rFonts w:ascii="Arial" w:cs="Arial" w:eastAsia="Arial" w:hAnsi="Arial"/>
          <w:sz w:val="16"/>
          <w:szCs w:val="16"/>
          <w:color w:val="auto"/>
        </w:rPr>
        <w:t>”) in which all of our executive officers, including our NEOs, participate. The 2019 Executive Bonus Plan is intended to motivate and reward our executives for achievements relative to our corporate and individual goals and expectations for 2019.</w:t>
      </w:r>
    </w:p>
    <w:p>
      <w:pPr>
        <w:sectPr>
          <w:pgSz w:w="11900" w:h="16838" w:orient="portrait"/>
          <w:cols w:equalWidth="0" w:num="1">
            <w:col w:w="11140"/>
          </w:cols>
          <w:pgMar w:left="320" w:top="459" w:right="439" w:bottom="1440" w:gutter="0" w:footer="0" w:header="0"/>
        </w:sectPr>
      </w:pPr>
    </w:p>
    <w:p>
      <w:pPr>
        <w:spacing w:after="0" w:line="17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Payouts under the 2019 Executive Bonus Plan are based on:</w:t>
      </w:r>
    </w:p>
    <w:p>
      <w:pPr>
        <w:spacing w:after="0" w:line="131" w:lineRule="exact"/>
        <w:rPr>
          <w:sz w:val="20"/>
          <w:szCs w:val="20"/>
          <w:color w:val="auto"/>
        </w:rPr>
      </w:pPr>
    </w:p>
    <w:p>
      <w:pPr>
        <w:ind w:left="840" w:hanging="274"/>
        <w:spacing w:after="0" w:line="296" w:lineRule="auto"/>
        <w:tabs>
          <w:tab w:leader="none" w:pos="824"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extent to which the Company achieves corporate performance goals in 2019 relating to Net Revenue, Adjusted EPS and Free Cash Flow (each of these performance metrics is defined under the “</w:t>
      </w:r>
      <w:r>
        <w:rPr>
          <w:rFonts w:ascii="Arial" w:cs="Arial" w:eastAsia="Arial" w:hAnsi="Arial"/>
          <w:sz w:val="16"/>
          <w:szCs w:val="16"/>
          <w:i w:val="1"/>
          <w:iCs w:val="1"/>
          <w:color w:val="auto"/>
        </w:rPr>
        <w:t>Corporate Performance Goals and Actual Achievement</w:t>
      </w:r>
      <w:r>
        <w:rPr>
          <w:rFonts w:ascii="Arial" w:cs="Arial" w:eastAsia="Arial" w:hAnsi="Arial"/>
          <w:sz w:val="16"/>
          <w:szCs w:val="16"/>
          <w:color w:val="auto"/>
        </w:rPr>
        <w:t>” section below, and each is weighted as set forth in the table to the right); and</w:t>
      </w:r>
    </w:p>
    <w:p>
      <w:pPr>
        <w:spacing w:after="0" w:line="66" w:lineRule="exact"/>
        <w:rPr>
          <w:rFonts w:ascii="Arial" w:cs="Arial" w:eastAsia="Arial" w:hAnsi="Arial"/>
          <w:sz w:val="16"/>
          <w:szCs w:val="16"/>
          <w:color w:val="auto"/>
        </w:rPr>
      </w:pPr>
    </w:p>
    <w:p>
      <w:pPr>
        <w:ind w:left="820" w:hanging="254"/>
        <w:spacing w:after="0"/>
        <w:tabs>
          <w:tab w:leader="none" w:pos="82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individual performance.</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2019 Executive Bonus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-219710</wp:posOffset>
            </wp:positionH>
            <wp:positionV relativeFrom="paragraph">
              <wp:posOffset>-179070</wp:posOffset>
            </wp:positionV>
            <wp:extent cx="3360420" cy="13798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60420" cy="1379855"/>
                    </a:xfrm>
                    <a:prstGeom prst="rect">
                      <a:avLst/>
                    </a:prstGeom>
                    <a:noFill/>
                  </pic:spPr>
                </pic:pic>
              </a:graphicData>
            </a:graphic>
          </wp:anchor>
        </w:drawing>
      </w:r>
    </w:p>
    <w:p>
      <w:pPr>
        <w:spacing w:after="0" w:line="7" w:lineRule="exact"/>
        <w:rPr>
          <w:sz w:val="20"/>
          <w:szCs w:val="20"/>
          <w:color w:val="auto"/>
        </w:rPr>
      </w:pPr>
    </w:p>
    <w:p>
      <w:pPr>
        <w:jc w:val="center"/>
        <w:ind w:right="240"/>
        <w:spacing w:after="0"/>
        <w:rPr>
          <w:sz w:val="20"/>
          <w:szCs w:val="20"/>
          <w:color w:val="auto"/>
        </w:rPr>
      </w:pPr>
      <w:r>
        <w:rPr>
          <w:rFonts w:ascii="Arial" w:cs="Arial" w:eastAsia="Arial" w:hAnsi="Arial"/>
          <w:sz w:val="18"/>
          <w:szCs w:val="18"/>
          <w:b w:val="1"/>
          <w:bCs w:val="1"/>
          <w:color w:val="auto"/>
        </w:rPr>
        <w:t>Performance Metrics* and Weighting</w:t>
      </w:r>
    </w:p>
    <w:p>
      <w:pPr>
        <w:spacing w:after="0" w:line="124" w:lineRule="exact"/>
        <w:rPr>
          <w:sz w:val="20"/>
          <w:szCs w:val="20"/>
          <w:color w:val="auto"/>
        </w:rPr>
      </w:pPr>
    </w:p>
    <w:tbl>
      <w:tblPr>
        <w:tblLayout w:type="fixed"/>
        <w:tblInd w:w="10" w:type="dxa"/>
        <w:tblCellMar>
          <w:top w:w="0" w:type="dxa"/>
          <w:left w:w="0" w:type="dxa"/>
          <w:bottom w:w="0" w:type="dxa"/>
          <w:right w:w="0" w:type="dxa"/>
        </w:tblCellMar>
      </w:tblPr>
      <w:tr>
        <w:trPr>
          <w:trHeight w:val="283"/>
        </w:trPr>
        <w:tc>
          <w:tcPr>
            <w:tcW w:w="1540" w:type="dxa"/>
            <w:vAlign w:val="bottom"/>
            <w:tcBorders>
              <w:top w:val="single" w:sz="8" w:color="A0DBF9"/>
              <w:left w:val="single" w:sz="8" w:color="A0DBF9"/>
              <w:right w:val="single" w:sz="8" w:color="A0DBF9"/>
            </w:tcBorders>
          </w:tcPr>
          <w:p>
            <w:pPr>
              <w:jc w:val="center"/>
              <w:ind w:left="10"/>
              <w:spacing w:after="0"/>
              <w:rPr>
                <w:sz w:val="20"/>
                <w:szCs w:val="20"/>
                <w:color w:val="auto"/>
              </w:rPr>
            </w:pPr>
            <w:r>
              <w:rPr>
                <w:rFonts w:ascii="Arial" w:cs="Arial" w:eastAsia="Arial" w:hAnsi="Arial"/>
                <w:sz w:val="18"/>
                <w:szCs w:val="18"/>
                <w:b w:val="1"/>
                <w:bCs w:val="1"/>
                <w:color w:val="auto"/>
                <w:w w:val="99"/>
              </w:rPr>
              <w:t>40%</w:t>
            </w:r>
          </w:p>
        </w:tc>
        <w:tc>
          <w:tcPr>
            <w:tcW w:w="1540" w:type="dxa"/>
            <w:vAlign w:val="bottom"/>
            <w:tcBorders>
              <w:top w:val="single" w:sz="8" w:color="A0DBF9"/>
              <w:right w:val="single" w:sz="8" w:color="A0DBF9"/>
            </w:tcBorders>
          </w:tcPr>
          <w:p>
            <w:pPr>
              <w:jc w:val="center"/>
              <w:ind w:left="10"/>
              <w:spacing w:after="0"/>
              <w:rPr>
                <w:sz w:val="20"/>
                <w:szCs w:val="20"/>
                <w:color w:val="auto"/>
              </w:rPr>
            </w:pPr>
            <w:r>
              <w:rPr>
                <w:rFonts w:ascii="Arial" w:cs="Arial" w:eastAsia="Arial" w:hAnsi="Arial"/>
                <w:sz w:val="18"/>
                <w:szCs w:val="18"/>
                <w:b w:val="1"/>
                <w:bCs w:val="1"/>
                <w:color w:val="auto"/>
                <w:w w:val="99"/>
              </w:rPr>
              <w:t>30%</w:t>
            </w:r>
          </w:p>
        </w:tc>
        <w:tc>
          <w:tcPr>
            <w:tcW w:w="1540" w:type="dxa"/>
            <w:vAlign w:val="bottom"/>
            <w:tcBorders>
              <w:top w:val="single" w:sz="8" w:color="A0DBF9"/>
              <w:right w:val="single" w:sz="8" w:color="A0DBF9"/>
            </w:tcBorders>
          </w:tcPr>
          <w:p>
            <w:pPr>
              <w:jc w:val="center"/>
              <w:ind w:left="10"/>
              <w:spacing w:after="0"/>
              <w:rPr>
                <w:sz w:val="20"/>
                <w:szCs w:val="20"/>
                <w:color w:val="auto"/>
              </w:rPr>
            </w:pPr>
            <w:r>
              <w:rPr>
                <w:rFonts w:ascii="Arial" w:cs="Arial" w:eastAsia="Arial" w:hAnsi="Arial"/>
                <w:sz w:val="18"/>
                <w:szCs w:val="18"/>
                <w:b w:val="1"/>
                <w:bCs w:val="1"/>
                <w:color w:val="auto"/>
                <w:w w:val="99"/>
              </w:rPr>
              <w:t>30%</w:t>
            </w:r>
          </w:p>
        </w:tc>
      </w:tr>
      <w:tr>
        <w:trPr>
          <w:trHeight w:val="216"/>
        </w:trPr>
        <w:tc>
          <w:tcPr>
            <w:tcW w:w="1540" w:type="dxa"/>
            <w:vAlign w:val="bottom"/>
            <w:tcBorders>
              <w:left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2"/>
              </w:rPr>
              <w:t>Net</w:t>
            </w:r>
          </w:p>
        </w:tc>
        <w:tc>
          <w:tcPr>
            <w:tcW w:w="1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Adjusted</w:t>
            </w:r>
          </w:p>
        </w:tc>
        <w:tc>
          <w:tcPr>
            <w:tcW w:w="1540" w:type="dxa"/>
            <w:vAlign w:val="bottom"/>
            <w:tcBorders>
              <w:right w:val="single" w:sz="8" w:color="A0DBF9"/>
            </w:tcBorders>
          </w:tcPr>
          <w:p>
            <w:pPr>
              <w:jc w:val="center"/>
              <w:ind w:left="10"/>
              <w:spacing w:after="0"/>
              <w:rPr>
                <w:sz w:val="20"/>
                <w:szCs w:val="20"/>
                <w:color w:val="auto"/>
              </w:rPr>
            </w:pPr>
            <w:r>
              <w:rPr>
                <w:rFonts w:ascii="Arial" w:cs="Arial" w:eastAsia="Arial" w:hAnsi="Arial"/>
                <w:sz w:val="18"/>
                <w:szCs w:val="18"/>
                <w:color w:val="auto"/>
                <w:w w:val="85"/>
              </w:rPr>
              <w:t>Free Cash</w:t>
            </w:r>
          </w:p>
        </w:tc>
      </w:tr>
      <w:tr>
        <w:trPr>
          <w:trHeight w:val="230"/>
        </w:trPr>
        <w:tc>
          <w:tcPr>
            <w:tcW w:w="1540" w:type="dxa"/>
            <w:vAlign w:val="bottom"/>
            <w:tcBorders>
              <w:left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5"/>
              </w:rPr>
              <w:t>Revenue</w:t>
            </w:r>
          </w:p>
        </w:tc>
        <w:tc>
          <w:tcPr>
            <w:tcW w:w="1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3"/>
              </w:rPr>
              <w:t>EPS</w:t>
            </w:r>
          </w:p>
        </w:tc>
        <w:tc>
          <w:tcPr>
            <w:tcW w:w="1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9"/>
              </w:rPr>
              <w:t>Flow</w:t>
            </w:r>
          </w:p>
        </w:tc>
      </w:tr>
      <w:tr>
        <w:trPr>
          <w:trHeight w:val="135"/>
        </w:trPr>
        <w:tc>
          <w:tcPr>
            <w:tcW w:w="1540" w:type="dxa"/>
            <w:vAlign w:val="bottom"/>
            <w:tcBorders>
              <w:left w:val="single" w:sz="8" w:color="A0DBF9"/>
              <w:bottom w:val="single" w:sz="8" w:color="A0DBF9"/>
              <w:right w:val="single" w:sz="8" w:color="A0DBF9"/>
            </w:tcBorders>
          </w:tcPr>
          <w:p>
            <w:pPr>
              <w:spacing w:after="0"/>
              <w:rPr>
                <w:sz w:val="11"/>
                <w:szCs w:val="11"/>
                <w:color w:val="auto"/>
              </w:rPr>
            </w:pPr>
          </w:p>
        </w:tc>
        <w:tc>
          <w:tcPr>
            <w:tcW w:w="1540" w:type="dxa"/>
            <w:vAlign w:val="bottom"/>
            <w:tcBorders>
              <w:bottom w:val="single" w:sz="8" w:color="A0DBF9"/>
              <w:right w:val="single" w:sz="8" w:color="A0DBF9"/>
            </w:tcBorders>
          </w:tcPr>
          <w:p>
            <w:pPr>
              <w:spacing w:after="0"/>
              <w:rPr>
                <w:sz w:val="11"/>
                <w:szCs w:val="11"/>
                <w:color w:val="auto"/>
              </w:rPr>
            </w:pPr>
          </w:p>
        </w:tc>
        <w:tc>
          <w:tcPr>
            <w:tcW w:w="1540" w:type="dxa"/>
            <w:vAlign w:val="bottom"/>
            <w:tcBorders>
              <w:bottom w:val="single" w:sz="8" w:color="A0DBF9"/>
              <w:right w:val="single" w:sz="8" w:color="A0DBF9"/>
            </w:tcBorders>
          </w:tcPr>
          <w:p>
            <w:pPr>
              <w:spacing w:after="0"/>
              <w:rPr>
                <w:sz w:val="11"/>
                <w:szCs w:val="11"/>
                <w:color w:val="auto"/>
              </w:rPr>
            </w:pPr>
          </w:p>
        </w:tc>
      </w:tr>
    </w:tbl>
    <w:p>
      <w:pPr>
        <w:jc w:val="center"/>
        <w:ind w:left="1320" w:right="440" w:hanging="1108"/>
        <w:spacing w:after="0" w:line="245" w:lineRule="auto"/>
        <w:tabs>
          <w:tab w:leader="none" w:pos="321"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These metrics are defined under the “</w:t>
      </w:r>
      <w:r>
        <w:rPr>
          <w:rFonts w:ascii="Arial" w:cs="Arial" w:eastAsia="Arial" w:hAnsi="Arial"/>
          <w:sz w:val="14"/>
          <w:szCs w:val="14"/>
          <w:i w:val="1"/>
          <w:iCs w:val="1"/>
          <w:color w:val="auto"/>
        </w:rPr>
        <w:t>Corporate Performance Goals and</w:t>
      </w:r>
      <w:r>
        <w:rPr>
          <w:rFonts w:ascii="Arial" w:cs="Arial" w:eastAsia="Arial" w:hAnsi="Arial"/>
          <w:sz w:val="14"/>
          <w:szCs w:val="14"/>
          <w:color w:val="auto"/>
        </w:rPr>
        <w:t xml:space="preserve"> </w:t>
      </w:r>
      <w:r>
        <w:rPr>
          <w:rFonts w:ascii="Arial" w:cs="Arial" w:eastAsia="Arial" w:hAnsi="Arial"/>
          <w:sz w:val="14"/>
          <w:szCs w:val="14"/>
          <w:i w:val="1"/>
          <w:iCs w:val="1"/>
          <w:color w:val="auto"/>
        </w:rPr>
        <w:t>Actual Achievement</w:t>
      </w:r>
      <w:r>
        <w:rPr>
          <w:rFonts w:ascii="Arial" w:cs="Arial" w:eastAsia="Arial" w:hAnsi="Arial"/>
          <w:sz w:val="14"/>
          <w:szCs w:val="14"/>
          <w:color w:val="auto"/>
        </w:rPr>
        <w:t>” section below.</w:t>
      </w:r>
    </w:p>
    <w:p>
      <w:pPr>
        <w:spacing w:after="0" w:line="200" w:lineRule="exact"/>
        <w:rPr>
          <w:sz w:val="20"/>
          <w:szCs w:val="20"/>
          <w:color w:val="auto"/>
        </w:rPr>
      </w:pPr>
    </w:p>
    <w:p>
      <w:pPr>
        <w:sectPr>
          <w:pgSz w:w="11900" w:h="16838" w:orient="portrait"/>
          <w:cols w:equalWidth="0" w:num="2">
            <w:col w:w="5780" w:space="420"/>
            <w:col w:w="4940"/>
          </w:cols>
          <w:pgMar w:left="320" w:top="459" w:right="439" w:bottom="1440" w:gutter="0" w:footer="0" w:header="0"/>
          <w:type w:val="continuous"/>
        </w:sectPr>
      </w:pPr>
    </w:p>
    <w:p>
      <w:pPr>
        <w:spacing w:after="0" w:line="30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general design of the 2019 Executive Bonus Plan is as follows:</w:t>
      </w:r>
    </w:p>
    <w:p>
      <w:pPr>
        <w:spacing w:after="0" w:line="246" w:lineRule="exact"/>
        <w:rPr>
          <w:sz w:val="20"/>
          <w:szCs w:val="20"/>
          <w:color w:val="auto"/>
        </w:rPr>
      </w:pPr>
    </w:p>
    <w:tbl>
      <w:tblPr>
        <w:tblLayout w:type="fixed"/>
        <w:tblInd w:w="130" w:type="dxa"/>
        <w:tblCellMar>
          <w:top w:w="0" w:type="dxa"/>
          <w:left w:w="0" w:type="dxa"/>
          <w:bottom w:w="0" w:type="dxa"/>
          <w:right w:w="0" w:type="dxa"/>
        </w:tblCellMar>
      </w:tblPr>
      <w:tr>
        <w:trPr>
          <w:trHeight w:val="292"/>
        </w:trPr>
        <w:tc>
          <w:tcPr>
            <w:tcW w:w="1560" w:type="dxa"/>
            <w:vAlign w:val="bottom"/>
            <w:tcBorders>
              <w:top w:val="single" w:sz="8" w:color="auto"/>
              <w:left w:val="single" w:sz="8" w:color="auto"/>
              <w:right w:val="single" w:sz="8" w:color="auto"/>
            </w:tcBorders>
            <w:shd w:val="clear" w:color="auto" w:fill="E2F4FC"/>
          </w:tcPr>
          <w:p>
            <w:pPr>
              <w:spacing w:after="0"/>
              <w:rPr>
                <w:sz w:val="24"/>
                <w:szCs w:val="24"/>
                <w:color w:val="auto"/>
              </w:rPr>
            </w:pPr>
          </w:p>
        </w:tc>
        <w:tc>
          <w:tcPr>
            <w:tcW w:w="920" w:type="dxa"/>
            <w:vAlign w:val="bottom"/>
            <w:tcBorders>
              <w:right w:val="single" w:sz="8" w:color="auto"/>
            </w:tcBorders>
          </w:tcPr>
          <w:p>
            <w:pPr>
              <w:spacing w:after="0"/>
              <w:rPr>
                <w:sz w:val="24"/>
                <w:szCs w:val="24"/>
                <w:color w:val="auto"/>
              </w:rPr>
            </w:pPr>
          </w:p>
        </w:tc>
        <w:tc>
          <w:tcPr>
            <w:tcW w:w="1640" w:type="dxa"/>
            <w:vAlign w:val="bottom"/>
            <w:tcBorders>
              <w:top w:val="single" w:sz="8" w:color="auto"/>
              <w:right w:val="single" w:sz="8" w:color="auto"/>
            </w:tcBorders>
            <w:shd w:val="clear" w:color="auto" w:fill="E2F4FC"/>
          </w:tcPr>
          <w:p>
            <w:pPr>
              <w:spacing w:after="0"/>
              <w:rPr>
                <w:sz w:val="24"/>
                <w:szCs w:val="24"/>
                <w:color w:val="auto"/>
              </w:rPr>
            </w:pPr>
          </w:p>
        </w:tc>
        <w:tc>
          <w:tcPr>
            <w:tcW w:w="880" w:type="dxa"/>
            <w:vAlign w:val="bottom"/>
            <w:tcBorders>
              <w:right w:val="single" w:sz="8" w:color="auto"/>
            </w:tcBorders>
          </w:tcPr>
          <w:p>
            <w:pPr>
              <w:spacing w:after="0"/>
              <w:rPr>
                <w:sz w:val="24"/>
                <w:szCs w:val="24"/>
                <w:color w:val="auto"/>
              </w:rPr>
            </w:pPr>
          </w:p>
        </w:tc>
        <w:tc>
          <w:tcPr>
            <w:tcW w:w="1640" w:type="dxa"/>
            <w:vAlign w:val="bottom"/>
            <w:tcBorders>
              <w:top w:val="single" w:sz="8" w:color="auto"/>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2"/>
              </w:rPr>
              <w:t>Corporate</w:t>
            </w:r>
          </w:p>
        </w:tc>
        <w:tc>
          <w:tcPr>
            <w:tcW w:w="880" w:type="dxa"/>
            <w:vAlign w:val="bottom"/>
            <w:tcBorders>
              <w:right w:val="single" w:sz="8" w:color="auto"/>
            </w:tcBorders>
          </w:tcPr>
          <w:p>
            <w:pPr>
              <w:spacing w:after="0"/>
              <w:rPr>
                <w:sz w:val="24"/>
                <w:szCs w:val="24"/>
                <w:color w:val="auto"/>
              </w:rPr>
            </w:pPr>
          </w:p>
        </w:tc>
        <w:tc>
          <w:tcPr>
            <w:tcW w:w="1640" w:type="dxa"/>
            <w:vAlign w:val="bottom"/>
            <w:tcBorders>
              <w:top w:val="single" w:sz="8" w:color="auto"/>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5"/>
              </w:rPr>
              <w:t>Individual</w:t>
            </w:r>
          </w:p>
        </w:tc>
        <w:tc>
          <w:tcPr>
            <w:tcW w:w="760" w:type="dxa"/>
            <w:vAlign w:val="bottom"/>
            <w:tcBorders>
              <w:right w:val="single" w:sz="8" w:color="auto"/>
            </w:tcBorders>
          </w:tcPr>
          <w:p>
            <w:pPr>
              <w:spacing w:after="0"/>
              <w:rPr>
                <w:sz w:val="24"/>
                <w:szCs w:val="24"/>
                <w:color w:val="auto"/>
              </w:rPr>
            </w:pPr>
          </w:p>
        </w:tc>
        <w:tc>
          <w:tcPr>
            <w:tcW w:w="1120" w:type="dxa"/>
            <w:vAlign w:val="bottom"/>
            <w:tcBorders>
              <w:top w:val="single" w:sz="8" w:color="auto"/>
              <w:right w:val="single" w:sz="8" w:color="auto"/>
            </w:tcBorders>
            <w:shd w:val="clear" w:color="auto" w:fill="E2F4FC"/>
          </w:tcPr>
          <w:p>
            <w:pPr>
              <w:jc w:val="center"/>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shd w:val="clear" w:color="auto" w:fill="E2F4FC"/>
          </w:tcPr>
          <w:p>
            <w:pPr>
              <w:spacing w:after="0"/>
              <w:rPr>
                <w:sz w:val="11"/>
                <w:szCs w:val="11"/>
                <w:color w:val="auto"/>
              </w:rPr>
            </w:pPr>
          </w:p>
        </w:tc>
        <w:tc>
          <w:tcPr>
            <w:tcW w:w="920" w:type="dxa"/>
            <w:vAlign w:val="bottom"/>
            <w:tcBorders>
              <w:right w:val="single" w:sz="8" w:color="auto"/>
            </w:tcBorders>
            <w:vMerge w:val="restart"/>
          </w:tcPr>
          <w:p>
            <w:pPr>
              <w:ind w:left="440"/>
              <w:spacing w:after="0"/>
              <w:rPr>
                <w:sz w:val="20"/>
                <w:szCs w:val="20"/>
                <w:color w:val="auto"/>
              </w:rPr>
            </w:pPr>
            <w:r>
              <w:rPr>
                <w:rFonts w:ascii="Arial" w:cs="Arial" w:eastAsia="Arial" w:hAnsi="Arial"/>
                <w:sz w:val="18"/>
                <w:szCs w:val="18"/>
                <w:b w:val="1"/>
                <w:bCs w:val="1"/>
                <w:color w:val="auto"/>
              </w:rPr>
              <w:t>X</w:t>
            </w: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87"/>
              </w:rPr>
              <w:t>Target Bonus</w:t>
            </w:r>
          </w:p>
        </w:tc>
        <w:tc>
          <w:tcPr>
            <w:tcW w:w="880" w:type="dxa"/>
            <w:vAlign w:val="bottom"/>
            <w:tcBorders>
              <w:right w:val="single" w:sz="8" w:color="auto"/>
            </w:tcBorders>
            <w:vMerge w:val="restart"/>
          </w:tcPr>
          <w:p>
            <w:pPr>
              <w:ind w:left="400"/>
              <w:spacing w:after="0"/>
              <w:rPr>
                <w:sz w:val="20"/>
                <w:szCs w:val="20"/>
                <w:color w:val="auto"/>
              </w:rPr>
            </w:pPr>
            <w:r>
              <w:rPr>
                <w:rFonts w:ascii="Arial" w:cs="Arial" w:eastAsia="Arial" w:hAnsi="Arial"/>
                <w:sz w:val="18"/>
                <w:szCs w:val="18"/>
                <w:b w:val="1"/>
                <w:bCs w:val="1"/>
                <w:color w:val="auto"/>
              </w:rPr>
              <w:t>X</w:t>
            </w:r>
          </w:p>
        </w:tc>
        <w:tc>
          <w:tcPr>
            <w:tcW w:w="1640" w:type="dxa"/>
            <w:vAlign w:val="bottom"/>
            <w:tcBorders>
              <w:right w:val="single" w:sz="8" w:color="auto"/>
            </w:tcBorders>
            <w:vMerge w:val="continue"/>
            <w:shd w:val="clear" w:color="auto" w:fill="E2F4FC"/>
          </w:tcPr>
          <w:p>
            <w:pPr>
              <w:spacing w:after="0"/>
              <w:rPr>
                <w:sz w:val="11"/>
                <w:szCs w:val="11"/>
                <w:color w:val="auto"/>
              </w:rPr>
            </w:pPr>
          </w:p>
        </w:tc>
        <w:tc>
          <w:tcPr>
            <w:tcW w:w="880" w:type="dxa"/>
            <w:vAlign w:val="bottom"/>
            <w:tcBorders>
              <w:right w:val="single" w:sz="8" w:color="auto"/>
            </w:tcBorders>
            <w:vMerge w:val="restart"/>
          </w:tcPr>
          <w:p>
            <w:pPr>
              <w:ind w:left="420"/>
              <w:spacing w:after="0"/>
              <w:rPr>
                <w:sz w:val="20"/>
                <w:szCs w:val="20"/>
                <w:color w:val="auto"/>
              </w:rPr>
            </w:pPr>
            <w:r>
              <w:rPr>
                <w:rFonts w:ascii="Arial" w:cs="Arial" w:eastAsia="Arial" w:hAnsi="Arial"/>
                <w:sz w:val="18"/>
                <w:szCs w:val="18"/>
                <w:b w:val="1"/>
                <w:bCs w:val="1"/>
                <w:color w:val="auto"/>
              </w:rPr>
              <w:t>X</w:t>
            </w:r>
          </w:p>
        </w:tc>
        <w:tc>
          <w:tcPr>
            <w:tcW w:w="1640" w:type="dxa"/>
            <w:vAlign w:val="bottom"/>
            <w:tcBorders>
              <w:right w:val="single" w:sz="8" w:color="auto"/>
            </w:tcBorders>
            <w:vMerge w:val="continue"/>
            <w:shd w:val="clear" w:color="auto" w:fill="E2F4FC"/>
          </w:tcPr>
          <w:p>
            <w:pPr>
              <w:spacing w:after="0"/>
              <w:rPr>
                <w:sz w:val="11"/>
                <w:szCs w:val="11"/>
                <w:color w:val="auto"/>
              </w:rPr>
            </w:pPr>
          </w:p>
        </w:tc>
        <w:tc>
          <w:tcPr>
            <w:tcW w:w="760" w:type="dxa"/>
            <w:vAlign w:val="bottom"/>
            <w:tcBorders>
              <w:right w:val="single" w:sz="8" w:color="auto"/>
            </w:tcBorders>
            <w:vMerge w:val="restart"/>
          </w:tcPr>
          <w:p>
            <w:pPr>
              <w:jc w:val="right"/>
              <w:ind w:right="190"/>
              <w:spacing w:after="0"/>
              <w:rPr>
                <w:sz w:val="20"/>
                <w:szCs w:val="20"/>
                <w:color w:val="auto"/>
              </w:rPr>
            </w:pPr>
            <w:r>
              <w:rPr>
                <w:rFonts w:ascii="Arial" w:cs="Arial" w:eastAsia="Arial" w:hAnsi="Arial"/>
                <w:sz w:val="18"/>
                <w:szCs w:val="18"/>
                <w:b w:val="1"/>
                <w:bCs w:val="1"/>
                <w:color w:val="auto"/>
              </w:rPr>
              <w:t>=</w:t>
            </w:r>
          </w:p>
        </w:tc>
        <w:tc>
          <w:tcPr>
            <w:tcW w:w="112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87"/>
              </w:rPr>
              <w:t>Executive</w:t>
            </w:r>
          </w:p>
        </w:tc>
        <w:tc>
          <w:tcPr>
            <w:tcW w:w="0" w:type="dxa"/>
            <w:vAlign w:val="bottom"/>
          </w:tcPr>
          <w:p>
            <w:pPr>
              <w:spacing w:after="0"/>
              <w:rPr>
                <w:sz w:val="1"/>
                <w:szCs w:val="1"/>
                <w:color w:val="auto"/>
              </w:rPr>
            </w:pPr>
          </w:p>
        </w:tc>
      </w:tr>
      <w:tr>
        <w:trPr>
          <w:trHeight w:val="81"/>
        </w:trPr>
        <w:tc>
          <w:tcPr>
            <w:tcW w:w="1560" w:type="dxa"/>
            <w:vAlign w:val="bottom"/>
            <w:tcBorders>
              <w:left w:val="single" w:sz="8" w:color="auto"/>
              <w:right w:val="single" w:sz="8" w:color="auto"/>
            </w:tcBorders>
            <w:vMerge w:val="restart"/>
            <w:shd w:val="clear" w:color="auto" w:fill="E2F4FC"/>
          </w:tcPr>
          <w:p>
            <w:pPr>
              <w:ind w:left="400"/>
              <w:spacing w:after="0"/>
              <w:rPr>
                <w:sz w:val="20"/>
                <w:szCs w:val="20"/>
                <w:color w:val="auto"/>
              </w:rPr>
            </w:pPr>
            <w:r>
              <w:rPr>
                <w:rFonts w:ascii="Arial" w:cs="Arial" w:eastAsia="Arial" w:hAnsi="Arial"/>
                <w:sz w:val="18"/>
                <w:szCs w:val="18"/>
                <w:b w:val="1"/>
                <w:bCs w:val="1"/>
                <w:color w:val="auto"/>
              </w:rPr>
              <w:t>Base Salary</w:t>
            </w:r>
          </w:p>
        </w:tc>
        <w:tc>
          <w:tcPr>
            <w:tcW w:w="92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continue"/>
            <w:shd w:val="clear" w:color="auto" w:fill="E2F4FC"/>
          </w:tcPr>
          <w:p>
            <w:pPr>
              <w:spacing w:after="0"/>
              <w:rPr>
                <w:sz w:val="7"/>
                <w:szCs w:val="7"/>
                <w:color w:val="auto"/>
              </w:rPr>
            </w:pPr>
          </w:p>
        </w:tc>
        <w:tc>
          <w:tcPr>
            <w:tcW w:w="88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880" w:type="dxa"/>
            <w:vAlign w:val="bottom"/>
            <w:tcBorders>
              <w:right w:val="single" w:sz="8" w:color="auto"/>
            </w:tcBorders>
            <w:vMerge w:val="continue"/>
          </w:tcPr>
          <w:p>
            <w:pPr>
              <w:spacing w:after="0"/>
              <w:rPr>
                <w:sz w:val="7"/>
                <w:szCs w:val="7"/>
                <w:color w:val="auto"/>
              </w:rPr>
            </w:pP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760" w:type="dxa"/>
            <w:vAlign w:val="bottom"/>
            <w:tcBorders>
              <w:right w:val="single" w:sz="8" w:color="auto"/>
            </w:tcBorders>
            <w:vMerge w:val="continue"/>
          </w:tcPr>
          <w:p>
            <w:pPr>
              <w:spacing w:after="0"/>
              <w:rPr>
                <w:sz w:val="7"/>
                <w:szCs w:val="7"/>
                <w:color w:val="auto"/>
              </w:rPr>
            </w:pPr>
          </w:p>
        </w:tc>
        <w:tc>
          <w:tcPr>
            <w:tcW w:w="1120" w:type="dxa"/>
            <w:vAlign w:val="bottom"/>
            <w:tcBorders>
              <w:right w:val="single" w:sz="8" w:color="auto"/>
            </w:tcBorders>
            <w:vMerge w:val="continue"/>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right w:val="single" w:sz="8" w:color="auto"/>
            </w:tcBorders>
            <w:vMerge w:val="continue"/>
            <w:shd w:val="clear" w:color="auto" w:fill="E2F4FC"/>
          </w:tcPr>
          <w:p>
            <w:pPr>
              <w:spacing w:after="0"/>
              <w:rPr>
                <w:sz w:val="11"/>
                <w:szCs w:val="11"/>
                <w:color w:val="auto"/>
              </w:rPr>
            </w:pPr>
          </w:p>
        </w:tc>
        <w:tc>
          <w:tcPr>
            <w:tcW w:w="92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88"/>
              </w:rPr>
              <w:t>Percentage</w:t>
            </w:r>
          </w:p>
        </w:tc>
        <w:tc>
          <w:tcPr>
            <w:tcW w:w="88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shd w:val="clear" w:color="auto" w:fill="E2F4FC"/>
          </w:tcPr>
          <w:p>
            <w:pPr>
              <w:spacing w:after="0"/>
              <w:rPr>
                <w:sz w:val="11"/>
                <w:szCs w:val="11"/>
                <w:color w:val="auto"/>
              </w:rPr>
            </w:pPr>
          </w:p>
        </w:tc>
        <w:tc>
          <w:tcPr>
            <w:tcW w:w="880" w:type="dxa"/>
            <w:vAlign w:val="bottom"/>
            <w:tcBorders>
              <w:right w:val="single" w:sz="8" w:color="auto"/>
            </w:tcBorders>
            <w:vMerge w:val="continue"/>
          </w:tcPr>
          <w:p>
            <w:pPr>
              <w:spacing w:after="0"/>
              <w:rPr>
                <w:sz w:val="11"/>
                <w:szCs w:val="11"/>
                <w:color w:val="auto"/>
              </w:rPr>
            </w:pPr>
          </w:p>
        </w:tc>
        <w:tc>
          <w:tcPr>
            <w:tcW w:w="1640" w:type="dxa"/>
            <w:vAlign w:val="bottom"/>
            <w:tcBorders>
              <w:right w:val="single" w:sz="8" w:color="auto"/>
            </w:tcBorders>
            <w:vMerge w:val="continue"/>
            <w:shd w:val="clear" w:color="auto" w:fill="E2F4FC"/>
          </w:tcPr>
          <w:p>
            <w:pPr>
              <w:spacing w:after="0"/>
              <w:rPr>
                <w:sz w:val="11"/>
                <w:szCs w:val="11"/>
                <w:color w:val="auto"/>
              </w:rPr>
            </w:pPr>
          </w:p>
        </w:tc>
        <w:tc>
          <w:tcPr>
            <w:tcW w:w="760" w:type="dxa"/>
            <w:vAlign w:val="bottom"/>
            <w:tcBorders>
              <w:right w:val="single" w:sz="8" w:color="auto"/>
            </w:tcBorders>
            <w:vMerge w:val="continue"/>
          </w:tcPr>
          <w:p>
            <w:pPr>
              <w:spacing w:after="0"/>
              <w:rPr>
                <w:sz w:val="11"/>
                <w:szCs w:val="11"/>
                <w:color w:val="auto"/>
              </w:rPr>
            </w:pPr>
          </w:p>
        </w:tc>
        <w:tc>
          <w:tcPr>
            <w:tcW w:w="112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88"/>
              </w:rPr>
              <w:t>Bonus Plan</w:t>
            </w:r>
          </w:p>
        </w:tc>
        <w:tc>
          <w:tcPr>
            <w:tcW w:w="0" w:type="dxa"/>
            <w:vAlign w:val="bottom"/>
          </w:tcPr>
          <w:p>
            <w:pPr>
              <w:spacing w:after="0"/>
              <w:rPr>
                <w:sz w:val="1"/>
                <w:szCs w:val="1"/>
                <w:color w:val="auto"/>
              </w:rPr>
            </w:pPr>
          </w:p>
        </w:tc>
      </w:tr>
      <w:tr>
        <w:trPr>
          <w:trHeight w:val="81"/>
        </w:trPr>
        <w:tc>
          <w:tcPr>
            <w:tcW w:w="1560" w:type="dxa"/>
            <w:vAlign w:val="bottom"/>
            <w:tcBorders>
              <w:left w:val="single" w:sz="8" w:color="auto"/>
              <w:right w:val="single" w:sz="8" w:color="auto"/>
            </w:tcBorders>
            <w:shd w:val="clear" w:color="auto" w:fill="E2F4FC"/>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continue"/>
            <w:shd w:val="clear" w:color="auto" w:fill="E2F4FC"/>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0"/>
              </w:rPr>
              <w:t>Factor</w:t>
            </w:r>
          </w:p>
        </w:tc>
        <w:tc>
          <w:tcPr>
            <w:tcW w:w="8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94"/>
              </w:rPr>
              <w:t>Factor</w:t>
            </w:r>
          </w:p>
        </w:tc>
        <w:tc>
          <w:tcPr>
            <w:tcW w:w="76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153"/>
        </w:trPr>
        <w:tc>
          <w:tcPr>
            <w:tcW w:w="1560" w:type="dxa"/>
            <w:vAlign w:val="bottom"/>
            <w:tcBorders>
              <w:left w:val="single" w:sz="8" w:color="auto"/>
              <w:right w:val="single" w:sz="8" w:color="auto"/>
            </w:tcBorders>
            <w:shd w:val="clear" w:color="auto" w:fill="E2F4FC"/>
          </w:tcPr>
          <w:p>
            <w:pPr>
              <w:spacing w:after="0"/>
              <w:rPr>
                <w:sz w:val="13"/>
                <w:szCs w:val="13"/>
                <w:color w:val="auto"/>
              </w:rPr>
            </w:pPr>
          </w:p>
        </w:tc>
        <w:tc>
          <w:tcPr>
            <w:tcW w:w="92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shd w:val="clear" w:color="auto" w:fill="E2F4FC"/>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continue"/>
            <w:shd w:val="clear" w:color="auto" w:fill="E2F4FC"/>
          </w:tcPr>
          <w:p>
            <w:pPr>
              <w:spacing w:after="0"/>
              <w:rPr>
                <w:sz w:val="13"/>
                <w:szCs w:val="13"/>
                <w:color w:val="auto"/>
              </w:rPr>
            </w:pPr>
          </w:p>
        </w:tc>
        <w:tc>
          <w:tcPr>
            <w:tcW w:w="880" w:type="dxa"/>
            <w:vAlign w:val="bottom"/>
            <w:tcBorders>
              <w:right w:val="single" w:sz="8" w:color="auto"/>
            </w:tcBorders>
          </w:tcPr>
          <w:p>
            <w:pPr>
              <w:spacing w:after="0"/>
              <w:rPr>
                <w:sz w:val="13"/>
                <w:szCs w:val="13"/>
                <w:color w:val="auto"/>
              </w:rPr>
            </w:pPr>
          </w:p>
        </w:tc>
        <w:tc>
          <w:tcPr>
            <w:tcW w:w="1640" w:type="dxa"/>
            <w:vAlign w:val="bottom"/>
            <w:tcBorders>
              <w:right w:val="single" w:sz="8" w:color="auto"/>
            </w:tcBorders>
            <w:vMerge w:val="continue"/>
            <w:shd w:val="clear" w:color="auto" w:fill="E2F4FC"/>
          </w:tcPr>
          <w:p>
            <w:pPr>
              <w:spacing w:after="0"/>
              <w:rPr>
                <w:sz w:val="13"/>
                <w:szCs w:val="13"/>
                <w:color w:val="auto"/>
              </w:rPr>
            </w:pPr>
          </w:p>
        </w:tc>
        <w:tc>
          <w:tcPr>
            <w:tcW w:w="760" w:type="dxa"/>
            <w:vAlign w:val="bottom"/>
            <w:tcBorders>
              <w:right w:val="single" w:sz="8" w:color="auto"/>
            </w:tcBorders>
          </w:tcPr>
          <w:p>
            <w:pPr>
              <w:spacing w:after="0"/>
              <w:rPr>
                <w:sz w:val="13"/>
                <w:szCs w:val="13"/>
                <w:color w:val="auto"/>
              </w:rPr>
            </w:pPr>
          </w:p>
        </w:tc>
        <w:tc>
          <w:tcPr>
            <w:tcW w:w="1120" w:type="dxa"/>
            <w:vAlign w:val="bottom"/>
            <w:tcBorders>
              <w:right w:val="single" w:sz="8" w:color="auto"/>
            </w:tcBorders>
            <w:vMerge w:val="restart"/>
            <w:shd w:val="clear" w:color="auto" w:fill="E2F4FC"/>
          </w:tcPr>
          <w:p>
            <w:pPr>
              <w:jc w:val="center"/>
              <w:spacing w:after="0"/>
              <w:rPr>
                <w:sz w:val="20"/>
                <w:szCs w:val="20"/>
                <w:color w:val="auto"/>
              </w:rPr>
            </w:pPr>
            <w:r>
              <w:rPr>
                <w:rFonts w:ascii="Arial" w:cs="Arial" w:eastAsia="Arial" w:hAnsi="Arial"/>
                <w:sz w:val="18"/>
                <w:szCs w:val="18"/>
                <w:b w:val="1"/>
                <w:bCs w:val="1"/>
                <w:color w:val="auto"/>
                <w:w w:val="89"/>
              </w:rPr>
              <w:t>Payout</w:t>
            </w:r>
          </w:p>
        </w:tc>
        <w:tc>
          <w:tcPr>
            <w:tcW w:w="0" w:type="dxa"/>
            <w:vAlign w:val="bottom"/>
          </w:tcPr>
          <w:p>
            <w:pPr>
              <w:spacing w:after="0"/>
              <w:rPr>
                <w:sz w:val="1"/>
                <w:szCs w:val="1"/>
                <w:color w:val="auto"/>
              </w:rPr>
            </w:pPr>
          </w:p>
        </w:tc>
      </w:tr>
      <w:tr>
        <w:trPr>
          <w:trHeight w:val="81"/>
        </w:trPr>
        <w:tc>
          <w:tcPr>
            <w:tcW w:w="1560" w:type="dxa"/>
            <w:vAlign w:val="bottom"/>
            <w:tcBorders>
              <w:left w:val="single" w:sz="8" w:color="auto"/>
              <w:right w:val="single" w:sz="8" w:color="auto"/>
            </w:tcBorders>
            <w:shd w:val="clear" w:color="auto" w:fill="E2F4FC"/>
          </w:tcPr>
          <w:p>
            <w:pPr>
              <w:spacing w:after="0"/>
              <w:rPr>
                <w:sz w:val="7"/>
                <w:szCs w:val="7"/>
                <w:color w:val="auto"/>
              </w:rPr>
            </w:pPr>
          </w:p>
        </w:tc>
        <w:tc>
          <w:tcPr>
            <w:tcW w:w="92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shd w:val="clear" w:color="auto" w:fill="E2F4FC"/>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shd w:val="clear" w:color="auto" w:fill="E2F4FC"/>
          </w:tcPr>
          <w:p>
            <w:pPr>
              <w:spacing w:after="0"/>
              <w:rPr>
                <w:sz w:val="7"/>
                <w:szCs w:val="7"/>
                <w:color w:val="auto"/>
              </w:rPr>
            </w:pPr>
          </w:p>
        </w:tc>
        <w:tc>
          <w:tcPr>
            <w:tcW w:w="880" w:type="dxa"/>
            <w:vAlign w:val="bottom"/>
            <w:tcBorders>
              <w:right w:val="single" w:sz="8" w:color="auto"/>
            </w:tcBorders>
          </w:tcPr>
          <w:p>
            <w:pPr>
              <w:spacing w:after="0"/>
              <w:rPr>
                <w:sz w:val="7"/>
                <w:szCs w:val="7"/>
                <w:color w:val="auto"/>
              </w:rPr>
            </w:pPr>
          </w:p>
        </w:tc>
        <w:tc>
          <w:tcPr>
            <w:tcW w:w="1640" w:type="dxa"/>
            <w:vAlign w:val="bottom"/>
            <w:tcBorders>
              <w:right w:val="single" w:sz="8" w:color="auto"/>
            </w:tcBorders>
            <w:shd w:val="clear" w:color="auto" w:fill="E2F4FC"/>
          </w:tcPr>
          <w:p>
            <w:pPr>
              <w:spacing w:after="0"/>
              <w:rPr>
                <w:sz w:val="7"/>
                <w:szCs w:val="7"/>
                <w:color w:val="auto"/>
              </w:rPr>
            </w:pPr>
          </w:p>
        </w:tc>
        <w:tc>
          <w:tcPr>
            <w:tcW w:w="760" w:type="dxa"/>
            <w:vAlign w:val="bottom"/>
            <w:tcBorders>
              <w:right w:val="single" w:sz="8" w:color="auto"/>
            </w:tcBorders>
          </w:tcPr>
          <w:p>
            <w:pPr>
              <w:spacing w:after="0"/>
              <w:rPr>
                <w:sz w:val="7"/>
                <w:szCs w:val="7"/>
                <w:color w:val="auto"/>
              </w:rPr>
            </w:pPr>
          </w:p>
        </w:tc>
        <w:tc>
          <w:tcPr>
            <w:tcW w:w="1120" w:type="dxa"/>
            <w:vAlign w:val="bottom"/>
            <w:tcBorders>
              <w:right w:val="single" w:sz="8" w:color="auto"/>
            </w:tcBorders>
            <w:vMerge w:val="continue"/>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135"/>
        </w:trPr>
        <w:tc>
          <w:tcPr>
            <w:tcW w:w="1560" w:type="dxa"/>
            <w:vAlign w:val="bottom"/>
            <w:tcBorders>
              <w:left w:val="single" w:sz="8" w:color="auto"/>
              <w:bottom w:val="single" w:sz="8" w:color="auto"/>
              <w:right w:val="single" w:sz="8" w:color="auto"/>
            </w:tcBorders>
            <w:shd w:val="clear" w:color="auto" w:fill="E2F4FC"/>
          </w:tcPr>
          <w:p>
            <w:pPr>
              <w:spacing w:after="0"/>
              <w:rPr>
                <w:sz w:val="11"/>
                <w:szCs w:val="11"/>
                <w:color w:val="auto"/>
              </w:rPr>
            </w:pPr>
          </w:p>
        </w:tc>
        <w:tc>
          <w:tcPr>
            <w:tcW w:w="92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shd w:val="clear" w:color="auto" w:fill="E2F4FC"/>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shd w:val="clear" w:color="auto" w:fill="E2F4FC"/>
          </w:tcPr>
          <w:p>
            <w:pPr>
              <w:spacing w:after="0"/>
              <w:rPr>
                <w:sz w:val="11"/>
                <w:szCs w:val="11"/>
                <w:color w:val="auto"/>
              </w:rPr>
            </w:pPr>
          </w:p>
        </w:tc>
        <w:tc>
          <w:tcPr>
            <w:tcW w:w="880" w:type="dxa"/>
            <w:vAlign w:val="bottom"/>
            <w:tcBorders>
              <w:right w:val="single" w:sz="8" w:color="auto"/>
            </w:tcBorders>
          </w:tcPr>
          <w:p>
            <w:pPr>
              <w:spacing w:after="0"/>
              <w:rPr>
                <w:sz w:val="11"/>
                <w:szCs w:val="11"/>
                <w:color w:val="auto"/>
              </w:rPr>
            </w:pPr>
          </w:p>
        </w:tc>
        <w:tc>
          <w:tcPr>
            <w:tcW w:w="1640" w:type="dxa"/>
            <w:vAlign w:val="bottom"/>
            <w:tcBorders>
              <w:bottom w:val="single" w:sz="8" w:color="auto"/>
              <w:right w:val="single" w:sz="8" w:color="auto"/>
            </w:tcBorders>
            <w:shd w:val="clear" w:color="auto" w:fill="E2F4FC"/>
          </w:tcPr>
          <w:p>
            <w:pPr>
              <w:spacing w:after="0"/>
              <w:rPr>
                <w:sz w:val="11"/>
                <w:szCs w:val="11"/>
                <w:color w:val="auto"/>
              </w:rPr>
            </w:pPr>
          </w:p>
        </w:tc>
        <w:tc>
          <w:tcPr>
            <w:tcW w:w="760" w:type="dxa"/>
            <w:vAlign w:val="bottom"/>
            <w:tcBorders>
              <w:right w:val="single" w:sz="8" w:color="auto"/>
            </w:tcBorders>
          </w:tcPr>
          <w:p>
            <w:pPr>
              <w:spacing w:after="0"/>
              <w:rPr>
                <w:sz w:val="11"/>
                <w:szCs w:val="11"/>
                <w:color w:val="auto"/>
              </w:rPr>
            </w:pPr>
          </w:p>
        </w:tc>
        <w:tc>
          <w:tcPr>
            <w:tcW w:w="1120" w:type="dxa"/>
            <w:vAlign w:val="bottom"/>
            <w:tcBorders>
              <w:bottom w:val="single" w:sz="8" w:color="auto"/>
              <w:right w:val="single" w:sz="8" w:color="auto"/>
            </w:tcBorders>
            <w:shd w:val="clear" w:color="auto" w:fill="E2F4FC"/>
          </w:tcPr>
          <w:p>
            <w:pPr>
              <w:spacing w:after="0"/>
              <w:rPr>
                <w:sz w:val="11"/>
                <w:szCs w:val="11"/>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220" w:firstLine="440"/>
        <w:spacing w:after="0" w:line="27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b w:val="1"/>
          <w:bCs w:val="1"/>
          <w:i w:val="1"/>
          <w:iCs w:val="1"/>
          <w:color w:val="auto"/>
        </w:rPr>
        <w:t>Corporate Performance Factor</w:t>
      </w:r>
      <w:r>
        <w:rPr>
          <w:rFonts w:ascii="Arial" w:cs="Arial" w:eastAsia="Arial" w:hAnsi="Arial"/>
          <w:sz w:val="17"/>
          <w:szCs w:val="17"/>
          <w:color w:val="auto"/>
        </w:rPr>
        <w:t xml:space="preserve">” used in determining payouts for </w:t>
      </w:r>
      <w:r>
        <w:rPr>
          <w:rFonts w:ascii="Arial" w:cs="Arial" w:eastAsia="Arial" w:hAnsi="Arial"/>
          <w:sz w:val="17"/>
          <w:szCs w:val="17"/>
          <w:u w:val="single" w:color="auto"/>
          <w:color w:val="auto"/>
        </w:rPr>
        <w:t>all executives</w:t>
      </w:r>
      <w:r>
        <w:rPr>
          <w:rFonts w:ascii="Arial" w:cs="Arial" w:eastAsia="Arial" w:hAnsi="Arial"/>
          <w:sz w:val="17"/>
          <w:szCs w:val="17"/>
          <w:color w:val="auto"/>
        </w:rPr>
        <w:t xml:space="preserve"> under the 2019 Executive Bonus Plan is the aggregate percentage payout for the actual level of achievement for all three financial performance metrics (each of which is interpolated on a linear basis in between the threshold, target, and maximum levels set for that metric, and failure to attain at least a threshold level of performance for any metric will preclude any payout related to that metric). Attainment of each performance goal is calculated independently.</w:t>
      </w:r>
    </w:p>
    <w:p>
      <w:pPr>
        <w:spacing w:after="0" w:line="171" w:lineRule="exact"/>
        <w:rPr>
          <w:sz w:val="20"/>
          <w:szCs w:val="20"/>
          <w:color w:val="auto"/>
        </w:rPr>
      </w:pPr>
    </w:p>
    <w:p>
      <w:pPr>
        <w:jc w:val="both"/>
        <w:ind w:left="120" w:right="420" w:firstLine="440"/>
        <w:spacing w:after="0" w:line="263" w:lineRule="auto"/>
        <w:rPr>
          <w:sz w:val="20"/>
          <w:szCs w:val="20"/>
          <w:color w:val="auto"/>
        </w:rPr>
      </w:pPr>
      <w:r>
        <w:rPr>
          <w:rFonts w:ascii="Arial" w:cs="Arial" w:eastAsia="Arial" w:hAnsi="Arial"/>
          <w:sz w:val="18"/>
          <w:szCs w:val="18"/>
          <w:color w:val="auto"/>
        </w:rPr>
        <w:t>The “</w:t>
      </w:r>
      <w:r>
        <w:rPr>
          <w:rFonts w:ascii="Arial" w:cs="Arial" w:eastAsia="Arial" w:hAnsi="Arial"/>
          <w:sz w:val="18"/>
          <w:szCs w:val="18"/>
          <w:b w:val="1"/>
          <w:bCs w:val="1"/>
          <w:i w:val="1"/>
          <w:iCs w:val="1"/>
          <w:color w:val="auto"/>
        </w:rPr>
        <w:t>Individual Performance Factor</w:t>
      </w:r>
      <w:r>
        <w:rPr>
          <w:rFonts w:ascii="Arial" w:cs="Arial" w:eastAsia="Arial" w:hAnsi="Arial"/>
          <w:sz w:val="18"/>
          <w:szCs w:val="18"/>
          <w:color w:val="auto"/>
        </w:rPr>
        <w:t xml:space="preserve">” used in determining payouts for </w:t>
      </w:r>
      <w:r>
        <w:rPr>
          <w:rFonts w:ascii="Arial" w:cs="Arial" w:eastAsia="Arial" w:hAnsi="Arial"/>
          <w:sz w:val="18"/>
          <w:szCs w:val="18"/>
          <w:u w:val="single" w:color="auto"/>
          <w:color w:val="auto"/>
        </w:rPr>
        <w:t>any individual executive</w:t>
      </w:r>
      <w:r>
        <w:rPr>
          <w:rFonts w:ascii="Arial" w:cs="Arial" w:eastAsia="Arial" w:hAnsi="Arial"/>
          <w:sz w:val="18"/>
          <w:szCs w:val="18"/>
          <w:color w:val="auto"/>
        </w:rPr>
        <w:t xml:space="preserve"> under the 2019 Executive Bonus Plan is the percentage reflective of that individual’s performance and achievements during 2019, as determined by the Compensation Committee, as described below.</w:t>
      </w:r>
    </w:p>
    <w:p>
      <w:pPr>
        <w:spacing w:after="0" w:line="184" w:lineRule="exact"/>
        <w:rPr>
          <w:sz w:val="20"/>
          <w:szCs w:val="20"/>
          <w:color w:val="auto"/>
        </w:rPr>
      </w:pPr>
    </w:p>
    <w:p>
      <w:pPr>
        <w:ind w:left="120" w:right="300" w:firstLine="440"/>
        <w:spacing w:after="0" w:line="277" w:lineRule="auto"/>
        <w:rPr>
          <w:sz w:val="20"/>
          <w:szCs w:val="20"/>
          <w:color w:val="auto"/>
        </w:rPr>
      </w:pPr>
      <w:r>
        <w:rPr>
          <w:rFonts w:ascii="Arial" w:cs="Arial" w:eastAsia="Arial" w:hAnsi="Arial"/>
          <w:sz w:val="18"/>
          <w:szCs w:val="18"/>
          <w:color w:val="auto"/>
        </w:rPr>
        <w:t>Each of the Corporate Performance Factor and Individual Performance Factor has an achievement range of 0% to 150%, and no individual can receive a payout of more than 225% of his or her target bonus.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140"/>
          </w:cols>
          <w:pgMar w:left="320" w:top="459" w:right="439" w:bottom="1440" w:gutter="0" w:footer="0" w:header="0"/>
          <w:type w:val="continuous"/>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Target Bonus Opportunities</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Each NEO has a target bonus opportunity that is expressed as a percentage of his or her annual base salary. At the beginning of 2019, our</w:t>
      </w:r>
    </w:p>
    <w:p>
      <w:pPr>
        <w:spacing w:after="0" w:line="35"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Compensation Committee set the following target bonus opportunities for each NEO:</w:t>
      </w:r>
    </w:p>
    <w:p>
      <w:pPr>
        <w:spacing w:after="0" w:line="252" w:lineRule="exact"/>
        <w:rPr>
          <w:sz w:val="20"/>
          <w:szCs w:val="20"/>
          <w:color w:val="auto"/>
        </w:rPr>
      </w:pPr>
    </w:p>
    <w:tbl>
      <w:tblPr>
        <w:tblLayout w:type="fixed"/>
        <w:tblInd w:w="130" w:type="dxa"/>
        <w:tblCellMar>
          <w:top w:w="0" w:type="dxa"/>
          <w:left w:w="0" w:type="dxa"/>
          <w:bottom w:w="0" w:type="dxa"/>
          <w:right w:w="0" w:type="dxa"/>
        </w:tblCellMar>
      </w:tblPr>
      <w:tr>
        <w:trPr>
          <w:trHeight w:val="231"/>
        </w:trPr>
        <w:tc>
          <w:tcPr>
            <w:tcW w:w="2440" w:type="dxa"/>
            <w:vAlign w:val="bottom"/>
            <w:tcBorders>
              <w:left w:val="single" w:sz="8" w:color="5EB5FC"/>
              <w:right w:val="single" w:sz="8" w:color="5EB5FC"/>
            </w:tcBorders>
            <w:shd w:val="clear" w:color="auto" w:fill="5EB5FC"/>
          </w:tcPr>
          <w:p>
            <w:pPr>
              <w:ind w:left="1140"/>
              <w:spacing w:after="0"/>
              <w:rPr>
                <w:sz w:val="20"/>
                <w:szCs w:val="20"/>
                <w:color w:val="auto"/>
              </w:rPr>
            </w:pPr>
            <w:r>
              <w:rPr>
                <w:rFonts w:ascii="Arial" w:cs="Arial" w:eastAsia="Arial" w:hAnsi="Arial"/>
                <w:sz w:val="14"/>
                <w:szCs w:val="14"/>
                <w:b w:val="1"/>
                <w:bCs w:val="1"/>
                <w:color w:val="FFFFFF"/>
              </w:rPr>
              <w:t>NEO</w:t>
            </w:r>
          </w:p>
        </w:tc>
        <w:tc>
          <w:tcPr>
            <w:tcW w:w="28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2019 Base Salary</w:t>
            </w:r>
          </w:p>
        </w:tc>
        <w:tc>
          <w:tcPr>
            <w:tcW w:w="28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Target Bonus (%)</w:t>
            </w:r>
          </w:p>
        </w:tc>
        <w:tc>
          <w:tcPr>
            <w:tcW w:w="28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Target Bonus Opportunity</w:t>
            </w:r>
          </w:p>
        </w:tc>
      </w:tr>
      <w:tr>
        <w:trPr>
          <w:trHeight w:val="66"/>
        </w:trPr>
        <w:tc>
          <w:tcPr>
            <w:tcW w:w="2440" w:type="dxa"/>
            <w:vAlign w:val="bottom"/>
            <w:tcBorders>
              <w:left w:val="single" w:sz="8" w:color="5EB5FC"/>
              <w:right w:val="single" w:sz="8" w:color="5EB5FC"/>
            </w:tcBorders>
            <w:shd w:val="clear" w:color="auto" w:fill="5EB5FC"/>
          </w:tcPr>
          <w:p>
            <w:pPr>
              <w:spacing w:after="0"/>
              <w:rPr>
                <w:sz w:val="5"/>
                <w:szCs w:val="5"/>
                <w:color w:val="auto"/>
              </w:rPr>
            </w:pPr>
          </w:p>
        </w:tc>
        <w:tc>
          <w:tcPr>
            <w:tcW w:w="2860" w:type="dxa"/>
            <w:vAlign w:val="bottom"/>
            <w:tcBorders>
              <w:right w:val="single" w:sz="8" w:color="5EB5FC"/>
            </w:tcBorders>
            <w:shd w:val="clear" w:color="auto" w:fill="5EB5FC"/>
          </w:tcPr>
          <w:p>
            <w:pPr>
              <w:spacing w:after="0"/>
              <w:rPr>
                <w:sz w:val="5"/>
                <w:szCs w:val="5"/>
                <w:color w:val="auto"/>
              </w:rPr>
            </w:pPr>
          </w:p>
        </w:tc>
        <w:tc>
          <w:tcPr>
            <w:tcW w:w="2860" w:type="dxa"/>
            <w:vAlign w:val="bottom"/>
            <w:tcBorders>
              <w:right w:val="single" w:sz="8" w:color="5EB5FC"/>
            </w:tcBorders>
            <w:shd w:val="clear" w:color="auto" w:fill="5EB5FC"/>
          </w:tcPr>
          <w:p>
            <w:pPr>
              <w:spacing w:after="0"/>
              <w:rPr>
                <w:sz w:val="5"/>
                <w:szCs w:val="5"/>
                <w:color w:val="auto"/>
              </w:rPr>
            </w:pPr>
          </w:p>
        </w:tc>
        <w:tc>
          <w:tcPr>
            <w:tcW w:w="2880" w:type="dxa"/>
            <w:vAlign w:val="bottom"/>
            <w:tcBorders>
              <w:right w:val="single" w:sz="8" w:color="5EB5FC"/>
            </w:tcBorders>
            <w:shd w:val="clear" w:color="auto" w:fill="5EB5FC"/>
          </w:tcPr>
          <w:p>
            <w:pPr>
              <w:spacing w:after="0"/>
              <w:rPr>
                <w:sz w:val="5"/>
                <w:szCs w:val="5"/>
                <w:color w:val="auto"/>
              </w:rPr>
            </w:pPr>
          </w:p>
        </w:tc>
      </w:tr>
      <w:tr>
        <w:trPr>
          <w:trHeight w:val="283"/>
        </w:trPr>
        <w:tc>
          <w:tcPr>
            <w:tcW w:w="24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$725,000</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85%</w:t>
            </w:r>
          </w:p>
        </w:tc>
        <w:tc>
          <w:tcPr>
            <w:tcW w:w="28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$616,250</w:t>
            </w:r>
          </w:p>
        </w:tc>
      </w:tr>
      <w:tr>
        <w:trPr>
          <w:trHeight w:val="108"/>
        </w:trPr>
        <w:tc>
          <w:tcPr>
            <w:tcW w:w="2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8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64"/>
        </w:trPr>
        <w:tc>
          <w:tcPr>
            <w:tcW w:w="24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J. Marshall, Jr.</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$421,200</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55%</w:t>
            </w:r>
          </w:p>
        </w:tc>
        <w:tc>
          <w:tcPr>
            <w:tcW w:w="28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$231,660</w:t>
            </w:r>
          </w:p>
        </w:tc>
      </w:tr>
      <w:tr>
        <w:trPr>
          <w:trHeight w:val="108"/>
        </w:trPr>
        <w:tc>
          <w:tcPr>
            <w:tcW w:w="2440" w:type="dxa"/>
            <w:vAlign w:val="bottom"/>
            <w:tcBorders>
              <w:left w:val="single" w:sz="8" w:color="A0DBF9"/>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80" w:type="dxa"/>
            <w:vAlign w:val="bottom"/>
            <w:tcBorders>
              <w:bottom w:val="single" w:sz="8" w:color="A0DBF9"/>
              <w:right w:val="single" w:sz="8" w:color="A0DBF9"/>
            </w:tcBorders>
          </w:tcPr>
          <w:p>
            <w:pPr>
              <w:spacing w:after="0"/>
              <w:rPr>
                <w:sz w:val="9"/>
                <w:szCs w:val="9"/>
                <w:color w:val="auto"/>
              </w:rPr>
            </w:pPr>
          </w:p>
        </w:tc>
      </w:tr>
      <w:tr>
        <w:trPr>
          <w:trHeight w:val="263"/>
        </w:trPr>
        <w:tc>
          <w:tcPr>
            <w:tcW w:w="24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$360,000</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45%</w:t>
            </w:r>
          </w:p>
        </w:tc>
        <w:tc>
          <w:tcPr>
            <w:tcW w:w="28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$162,000</w:t>
            </w:r>
          </w:p>
        </w:tc>
      </w:tr>
      <w:tr>
        <w:trPr>
          <w:trHeight w:val="108"/>
        </w:trPr>
        <w:tc>
          <w:tcPr>
            <w:tcW w:w="2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8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64"/>
        </w:trPr>
        <w:tc>
          <w:tcPr>
            <w:tcW w:w="24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$423,280</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50%</w:t>
            </w:r>
          </w:p>
        </w:tc>
        <w:tc>
          <w:tcPr>
            <w:tcW w:w="28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$211,640</w:t>
            </w:r>
          </w:p>
        </w:tc>
      </w:tr>
      <w:tr>
        <w:trPr>
          <w:trHeight w:val="108"/>
        </w:trPr>
        <w:tc>
          <w:tcPr>
            <w:tcW w:w="2440" w:type="dxa"/>
            <w:vAlign w:val="bottom"/>
            <w:tcBorders>
              <w:left w:val="single" w:sz="8" w:color="A0DBF9"/>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80" w:type="dxa"/>
            <w:vAlign w:val="bottom"/>
            <w:tcBorders>
              <w:bottom w:val="single" w:sz="8" w:color="A0DBF9"/>
              <w:right w:val="single" w:sz="8" w:color="A0DBF9"/>
            </w:tcBorders>
          </w:tcPr>
          <w:p>
            <w:pPr>
              <w:spacing w:after="0"/>
              <w:rPr>
                <w:sz w:val="9"/>
                <w:szCs w:val="9"/>
                <w:color w:val="auto"/>
              </w:rPr>
            </w:pPr>
          </w:p>
        </w:tc>
      </w:tr>
      <w:tr>
        <w:trPr>
          <w:trHeight w:val="264"/>
        </w:trPr>
        <w:tc>
          <w:tcPr>
            <w:tcW w:w="24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 Ph.D.</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$341,120</w:t>
            </w:r>
          </w:p>
        </w:tc>
        <w:tc>
          <w:tcPr>
            <w:tcW w:w="28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40%</w:t>
            </w:r>
          </w:p>
        </w:tc>
        <w:tc>
          <w:tcPr>
            <w:tcW w:w="28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$136,448</w:t>
            </w:r>
          </w:p>
        </w:tc>
      </w:tr>
      <w:tr>
        <w:trPr>
          <w:trHeight w:val="108"/>
        </w:trPr>
        <w:tc>
          <w:tcPr>
            <w:tcW w:w="2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60" w:type="dxa"/>
            <w:vAlign w:val="bottom"/>
            <w:tcBorders>
              <w:bottom w:val="single" w:sz="8" w:color="A0DBF9"/>
              <w:right w:val="single" w:sz="8" w:color="A0DBF9"/>
            </w:tcBorders>
            <w:shd w:val="clear" w:color="auto" w:fill="E2F4FC"/>
          </w:tcPr>
          <w:p>
            <w:pPr>
              <w:spacing w:after="0"/>
              <w:rPr>
                <w:sz w:val="9"/>
                <w:szCs w:val="9"/>
                <w:color w:val="auto"/>
              </w:rPr>
            </w:pPr>
          </w:p>
        </w:tc>
        <w:tc>
          <w:tcPr>
            <w:tcW w:w="2880" w:type="dxa"/>
            <w:vAlign w:val="bottom"/>
            <w:tcBorders>
              <w:bottom w:val="single" w:sz="8" w:color="A0DBF9"/>
              <w:right w:val="single" w:sz="8" w:color="A0DBF9"/>
            </w:tcBorders>
            <w:shd w:val="clear" w:color="auto" w:fill="E2F4FC"/>
          </w:tcPr>
          <w:p>
            <w:pPr>
              <w:spacing w:after="0"/>
              <w:rPr>
                <w:sz w:val="9"/>
                <w:szCs w:val="9"/>
                <w:color w:val="auto"/>
              </w:rPr>
            </w:pPr>
          </w:p>
        </w:tc>
      </w:tr>
      <w:tr>
        <w:trPr>
          <w:trHeight w:val="263"/>
        </w:trPr>
        <w:tc>
          <w:tcPr>
            <w:tcW w:w="24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Cesare Orlandi, M.D.</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$418,000</w:t>
            </w:r>
          </w:p>
        </w:tc>
        <w:tc>
          <w:tcPr>
            <w:tcW w:w="28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50%</w:t>
            </w:r>
          </w:p>
        </w:tc>
        <w:tc>
          <w:tcPr>
            <w:tcW w:w="28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$209,000</w:t>
            </w:r>
          </w:p>
        </w:tc>
      </w:tr>
      <w:tr>
        <w:trPr>
          <w:trHeight w:val="108"/>
        </w:trPr>
        <w:tc>
          <w:tcPr>
            <w:tcW w:w="2440" w:type="dxa"/>
            <w:vAlign w:val="bottom"/>
            <w:tcBorders>
              <w:left w:val="single" w:sz="8" w:color="A0DBF9"/>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60" w:type="dxa"/>
            <w:vAlign w:val="bottom"/>
            <w:tcBorders>
              <w:bottom w:val="single" w:sz="8" w:color="A0DBF9"/>
              <w:right w:val="single" w:sz="8" w:color="A0DBF9"/>
            </w:tcBorders>
          </w:tcPr>
          <w:p>
            <w:pPr>
              <w:spacing w:after="0"/>
              <w:rPr>
                <w:sz w:val="9"/>
                <w:szCs w:val="9"/>
                <w:color w:val="auto"/>
              </w:rPr>
            </w:pPr>
          </w:p>
        </w:tc>
        <w:tc>
          <w:tcPr>
            <w:tcW w:w="2880" w:type="dxa"/>
            <w:vAlign w:val="bottom"/>
            <w:tcBorders>
              <w:bottom w:val="single" w:sz="8" w:color="A0DBF9"/>
              <w:right w:val="single" w:sz="8" w:color="A0DBF9"/>
            </w:tcBorders>
          </w:tcPr>
          <w:p>
            <w:pPr>
              <w:spacing w:after="0"/>
              <w:rPr>
                <w:sz w:val="9"/>
                <w:szCs w:val="9"/>
                <w:color w:val="auto"/>
              </w:rPr>
            </w:pPr>
          </w:p>
        </w:tc>
      </w:tr>
    </w:tbl>
    <w:p>
      <w:pPr>
        <w:spacing w:after="0" w:line="202" w:lineRule="exact"/>
        <w:rPr>
          <w:sz w:val="20"/>
          <w:szCs w:val="20"/>
          <w:color w:val="auto"/>
        </w:rPr>
      </w:pPr>
    </w:p>
    <w:p>
      <w:pPr>
        <w:ind w:left="120" w:right="240" w:firstLine="440"/>
        <w:spacing w:after="0" w:line="277" w:lineRule="auto"/>
        <w:rPr>
          <w:sz w:val="20"/>
          <w:szCs w:val="20"/>
          <w:color w:val="auto"/>
        </w:rPr>
      </w:pPr>
      <w:r>
        <w:rPr>
          <w:rFonts w:ascii="Arial" w:cs="Arial" w:eastAsia="Arial" w:hAnsi="Arial"/>
          <w:sz w:val="18"/>
          <w:szCs w:val="18"/>
          <w:color w:val="auto"/>
        </w:rPr>
        <w:t>For all of our NEOs other than Mr. Bolla, these target bonus percentages were the same as for 2018. In connection with his promotion in March 2019, Mr. Bolla’s target bonus percentage was increased from 40% to 45% of his annual base salary.</w:t>
      </w:r>
    </w:p>
    <w:p>
      <w:pPr>
        <w:spacing w:after="0" w:line="278"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Corporate Performance Goals and Actual Achievement</w:t>
      </w:r>
    </w:p>
    <w:p>
      <w:pPr>
        <w:spacing w:after="0" w:line="117" w:lineRule="exact"/>
        <w:rPr>
          <w:sz w:val="20"/>
          <w:szCs w:val="20"/>
          <w:color w:val="auto"/>
        </w:rPr>
      </w:pPr>
    </w:p>
    <w:p>
      <w:pPr>
        <w:ind w:left="120" w:right="20" w:firstLine="440"/>
        <w:spacing w:after="0" w:line="311" w:lineRule="auto"/>
        <w:rPr>
          <w:sz w:val="20"/>
          <w:szCs w:val="20"/>
          <w:color w:val="auto"/>
        </w:rPr>
      </w:pPr>
      <w:r>
        <w:rPr>
          <w:rFonts w:ascii="Arial" w:cs="Arial" w:eastAsia="Arial" w:hAnsi="Arial"/>
          <w:sz w:val="16"/>
          <w:szCs w:val="16"/>
          <w:color w:val="auto"/>
        </w:rPr>
        <w:t>Our Compensation Committee established the threshold, target and maximum levels of corporate performance goals set forth in the table below. In February 2020, the Compensation Committee assessed the Company’s actual performance against the corporate performance goals and determined the level of achievement for each specific metric, and in total. This resulted in a 109.2% Corporate Performance Factor for 2019, determined as follows:</w:t>
      </w:r>
    </w:p>
    <w:p>
      <w:pPr>
        <w:spacing w:after="0" w:line="190"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2240" w:type="dxa"/>
            <w:vAlign w:val="bottom"/>
            <w:tcBorders>
              <w:left w:val="single" w:sz="8" w:color="5EB5FC"/>
              <w:right w:val="single" w:sz="8" w:color="5EB5FC"/>
            </w:tcBorders>
            <w:shd w:val="clear" w:color="auto" w:fill="5EB5FC"/>
          </w:tcPr>
          <w:p>
            <w:pPr>
              <w:ind w:left="780"/>
              <w:spacing w:after="0"/>
              <w:rPr>
                <w:sz w:val="20"/>
                <w:szCs w:val="20"/>
                <w:color w:val="auto"/>
              </w:rPr>
            </w:pPr>
            <w:r>
              <w:rPr>
                <w:rFonts w:ascii="Arial" w:cs="Arial" w:eastAsia="Arial" w:hAnsi="Arial"/>
                <w:sz w:val="14"/>
                <w:szCs w:val="14"/>
                <w:b w:val="1"/>
                <w:bCs w:val="1"/>
                <w:color w:val="FFFFFF"/>
              </w:rPr>
              <w:t>Performance</w:t>
            </w:r>
          </w:p>
        </w:tc>
        <w:tc>
          <w:tcPr>
            <w:tcW w:w="11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Weighting</w:t>
            </w:r>
          </w:p>
        </w:tc>
        <w:tc>
          <w:tcPr>
            <w:tcW w:w="14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Threshold</w:t>
            </w:r>
          </w:p>
        </w:tc>
        <w:tc>
          <w:tcPr>
            <w:tcW w:w="14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4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9"/>
              </w:rPr>
              <w:t>Maximum</w:t>
            </w:r>
          </w:p>
        </w:tc>
        <w:tc>
          <w:tcPr>
            <w:tcW w:w="19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Actual</w:t>
            </w:r>
          </w:p>
        </w:tc>
        <w:tc>
          <w:tcPr>
            <w:tcW w:w="1520" w:type="dxa"/>
            <w:vAlign w:val="bottom"/>
            <w:tcBorders>
              <w:right w:val="single" w:sz="8" w:color="5EB5FC"/>
            </w:tcBorders>
            <w:shd w:val="clear" w:color="auto" w:fill="5EB5FC"/>
          </w:tcPr>
          <w:p>
            <w:pPr>
              <w:ind w:left="460"/>
              <w:spacing w:after="0"/>
              <w:rPr>
                <w:sz w:val="20"/>
                <w:szCs w:val="20"/>
                <w:color w:val="auto"/>
              </w:rPr>
            </w:pPr>
            <w:r>
              <w:rPr>
                <w:rFonts w:ascii="Arial" w:cs="Arial" w:eastAsia="Arial" w:hAnsi="Arial"/>
                <w:sz w:val="14"/>
                <w:szCs w:val="14"/>
                <w:b w:val="1"/>
                <w:bCs w:val="1"/>
                <w:color w:val="FFFFFF"/>
              </w:rPr>
              <w:t>Weighted</w:t>
            </w:r>
          </w:p>
        </w:tc>
        <w:tc>
          <w:tcPr>
            <w:tcW w:w="0" w:type="dxa"/>
            <w:vAlign w:val="bottom"/>
          </w:tcPr>
          <w:p>
            <w:pPr>
              <w:spacing w:after="0"/>
              <w:rPr>
                <w:sz w:val="1"/>
                <w:szCs w:val="1"/>
                <w:color w:val="auto"/>
              </w:rPr>
            </w:pPr>
          </w:p>
        </w:tc>
      </w:tr>
      <w:tr>
        <w:trPr>
          <w:trHeight w:val="190"/>
        </w:trPr>
        <w:tc>
          <w:tcPr>
            <w:tcW w:w="2240" w:type="dxa"/>
            <w:vAlign w:val="bottom"/>
            <w:tcBorders>
              <w:left w:val="single" w:sz="8" w:color="5EB5FC"/>
              <w:right w:val="single" w:sz="8" w:color="5EB5FC"/>
            </w:tcBorders>
            <w:shd w:val="clear" w:color="auto" w:fill="5EB5FC"/>
          </w:tcPr>
          <w:p>
            <w:pPr>
              <w:ind w:left="940"/>
              <w:spacing w:after="0"/>
              <w:rPr>
                <w:sz w:val="20"/>
                <w:szCs w:val="20"/>
                <w:color w:val="auto"/>
              </w:rPr>
            </w:pPr>
            <w:r>
              <w:rPr>
                <w:rFonts w:ascii="Arial" w:cs="Arial" w:eastAsia="Arial" w:hAnsi="Arial"/>
                <w:sz w:val="14"/>
                <w:szCs w:val="14"/>
                <w:b w:val="1"/>
                <w:bCs w:val="1"/>
                <w:color w:val="FFFFFF"/>
              </w:rPr>
              <w:t>Metric*</w:t>
            </w:r>
          </w:p>
        </w:tc>
        <w:tc>
          <w:tcPr>
            <w:tcW w:w="1120" w:type="dxa"/>
            <w:vAlign w:val="bottom"/>
            <w:tcBorders>
              <w:right w:val="single" w:sz="8" w:color="5EB5FC"/>
            </w:tcBorders>
            <w:vMerge w:val="continue"/>
            <w:shd w:val="clear" w:color="auto" w:fill="5EB5FC"/>
          </w:tcPr>
          <w:p>
            <w:pPr>
              <w:spacing w:after="0"/>
              <w:rPr>
                <w:sz w:val="16"/>
                <w:szCs w:val="16"/>
                <w:color w:val="auto"/>
              </w:rPr>
            </w:pPr>
          </w:p>
        </w:tc>
        <w:tc>
          <w:tcPr>
            <w:tcW w:w="14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Level</w:t>
            </w:r>
          </w:p>
        </w:tc>
        <w:tc>
          <w:tcPr>
            <w:tcW w:w="14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89"/>
              </w:rPr>
              <w:t>Level</w:t>
            </w:r>
          </w:p>
        </w:tc>
        <w:tc>
          <w:tcPr>
            <w:tcW w:w="14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Level</w:t>
            </w:r>
          </w:p>
        </w:tc>
        <w:tc>
          <w:tcPr>
            <w:tcW w:w="19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Achievement</w:t>
            </w:r>
          </w:p>
        </w:tc>
        <w:tc>
          <w:tcPr>
            <w:tcW w:w="1520" w:type="dxa"/>
            <w:vAlign w:val="bottom"/>
            <w:tcBorders>
              <w:right w:val="single" w:sz="8" w:color="5EB5FC"/>
            </w:tcBorders>
            <w:shd w:val="clear" w:color="auto" w:fill="5EB5FC"/>
          </w:tcPr>
          <w:p>
            <w:pPr>
              <w:ind w:left="460"/>
              <w:spacing w:after="0"/>
              <w:rPr>
                <w:sz w:val="20"/>
                <w:szCs w:val="20"/>
                <w:color w:val="auto"/>
              </w:rPr>
            </w:pPr>
            <w:r>
              <w:rPr>
                <w:rFonts w:ascii="Arial" w:cs="Arial" w:eastAsia="Arial" w:hAnsi="Arial"/>
                <w:sz w:val="14"/>
                <w:szCs w:val="14"/>
                <w:b w:val="1"/>
                <w:bCs w:val="1"/>
                <w:color w:val="FFFFFF"/>
              </w:rPr>
              <w:t>Payout %</w:t>
            </w:r>
          </w:p>
        </w:tc>
        <w:tc>
          <w:tcPr>
            <w:tcW w:w="0" w:type="dxa"/>
            <w:vAlign w:val="bottom"/>
          </w:tcPr>
          <w:p>
            <w:pPr>
              <w:spacing w:after="0"/>
              <w:rPr>
                <w:sz w:val="1"/>
                <w:szCs w:val="1"/>
                <w:color w:val="auto"/>
              </w:rPr>
            </w:pPr>
          </w:p>
        </w:tc>
      </w:tr>
      <w:tr>
        <w:trPr>
          <w:trHeight w:val="93"/>
        </w:trPr>
        <w:tc>
          <w:tcPr>
            <w:tcW w:w="2240" w:type="dxa"/>
            <w:vAlign w:val="bottom"/>
            <w:tcBorders>
              <w:left w:val="single" w:sz="8" w:color="5EB5FC"/>
              <w:right w:val="single" w:sz="8" w:color="5EB5FC"/>
            </w:tcBorders>
            <w:shd w:val="clear" w:color="auto" w:fill="5EB5FC"/>
          </w:tcPr>
          <w:p>
            <w:pPr>
              <w:spacing w:after="0"/>
              <w:rPr>
                <w:sz w:val="8"/>
                <w:szCs w:val="8"/>
                <w:color w:val="auto"/>
              </w:rPr>
            </w:pPr>
          </w:p>
        </w:tc>
        <w:tc>
          <w:tcPr>
            <w:tcW w:w="1120" w:type="dxa"/>
            <w:vAlign w:val="bottom"/>
            <w:tcBorders>
              <w:right w:val="single" w:sz="8" w:color="5EB5FC"/>
            </w:tcBorders>
            <w:shd w:val="clear" w:color="auto" w:fill="5EB5FC"/>
          </w:tcPr>
          <w:p>
            <w:pPr>
              <w:spacing w:after="0"/>
              <w:rPr>
                <w:sz w:val="8"/>
                <w:szCs w:val="8"/>
                <w:color w:val="auto"/>
              </w:rPr>
            </w:pPr>
          </w:p>
        </w:tc>
        <w:tc>
          <w:tcPr>
            <w:tcW w:w="1440" w:type="dxa"/>
            <w:vAlign w:val="bottom"/>
            <w:tcBorders>
              <w:right w:val="single" w:sz="8" w:color="5EB5FC"/>
            </w:tcBorders>
            <w:shd w:val="clear" w:color="auto" w:fill="5EB5FC"/>
          </w:tcPr>
          <w:p>
            <w:pPr>
              <w:spacing w:after="0"/>
              <w:rPr>
                <w:sz w:val="8"/>
                <w:szCs w:val="8"/>
                <w:color w:val="auto"/>
              </w:rPr>
            </w:pPr>
          </w:p>
        </w:tc>
        <w:tc>
          <w:tcPr>
            <w:tcW w:w="1420" w:type="dxa"/>
            <w:vAlign w:val="bottom"/>
            <w:tcBorders>
              <w:right w:val="single" w:sz="8" w:color="5EB5FC"/>
            </w:tcBorders>
            <w:shd w:val="clear" w:color="auto" w:fill="5EB5FC"/>
          </w:tcPr>
          <w:p>
            <w:pPr>
              <w:spacing w:after="0"/>
              <w:rPr>
                <w:sz w:val="8"/>
                <w:szCs w:val="8"/>
                <w:color w:val="auto"/>
              </w:rPr>
            </w:pPr>
          </w:p>
        </w:tc>
        <w:tc>
          <w:tcPr>
            <w:tcW w:w="1400" w:type="dxa"/>
            <w:vAlign w:val="bottom"/>
            <w:tcBorders>
              <w:right w:val="single" w:sz="8" w:color="5EB5FC"/>
            </w:tcBorders>
            <w:shd w:val="clear" w:color="auto" w:fill="5EB5FC"/>
          </w:tcPr>
          <w:p>
            <w:pPr>
              <w:spacing w:after="0"/>
              <w:rPr>
                <w:sz w:val="8"/>
                <w:szCs w:val="8"/>
                <w:color w:val="auto"/>
              </w:rPr>
            </w:pPr>
          </w:p>
        </w:tc>
        <w:tc>
          <w:tcPr>
            <w:tcW w:w="1900" w:type="dxa"/>
            <w:vAlign w:val="bottom"/>
            <w:tcBorders>
              <w:right w:val="single" w:sz="8" w:color="5EB5FC"/>
            </w:tcBorders>
            <w:shd w:val="clear" w:color="auto" w:fill="5EB5FC"/>
          </w:tcPr>
          <w:p>
            <w:pPr>
              <w:spacing w:after="0"/>
              <w:rPr>
                <w:sz w:val="8"/>
                <w:szCs w:val="8"/>
                <w:color w:val="auto"/>
              </w:rPr>
            </w:pPr>
          </w:p>
        </w:tc>
        <w:tc>
          <w:tcPr>
            <w:tcW w:w="152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70"/>
        </w:trPr>
        <w:tc>
          <w:tcPr>
            <w:tcW w:w="2240" w:type="dxa"/>
            <w:vAlign w:val="bottom"/>
            <w:tcBorders>
              <w:left w:val="single" w:sz="8" w:color="A0DBF9"/>
              <w:bottom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Net Revenue</w:t>
            </w:r>
          </w:p>
        </w:tc>
        <w:tc>
          <w:tcPr>
            <w:tcW w:w="11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40%</w:t>
            </w:r>
          </w:p>
        </w:tc>
        <w:tc>
          <w:tcPr>
            <w:tcW w:w="14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$329.9M</w:t>
            </w:r>
          </w:p>
        </w:tc>
        <w:tc>
          <w:tcPr>
            <w:tcW w:w="14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$366.6M</w:t>
            </w:r>
          </w:p>
        </w:tc>
        <w:tc>
          <w:tcPr>
            <w:tcW w:w="140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$403.3M</w:t>
            </w:r>
          </w:p>
        </w:tc>
        <w:tc>
          <w:tcPr>
            <w:tcW w:w="190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$347.3M</w:t>
            </w:r>
          </w:p>
        </w:tc>
        <w:tc>
          <w:tcPr>
            <w:tcW w:w="15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29.5%</w:t>
            </w:r>
          </w:p>
        </w:tc>
        <w:tc>
          <w:tcPr>
            <w:tcW w:w="0" w:type="dxa"/>
            <w:vAlign w:val="bottom"/>
          </w:tcPr>
          <w:p>
            <w:pPr>
              <w:spacing w:after="0"/>
              <w:rPr>
                <w:sz w:val="1"/>
                <w:szCs w:val="1"/>
                <w:color w:val="auto"/>
              </w:rPr>
            </w:pPr>
          </w:p>
        </w:tc>
      </w:tr>
      <w:tr>
        <w:trPr>
          <w:trHeight w:val="250"/>
        </w:trPr>
        <w:tc>
          <w:tcPr>
            <w:tcW w:w="2240" w:type="dxa"/>
            <w:vAlign w:val="bottom"/>
            <w:tcBorders>
              <w:left w:val="single" w:sz="8" w:color="A0DBF9"/>
              <w:bottom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Adjusted EPS</w:t>
            </w:r>
          </w:p>
        </w:tc>
        <w:tc>
          <w:tcPr>
            <w:tcW w:w="11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4"/>
              </w:rPr>
              <w:t>30%</w:t>
            </w:r>
          </w:p>
        </w:tc>
        <w:tc>
          <w:tcPr>
            <w:tcW w:w="1440" w:type="dxa"/>
            <w:vAlign w:val="bottom"/>
            <w:tcBorders>
              <w:bottom w:val="single" w:sz="8" w:color="A0DBF9"/>
              <w:right w:val="single" w:sz="8" w:color="A0DBF9"/>
            </w:tcBorders>
          </w:tcPr>
          <w:p>
            <w:pPr>
              <w:jc w:val="right"/>
              <w:ind w:right="436"/>
              <w:spacing w:after="0"/>
              <w:rPr>
                <w:sz w:val="20"/>
                <w:szCs w:val="20"/>
                <w:color w:val="auto"/>
              </w:rPr>
            </w:pPr>
            <w:r>
              <w:rPr>
                <w:rFonts w:ascii="Arial" w:cs="Arial" w:eastAsia="Arial" w:hAnsi="Arial"/>
                <w:sz w:val="18"/>
                <w:szCs w:val="18"/>
                <w:color w:val="auto"/>
              </w:rPr>
              <w:t>$0.87</w:t>
            </w:r>
          </w:p>
        </w:tc>
        <w:tc>
          <w:tcPr>
            <w:tcW w:w="1420" w:type="dxa"/>
            <w:vAlign w:val="bottom"/>
            <w:tcBorders>
              <w:bottom w:val="single" w:sz="8" w:color="A0DBF9"/>
              <w:right w:val="single" w:sz="8" w:color="A0DBF9"/>
            </w:tcBorders>
          </w:tcPr>
          <w:p>
            <w:pPr>
              <w:jc w:val="right"/>
              <w:ind w:right="436"/>
              <w:spacing w:after="0"/>
              <w:rPr>
                <w:sz w:val="20"/>
                <w:szCs w:val="20"/>
                <w:color w:val="auto"/>
              </w:rPr>
            </w:pPr>
            <w:r>
              <w:rPr>
                <w:rFonts w:ascii="Arial" w:cs="Arial" w:eastAsia="Arial" w:hAnsi="Arial"/>
                <w:sz w:val="18"/>
                <w:szCs w:val="18"/>
                <w:color w:val="auto"/>
              </w:rPr>
              <w:t>$0.97</w:t>
            </w:r>
          </w:p>
        </w:tc>
        <w:tc>
          <w:tcPr>
            <w:tcW w:w="1400" w:type="dxa"/>
            <w:vAlign w:val="bottom"/>
            <w:tcBorders>
              <w:bottom w:val="single" w:sz="8" w:color="A0DBF9"/>
              <w:right w:val="single" w:sz="8" w:color="A0DBF9"/>
            </w:tcBorders>
          </w:tcPr>
          <w:p>
            <w:pPr>
              <w:jc w:val="right"/>
              <w:ind w:right="416"/>
              <w:spacing w:after="0"/>
              <w:rPr>
                <w:sz w:val="20"/>
                <w:szCs w:val="20"/>
                <w:color w:val="auto"/>
              </w:rPr>
            </w:pPr>
            <w:r>
              <w:rPr>
                <w:rFonts w:ascii="Arial" w:cs="Arial" w:eastAsia="Arial" w:hAnsi="Arial"/>
                <w:sz w:val="18"/>
                <w:szCs w:val="18"/>
                <w:color w:val="auto"/>
              </w:rPr>
              <w:t>$1.06</w:t>
            </w:r>
          </w:p>
        </w:tc>
        <w:tc>
          <w:tcPr>
            <w:tcW w:w="1900" w:type="dxa"/>
            <w:vAlign w:val="bottom"/>
            <w:tcBorders>
              <w:bottom w:val="single" w:sz="8" w:color="A0DBF9"/>
              <w:right w:val="single" w:sz="8" w:color="A0DBF9"/>
            </w:tcBorders>
          </w:tcPr>
          <w:p>
            <w:pPr>
              <w:jc w:val="right"/>
              <w:ind w:right="675"/>
              <w:spacing w:after="0"/>
              <w:rPr>
                <w:sz w:val="20"/>
                <w:szCs w:val="20"/>
                <w:color w:val="auto"/>
              </w:rPr>
            </w:pPr>
            <w:r>
              <w:rPr>
                <w:rFonts w:ascii="Arial" w:cs="Arial" w:eastAsia="Arial" w:hAnsi="Arial"/>
                <w:sz w:val="18"/>
                <w:szCs w:val="18"/>
                <w:color w:val="auto"/>
              </w:rPr>
              <w:t>$1.00</w:t>
            </w:r>
          </w:p>
        </w:tc>
        <w:tc>
          <w:tcPr>
            <w:tcW w:w="15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3"/>
              </w:rPr>
              <w:t>34.7%</w:t>
            </w:r>
          </w:p>
        </w:tc>
        <w:tc>
          <w:tcPr>
            <w:tcW w:w="0" w:type="dxa"/>
            <w:vAlign w:val="bottom"/>
          </w:tcPr>
          <w:p>
            <w:pPr>
              <w:spacing w:after="0"/>
              <w:rPr>
                <w:sz w:val="1"/>
                <w:szCs w:val="1"/>
                <w:color w:val="auto"/>
              </w:rPr>
            </w:pPr>
          </w:p>
        </w:tc>
      </w:tr>
      <w:tr>
        <w:trPr>
          <w:trHeight w:val="250"/>
        </w:trPr>
        <w:tc>
          <w:tcPr>
            <w:tcW w:w="2240" w:type="dxa"/>
            <w:vAlign w:val="bottom"/>
            <w:tcBorders>
              <w:left w:val="single" w:sz="8" w:color="A0DBF9"/>
              <w:bottom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Free Cash Flow</w:t>
            </w:r>
          </w:p>
        </w:tc>
        <w:tc>
          <w:tcPr>
            <w:tcW w:w="11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30%</w:t>
            </w:r>
          </w:p>
        </w:tc>
        <w:tc>
          <w:tcPr>
            <w:tcW w:w="14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$31.1M</w:t>
            </w:r>
          </w:p>
        </w:tc>
        <w:tc>
          <w:tcPr>
            <w:tcW w:w="14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$41.4M</w:t>
            </w:r>
          </w:p>
        </w:tc>
        <w:tc>
          <w:tcPr>
            <w:tcW w:w="140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$51.8M</w:t>
            </w:r>
          </w:p>
        </w:tc>
        <w:tc>
          <w:tcPr>
            <w:tcW w:w="190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$60.4M</w:t>
            </w:r>
          </w:p>
        </w:tc>
        <w:tc>
          <w:tcPr>
            <w:tcW w:w="15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3"/>
              </w:rPr>
              <w:t>45.0%</w:t>
            </w:r>
          </w:p>
        </w:tc>
        <w:tc>
          <w:tcPr>
            <w:tcW w:w="0" w:type="dxa"/>
            <w:vAlign w:val="bottom"/>
          </w:tcPr>
          <w:p>
            <w:pPr>
              <w:spacing w:after="0"/>
              <w:rPr>
                <w:sz w:val="1"/>
                <w:szCs w:val="1"/>
                <w:color w:val="auto"/>
              </w:rPr>
            </w:pPr>
          </w:p>
        </w:tc>
      </w:tr>
      <w:tr>
        <w:trPr>
          <w:trHeight w:val="250"/>
        </w:trPr>
        <w:tc>
          <w:tcPr>
            <w:tcW w:w="2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spacing w:after="0"/>
              <w:rPr>
                <w:sz w:val="21"/>
                <w:szCs w:val="21"/>
                <w:color w:val="auto"/>
              </w:rPr>
            </w:pPr>
          </w:p>
        </w:tc>
        <w:tc>
          <w:tcPr>
            <w:tcW w:w="1900" w:type="dxa"/>
            <w:vAlign w:val="bottom"/>
            <w:tcBorders>
              <w:bottom w:val="single" w:sz="8" w:color="auto"/>
            </w:tcBorders>
          </w:tcPr>
          <w:p>
            <w:pPr>
              <w:spacing w:after="0"/>
              <w:rPr>
                <w:sz w:val="21"/>
                <w:szCs w:val="21"/>
                <w:color w:val="auto"/>
              </w:rPr>
            </w:pPr>
          </w:p>
        </w:tc>
        <w:tc>
          <w:tcPr>
            <w:tcW w:w="152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2240" w:type="dxa"/>
            <w:vAlign w:val="bottom"/>
            <w:tcBorders>
              <w:left w:val="single" w:sz="8" w:color="auto"/>
              <w:right w:val="single" w:sz="8" w:color="E2F4FC"/>
            </w:tcBorders>
            <w:shd w:val="clear" w:color="auto" w:fill="E2F4FC"/>
          </w:tcPr>
          <w:p>
            <w:pPr>
              <w:spacing w:after="0"/>
              <w:rPr>
                <w:sz w:val="20"/>
                <w:szCs w:val="20"/>
                <w:color w:val="auto"/>
              </w:rPr>
            </w:pPr>
          </w:p>
        </w:tc>
        <w:tc>
          <w:tcPr>
            <w:tcW w:w="1120" w:type="dxa"/>
            <w:vAlign w:val="bottom"/>
            <w:tcBorders>
              <w:right w:val="single" w:sz="8" w:color="A0DBF9"/>
            </w:tcBorders>
            <w:shd w:val="clear" w:color="auto" w:fill="E2F4FC"/>
          </w:tcPr>
          <w:p>
            <w:pPr>
              <w:spacing w:after="0"/>
              <w:rPr>
                <w:sz w:val="20"/>
                <w:szCs w:val="20"/>
                <w:color w:val="auto"/>
              </w:rPr>
            </w:pPr>
          </w:p>
        </w:tc>
        <w:tc>
          <w:tcPr>
            <w:tcW w:w="1440" w:type="dxa"/>
            <w:vAlign w:val="bottom"/>
            <w:tcBorders>
              <w:right w:val="single" w:sz="8" w:color="A0DBF9"/>
            </w:tcBorders>
            <w:shd w:val="clear" w:color="auto" w:fill="E2F4FC"/>
          </w:tcPr>
          <w:p>
            <w:pPr>
              <w:spacing w:after="0"/>
              <w:rPr>
                <w:sz w:val="20"/>
                <w:szCs w:val="20"/>
                <w:color w:val="auto"/>
              </w:rPr>
            </w:pPr>
          </w:p>
        </w:tc>
        <w:tc>
          <w:tcPr>
            <w:tcW w:w="1420" w:type="dxa"/>
            <w:vAlign w:val="bottom"/>
            <w:tcBorders>
              <w:right w:val="single" w:sz="8" w:color="A0DBF9"/>
            </w:tcBorders>
            <w:shd w:val="clear" w:color="auto" w:fill="E2F4FC"/>
          </w:tcPr>
          <w:p>
            <w:pPr>
              <w:spacing w:after="0"/>
              <w:rPr>
                <w:sz w:val="20"/>
                <w:szCs w:val="20"/>
                <w:color w:val="auto"/>
              </w:rPr>
            </w:pPr>
          </w:p>
        </w:tc>
        <w:tc>
          <w:tcPr>
            <w:tcW w:w="1400" w:type="dxa"/>
            <w:vAlign w:val="bottom"/>
            <w:tcBorders>
              <w:right w:val="single" w:sz="8" w:color="auto"/>
            </w:tcBorders>
            <w:shd w:val="clear" w:color="auto" w:fill="E2F4FC"/>
          </w:tcPr>
          <w:p>
            <w:pPr>
              <w:spacing w:after="0"/>
              <w:rPr>
                <w:sz w:val="20"/>
                <w:szCs w:val="20"/>
                <w:color w:val="auto"/>
              </w:rPr>
            </w:pPr>
          </w:p>
        </w:tc>
        <w:tc>
          <w:tcPr>
            <w:tcW w:w="190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b w:val="1"/>
                <w:bCs w:val="1"/>
                <w:color w:val="auto"/>
              </w:rPr>
              <w:t>Corporate</w:t>
            </w:r>
          </w:p>
        </w:tc>
        <w:tc>
          <w:tcPr>
            <w:tcW w:w="1520" w:type="dxa"/>
            <w:vAlign w:val="bottom"/>
            <w:tcBorders>
              <w:right w:val="single" w:sz="8" w:color="auto"/>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3360" w:type="dxa"/>
            <w:vAlign w:val="bottom"/>
            <w:tcBorders>
              <w:left w:val="single" w:sz="8" w:color="auto"/>
              <w:right w:val="single" w:sz="8" w:color="A0DBF9"/>
            </w:tcBorders>
            <w:gridSpan w:val="2"/>
            <w:shd w:val="clear" w:color="auto" w:fill="E2F4FC"/>
          </w:tcPr>
          <w:p>
            <w:pPr>
              <w:ind w:left="240"/>
              <w:spacing w:after="0"/>
              <w:rPr>
                <w:sz w:val="20"/>
                <w:szCs w:val="20"/>
                <w:color w:val="auto"/>
              </w:rPr>
            </w:pPr>
            <w:r>
              <w:rPr>
                <w:rFonts w:ascii="Arial" w:cs="Arial" w:eastAsia="Arial" w:hAnsi="Arial"/>
                <w:sz w:val="18"/>
                <w:szCs w:val="18"/>
                <w:b w:val="1"/>
                <w:bCs w:val="1"/>
                <w:color w:val="auto"/>
              </w:rPr>
              <w:t>Corporate Funding (% of target)</w:t>
            </w:r>
          </w:p>
        </w:tc>
        <w:tc>
          <w:tcPr>
            <w:tcW w:w="1440" w:type="dxa"/>
            <w:vAlign w:val="bottom"/>
            <w:tcBorders>
              <w:right w:val="single" w:sz="8" w:color="A0DBF9"/>
            </w:tcBorders>
            <w:shd w:val="clear" w:color="auto" w:fill="E2F4FC"/>
          </w:tcPr>
          <w:p>
            <w:pPr>
              <w:jc w:val="right"/>
              <w:ind w:right="416"/>
              <w:spacing w:after="0"/>
              <w:rPr>
                <w:sz w:val="20"/>
                <w:szCs w:val="20"/>
                <w:color w:val="auto"/>
              </w:rPr>
            </w:pPr>
            <w:r>
              <w:rPr>
                <w:rFonts w:ascii="Arial" w:cs="Arial" w:eastAsia="Arial" w:hAnsi="Arial"/>
                <w:sz w:val="18"/>
                <w:szCs w:val="18"/>
                <w:b w:val="1"/>
                <w:bCs w:val="1"/>
                <w:color w:val="auto"/>
              </w:rPr>
              <w:t>50%</w:t>
            </w:r>
          </w:p>
        </w:tc>
        <w:tc>
          <w:tcPr>
            <w:tcW w:w="14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b w:val="1"/>
                <w:bCs w:val="1"/>
                <w:color w:val="auto"/>
                <w:w w:val="95"/>
              </w:rPr>
              <w:t>100%</w:t>
            </w:r>
          </w:p>
        </w:tc>
        <w:tc>
          <w:tcPr>
            <w:tcW w:w="1400" w:type="dxa"/>
            <w:vAlign w:val="bottom"/>
            <w:tcBorders>
              <w:right w:val="single" w:sz="8" w:color="auto"/>
            </w:tcBorders>
            <w:shd w:val="clear" w:color="auto" w:fill="E2F4FC"/>
          </w:tcPr>
          <w:p>
            <w:pPr>
              <w:jc w:val="center"/>
              <w:spacing w:after="0"/>
              <w:rPr>
                <w:sz w:val="20"/>
                <w:szCs w:val="20"/>
                <w:color w:val="auto"/>
              </w:rPr>
            </w:pPr>
            <w:r>
              <w:rPr>
                <w:rFonts w:ascii="Arial" w:cs="Arial" w:eastAsia="Arial" w:hAnsi="Arial"/>
                <w:sz w:val="18"/>
                <w:szCs w:val="18"/>
                <w:b w:val="1"/>
                <w:bCs w:val="1"/>
                <w:color w:val="auto"/>
                <w:w w:val="95"/>
              </w:rPr>
              <w:t>150%</w:t>
            </w:r>
          </w:p>
        </w:tc>
        <w:tc>
          <w:tcPr>
            <w:tcW w:w="190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b w:val="1"/>
                <w:bCs w:val="1"/>
                <w:color w:val="auto"/>
              </w:rPr>
              <w:t>Performance</w:t>
            </w:r>
          </w:p>
        </w:tc>
        <w:tc>
          <w:tcPr>
            <w:tcW w:w="1520" w:type="dxa"/>
            <w:vAlign w:val="bottom"/>
            <w:tcBorders>
              <w:right w:val="single" w:sz="8" w:color="auto"/>
            </w:tcBorders>
            <w:shd w:val="clear" w:color="auto" w:fill="E2F4FC"/>
          </w:tcPr>
          <w:p>
            <w:pPr>
              <w:jc w:val="center"/>
              <w:spacing w:after="0"/>
              <w:rPr>
                <w:sz w:val="20"/>
                <w:szCs w:val="20"/>
                <w:color w:val="auto"/>
              </w:rPr>
            </w:pPr>
            <w:r>
              <w:rPr>
                <w:rFonts w:ascii="Arial" w:cs="Arial" w:eastAsia="Arial" w:hAnsi="Arial"/>
                <w:sz w:val="18"/>
                <w:szCs w:val="18"/>
                <w:b w:val="1"/>
                <w:bCs w:val="1"/>
                <w:color w:val="auto"/>
                <w:w w:val="98"/>
              </w:rPr>
              <w:t>109.2%</w:t>
            </w:r>
          </w:p>
        </w:tc>
        <w:tc>
          <w:tcPr>
            <w:tcW w:w="0" w:type="dxa"/>
            <w:vAlign w:val="bottom"/>
          </w:tcPr>
          <w:p>
            <w:pPr>
              <w:spacing w:after="0"/>
              <w:rPr>
                <w:sz w:val="1"/>
                <w:szCs w:val="1"/>
                <w:color w:val="auto"/>
              </w:rPr>
            </w:pPr>
          </w:p>
        </w:tc>
      </w:tr>
      <w:tr>
        <w:trPr>
          <w:trHeight w:val="234"/>
        </w:trPr>
        <w:tc>
          <w:tcPr>
            <w:tcW w:w="2240" w:type="dxa"/>
            <w:vAlign w:val="bottom"/>
            <w:tcBorders>
              <w:left w:val="single" w:sz="8" w:color="auto"/>
              <w:right w:val="single" w:sz="8" w:color="E2F4FC"/>
            </w:tcBorders>
            <w:shd w:val="clear" w:color="auto" w:fill="E2F4FC"/>
          </w:tcPr>
          <w:p>
            <w:pPr>
              <w:spacing w:after="0"/>
              <w:rPr>
                <w:sz w:val="20"/>
                <w:szCs w:val="20"/>
                <w:color w:val="auto"/>
              </w:rPr>
            </w:pPr>
          </w:p>
        </w:tc>
        <w:tc>
          <w:tcPr>
            <w:tcW w:w="1120" w:type="dxa"/>
            <w:vAlign w:val="bottom"/>
            <w:tcBorders>
              <w:right w:val="single" w:sz="8" w:color="A0DBF9"/>
            </w:tcBorders>
            <w:shd w:val="clear" w:color="auto" w:fill="E2F4FC"/>
          </w:tcPr>
          <w:p>
            <w:pPr>
              <w:spacing w:after="0"/>
              <w:rPr>
                <w:sz w:val="20"/>
                <w:szCs w:val="20"/>
                <w:color w:val="auto"/>
              </w:rPr>
            </w:pPr>
          </w:p>
        </w:tc>
        <w:tc>
          <w:tcPr>
            <w:tcW w:w="1440" w:type="dxa"/>
            <w:vAlign w:val="bottom"/>
            <w:tcBorders>
              <w:right w:val="single" w:sz="8" w:color="A0DBF9"/>
            </w:tcBorders>
            <w:shd w:val="clear" w:color="auto" w:fill="E2F4FC"/>
          </w:tcPr>
          <w:p>
            <w:pPr>
              <w:spacing w:after="0"/>
              <w:rPr>
                <w:sz w:val="20"/>
                <w:szCs w:val="20"/>
                <w:color w:val="auto"/>
              </w:rPr>
            </w:pPr>
          </w:p>
        </w:tc>
        <w:tc>
          <w:tcPr>
            <w:tcW w:w="1420" w:type="dxa"/>
            <w:vAlign w:val="bottom"/>
            <w:tcBorders>
              <w:right w:val="single" w:sz="8" w:color="A0DBF9"/>
            </w:tcBorders>
            <w:shd w:val="clear" w:color="auto" w:fill="E2F4FC"/>
          </w:tcPr>
          <w:p>
            <w:pPr>
              <w:spacing w:after="0"/>
              <w:rPr>
                <w:sz w:val="20"/>
                <w:szCs w:val="20"/>
                <w:color w:val="auto"/>
              </w:rPr>
            </w:pPr>
          </w:p>
        </w:tc>
        <w:tc>
          <w:tcPr>
            <w:tcW w:w="1400" w:type="dxa"/>
            <w:vAlign w:val="bottom"/>
            <w:tcBorders>
              <w:right w:val="single" w:sz="8" w:color="auto"/>
            </w:tcBorders>
            <w:shd w:val="clear" w:color="auto" w:fill="E2F4FC"/>
          </w:tcPr>
          <w:p>
            <w:pPr>
              <w:spacing w:after="0"/>
              <w:rPr>
                <w:sz w:val="20"/>
                <w:szCs w:val="20"/>
                <w:color w:val="auto"/>
              </w:rPr>
            </w:pPr>
          </w:p>
        </w:tc>
        <w:tc>
          <w:tcPr>
            <w:tcW w:w="190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b w:val="1"/>
                <w:bCs w:val="1"/>
                <w:color w:val="auto"/>
              </w:rPr>
              <w:t>Factor</w:t>
            </w:r>
          </w:p>
        </w:tc>
        <w:tc>
          <w:tcPr>
            <w:tcW w:w="1520" w:type="dxa"/>
            <w:vAlign w:val="bottom"/>
            <w:tcBorders>
              <w:right w:val="single" w:sz="8" w:color="auto"/>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90"/>
        </w:trPr>
        <w:tc>
          <w:tcPr>
            <w:tcW w:w="2240" w:type="dxa"/>
            <w:vAlign w:val="bottom"/>
            <w:tcBorders>
              <w:left w:val="single" w:sz="8" w:color="auto"/>
              <w:bottom w:val="single" w:sz="8" w:color="auto"/>
              <w:right w:val="single" w:sz="8" w:color="E2F4FC"/>
            </w:tcBorders>
            <w:shd w:val="clear" w:color="auto" w:fill="E2F4FC"/>
          </w:tcPr>
          <w:p>
            <w:pPr>
              <w:spacing w:after="0"/>
              <w:rPr>
                <w:sz w:val="7"/>
                <w:szCs w:val="7"/>
                <w:color w:val="auto"/>
              </w:rPr>
            </w:pPr>
          </w:p>
        </w:tc>
        <w:tc>
          <w:tcPr>
            <w:tcW w:w="1120" w:type="dxa"/>
            <w:vAlign w:val="bottom"/>
            <w:tcBorders>
              <w:bottom w:val="single" w:sz="8" w:color="auto"/>
              <w:right w:val="single" w:sz="8" w:color="A0DBF9"/>
            </w:tcBorders>
            <w:shd w:val="clear" w:color="auto" w:fill="E2F4FC"/>
          </w:tcPr>
          <w:p>
            <w:pPr>
              <w:spacing w:after="0"/>
              <w:rPr>
                <w:sz w:val="7"/>
                <w:szCs w:val="7"/>
                <w:color w:val="auto"/>
              </w:rPr>
            </w:pPr>
          </w:p>
        </w:tc>
        <w:tc>
          <w:tcPr>
            <w:tcW w:w="1440" w:type="dxa"/>
            <w:vAlign w:val="bottom"/>
            <w:tcBorders>
              <w:bottom w:val="single" w:sz="8" w:color="auto"/>
              <w:right w:val="single" w:sz="8" w:color="A0DBF9"/>
            </w:tcBorders>
            <w:shd w:val="clear" w:color="auto" w:fill="E2F4FC"/>
          </w:tcPr>
          <w:p>
            <w:pPr>
              <w:spacing w:after="0"/>
              <w:rPr>
                <w:sz w:val="7"/>
                <w:szCs w:val="7"/>
                <w:color w:val="auto"/>
              </w:rPr>
            </w:pPr>
          </w:p>
        </w:tc>
        <w:tc>
          <w:tcPr>
            <w:tcW w:w="1420" w:type="dxa"/>
            <w:vAlign w:val="bottom"/>
            <w:tcBorders>
              <w:bottom w:val="single" w:sz="8" w:color="auto"/>
              <w:right w:val="single" w:sz="8" w:color="A0DBF9"/>
            </w:tcBorders>
            <w:shd w:val="clear" w:color="auto" w:fill="E2F4FC"/>
          </w:tcPr>
          <w:p>
            <w:pPr>
              <w:spacing w:after="0"/>
              <w:rPr>
                <w:sz w:val="7"/>
                <w:szCs w:val="7"/>
                <w:color w:val="auto"/>
              </w:rPr>
            </w:pPr>
          </w:p>
        </w:tc>
        <w:tc>
          <w:tcPr>
            <w:tcW w:w="1400" w:type="dxa"/>
            <w:vAlign w:val="bottom"/>
            <w:tcBorders>
              <w:bottom w:val="single" w:sz="8" w:color="auto"/>
              <w:right w:val="single" w:sz="8" w:color="auto"/>
            </w:tcBorders>
            <w:shd w:val="clear" w:color="auto" w:fill="E2F4FC"/>
          </w:tcPr>
          <w:p>
            <w:pPr>
              <w:spacing w:after="0"/>
              <w:rPr>
                <w:sz w:val="7"/>
                <w:szCs w:val="7"/>
                <w:color w:val="auto"/>
              </w:rPr>
            </w:pPr>
          </w:p>
        </w:tc>
        <w:tc>
          <w:tcPr>
            <w:tcW w:w="1900" w:type="dxa"/>
            <w:vAlign w:val="bottom"/>
            <w:tcBorders>
              <w:bottom w:val="single" w:sz="8" w:color="auto"/>
              <w:right w:val="single" w:sz="8" w:color="A0DBF9"/>
            </w:tcBorders>
            <w:shd w:val="clear" w:color="auto" w:fill="E2F4FC"/>
          </w:tcPr>
          <w:p>
            <w:pPr>
              <w:spacing w:after="0"/>
              <w:rPr>
                <w:sz w:val="7"/>
                <w:szCs w:val="7"/>
                <w:color w:val="auto"/>
              </w:rPr>
            </w:pPr>
          </w:p>
        </w:tc>
        <w:tc>
          <w:tcPr>
            <w:tcW w:w="1520" w:type="dxa"/>
            <w:vAlign w:val="bottom"/>
            <w:tcBorders>
              <w:bottom w:val="single" w:sz="8" w:color="auto"/>
              <w:right w:val="single" w:sz="8" w:color="auto"/>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hanging="424"/>
        <w:spacing w:after="0"/>
        <w:tabs>
          <w:tab w:leader="none" w:pos="540" w:val="left"/>
        </w:tabs>
        <w:numPr>
          <w:ilvl w:val="0"/>
          <w:numId w:val="40"/>
        </w:numPr>
        <w:rPr>
          <w:rFonts w:ascii="Arial" w:cs="Arial" w:eastAsia="Arial" w:hAnsi="Arial"/>
          <w:sz w:val="14"/>
          <w:szCs w:val="14"/>
          <w:color w:val="auto"/>
        </w:rPr>
      </w:pPr>
      <w:r>
        <w:rPr>
          <w:rFonts w:ascii="Arial" w:cs="Arial" w:eastAsia="Arial" w:hAnsi="Arial"/>
          <w:sz w:val="14"/>
          <w:szCs w:val="14"/>
          <w:color w:val="auto"/>
        </w:rPr>
        <w:t>These metrics are defined immediately below.</w:t>
      </w:r>
    </w:p>
    <w:p>
      <w:pPr>
        <w:spacing w:after="0" w:line="208" w:lineRule="exact"/>
        <w:rPr>
          <w:sz w:val="20"/>
          <w:szCs w:val="20"/>
          <w:color w:val="auto"/>
        </w:rPr>
      </w:pPr>
    </w:p>
    <w:p>
      <w:pPr>
        <w:ind w:left="120" w:right="320" w:firstLine="440"/>
        <w:spacing w:after="0" w:line="277" w:lineRule="auto"/>
        <w:rPr>
          <w:sz w:val="20"/>
          <w:szCs w:val="20"/>
          <w:color w:val="auto"/>
        </w:rPr>
      </w:pPr>
      <w:r>
        <w:rPr>
          <w:rFonts w:ascii="Arial" w:cs="Arial" w:eastAsia="Arial" w:hAnsi="Arial"/>
          <w:sz w:val="18"/>
          <w:szCs w:val="18"/>
          <w:color w:val="auto"/>
        </w:rPr>
        <w:t>For purposes of the 2019 Executive Bonus Plan, the performance metrics are derived from the Company’s audited financial statements and are defined as follows:</w:t>
      </w:r>
    </w:p>
    <w:p>
      <w:pPr>
        <w:spacing w:after="0" w:line="76" w:lineRule="exact"/>
        <w:rPr>
          <w:sz w:val="20"/>
          <w:szCs w:val="20"/>
          <w:color w:val="auto"/>
        </w:rPr>
      </w:pPr>
    </w:p>
    <w:p>
      <w:pPr>
        <w:ind w:left="1080" w:hanging="424"/>
        <w:spacing w:after="0"/>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w:t>
      </w:r>
      <w:r>
        <w:rPr>
          <w:rFonts w:ascii="Arial" w:cs="Arial" w:eastAsia="Arial" w:hAnsi="Arial"/>
          <w:sz w:val="18"/>
          <w:szCs w:val="18"/>
          <w:b w:val="1"/>
          <w:bCs w:val="1"/>
          <w:i w:val="1"/>
          <w:iCs w:val="1"/>
          <w:color w:val="auto"/>
        </w:rPr>
        <w:t>Net Revenue</w:t>
      </w:r>
      <w:r>
        <w:rPr>
          <w:rFonts w:ascii="Arial" w:cs="Arial" w:eastAsia="Arial" w:hAnsi="Arial"/>
          <w:sz w:val="18"/>
          <w:szCs w:val="18"/>
          <w:color w:val="auto"/>
        </w:rPr>
        <w:t>,” we mean total revenue net of rebates and allowances;</w:t>
      </w:r>
    </w:p>
    <w:p>
      <w:pPr>
        <w:spacing w:after="0" w:line="130" w:lineRule="exact"/>
        <w:rPr>
          <w:rFonts w:ascii="Arial" w:cs="Arial" w:eastAsia="Arial" w:hAnsi="Arial"/>
          <w:sz w:val="18"/>
          <w:szCs w:val="18"/>
          <w:color w:val="auto"/>
        </w:rPr>
      </w:pPr>
    </w:p>
    <w:p>
      <w:pPr>
        <w:jc w:val="both"/>
        <w:ind w:left="1080" w:right="600" w:hanging="424"/>
        <w:spacing w:after="0" w:line="263"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by “</w:t>
      </w:r>
      <w:r>
        <w:rPr>
          <w:rFonts w:ascii="Arial" w:cs="Arial" w:eastAsia="Arial" w:hAnsi="Arial"/>
          <w:sz w:val="18"/>
          <w:szCs w:val="18"/>
          <w:b w:val="1"/>
          <w:bCs w:val="1"/>
          <w:i w:val="1"/>
          <w:iCs w:val="1"/>
          <w:color w:val="auto"/>
        </w:rPr>
        <w:t>Adjusted EPS</w:t>
      </w:r>
      <w:r>
        <w:rPr>
          <w:rFonts w:ascii="Arial" w:cs="Arial" w:eastAsia="Arial" w:hAnsi="Arial"/>
          <w:sz w:val="18"/>
          <w:szCs w:val="18"/>
          <w:color w:val="auto"/>
        </w:rPr>
        <w:t xml:space="preserve">” used for the Company’s compensation programs, we mean consolidated net income of the Company, </w:t>
      </w:r>
      <w:r>
        <w:rPr>
          <w:rFonts w:ascii="Arial" w:cs="Arial" w:eastAsia="Arial" w:hAnsi="Arial"/>
          <w:sz w:val="18"/>
          <w:szCs w:val="18"/>
          <w:u w:val="single" w:color="auto"/>
          <w:color w:val="auto"/>
        </w:rPr>
        <w:t>excluding</w:t>
      </w:r>
      <w:r>
        <w:rPr>
          <w:rFonts w:ascii="Arial" w:cs="Arial" w:eastAsia="Arial" w:hAnsi="Arial"/>
          <w:sz w:val="18"/>
          <w:szCs w:val="18"/>
          <w:color w:val="auto"/>
        </w:rPr>
        <w:t xml:space="preserve"> amortization of acquired intangible assets, asset impairment charges, restructuring charges, other charges associated with permitted acquisitions, charges and gains</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140"/>
          </w:cols>
          <w:pgMar w:left="320" w:top="459" w:right="4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100" w:right="180"/>
        <w:spacing w:after="0" w:line="301" w:lineRule="auto"/>
        <w:rPr>
          <w:sz w:val="20"/>
          <w:szCs w:val="20"/>
          <w:color w:val="auto"/>
        </w:rPr>
      </w:pPr>
      <w:r>
        <w:rPr>
          <w:rFonts w:ascii="Arial" w:cs="Arial" w:eastAsia="Arial" w:hAnsi="Arial"/>
          <w:sz w:val="16"/>
          <w:szCs w:val="16"/>
          <w:color w:val="auto"/>
        </w:rPr>
        <w:t xml:space="preserve">associated with product or business line discontinuance, changes in contingent purchase price, legal settlements and certain debt refinancing costs that constituted one-time, non-recurring charges which do not represent ongoing costs to the business (investors should note that the definition of Adjusted EPS used for the Company’s compensation programs </w:t>
      </w:r>
      <w:r>
        <w:rPr>
          <w:rFonts w:ascii="Arial" w:cs="Arial" w:eastAsia="Arial" w:hAnsi="Arial"/>
          <w:sz w:val="16"/>
          <w:szCs w:val="16"/>
          <w:u w:val="single" w:color="auto"/>
          <w:color w:val="auto"/>
        </w:rPr>
        <w:t>includes</w:t>
      </w:r>
      <w:r>
        <w:rPr>
          <w:rFonts w:ascii="Arial" w:cs="Arial" w:eastAsia="Arial" w:hAnsi="Arial"/>
          <w:sz w:val="16"/>
          <w:szCs w:val="16"/>
          <w:color w:val="auto"/>
        </w:rPr>
        <w:t xml:space="preserve"> share-based compensation expense, whereas the Company’s reported Adjusted Earnings Per Share </w:t>
      </w:r>
      <w:r>
        <w:rPr>
          <w:rFonts w:ascii="Arial" w:cs="Arial" w:eastAsia="Arial" w:hAnsi="Arial"/>
          <w:sz w:val="16"/>
          <w:szCs w:val="16"/>
          <w:u w:val="single" w:color="auto"/>
          <w:color w:val="auto"/>
        </w:rPr>
        <w:t>excludes</w:t>
      </w:r>
      <w:r>
        <w:rPr>
          <w:rFonts w:ascii="Arial" w:cs="Arial" w:eastAsia="Arial" w:hAnsi="Arial"/>
          <w:sz w:val="16"/>
          <w:szCs w:val="16"/>
          <w:color w:val="auto"/>
        </w:rPr>
        <w:t xml:space="preserve"> share-based compensation expense); and</w:t>
      </w:r>
    </w:p>
    <w:p>
      <w:pPr>
        <w:spacing w:after="0" w:line="63" w:lineRule="exact"/>
        <w:rPr>
          <w:sz w:val="20"/>
          <w:szCs w:val="20"/>
          <w:color w:val="auto"/>
        </w:rPr>
      </w:pPr>
    </w:p>
    <w:p>
      <w:pPr>
        <w:ind w:left="1080" w:hanging="424"/>
        <w:spacing w:after="0" w:line="301" w:lineRule="auto"/>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by “</w:t>
      </w:r>
      <w:r>
        <w:rPr>
          <w:rFonts w:ascii="Arial" w:cs="Arial" w:eastAsia="Arial" w:hAnsi="Arial"/>
          <w:sz w:val="16"/>
          <w:szCs w:val="16"/>
          <w:b w:val="1"/>
          <w:bCs w:val="1"/>
          <w:i w:val="1"/>
          <w:iCs w:val="1"/>
          <w:color w:val="auto"/>
        </w:rPr>
        <w:t>Free Cash Flow</w:t>
      </w:r>
      <w:r>
        <w:rPr>
          <w:rFonts w:ascii="Arial" w:cs="Arial" w:eastAsia="Arial" w:hAnsi="Arial"/>
          <w:sz w:val="16"/>
          <w:szCs w:val="16"/>
          <w:color w:val="auto"/>
        </w:rPr>
        <w:t xml:space="preserve">,” we mean cash provided by operating activities, less cash used for capital expenditures (investors should note that the definition of Free Cash Flow used for the Company’s compensation programs </w:t>
      </w:r>
      <w:r>
        <w:rPr>
          <w:rFonts w:ascii="Arial" w:cs="Arial" w:eastAsia="Arial" w:hAnsi="Arial"/>
          <w:sz w:val="16"/>
          <w:szCs w:val="16"/>
          <w:u w:val="single" w:color="auto"/>
          <w:color w:val="auto"/>
        </w:rPr>
        <w:t>excludes</w:t>
      </w:r>
      <w:r>
        <w:rPr>
          <w:rFonts w:ascii="Arial" w:cs="Arial" w:eastAsia="Arial" w:hAnsi="Arial"/>
          <w:sz w:val="16"/>
          <w:szCs w:val="16"/>
          <w:color w:val="auto"/>
        </w:rPr>
        <w:t xml:space="preserve"> charges related to certain permitted acquisitions and cash provided by legal settlements that, in each case, were one-time and non-recurring in nature and do not represent ongoing financial impact on the business, whereas the Company’s reported Free Cash Flow </w:t>
      </w:r>
      <w:r>
        <w:rPr>
          <w:rFonts w:ascii="Arial" w:cs="Arial" w:eastAsia="Arial" w:hAnsi="Arial"/>
          <w:sz w:val="16"/>
          <w:szCs w:val="16"/>
          <w:u w:val="single" w:color="auto"/>
          <w:color w:val="auto"/>
        </w:rPr>
        <w:t>includes</w:t>
      </w:r>
      <w:r>
        <w:rPr>
          <w:rFonts w:ascii="Arial" w:cs="Arial" w:eastAsia="Arial" w:hAnsi="Arial"/>
          <w:sz w:val="16"/>
          <w:szCs w:val="16"/>
          <w:color w:val="auto"/>
        </w:rPr>
        <w:t xml:space="preserve"> such charges and cash).</w:t>
      </w:r>
    </w:p>
    <w:p>
      <w:pPr>
        <w:spacing w:after="0" w:line="157"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The Compensation Committee selected these corporate performance metrics and the target levels of these metrics for 2019 to align our executive compensation program with our external financial guidance for fiscal year 2019 and our internal budget for fiscal year 2019 that was approved by the Board in December 2018, and because the Compensation Committee believes that:</w:t>
      </w:r>
    </w:p>
    <w:p>
      <w:pPr>
        <w:spacing w:after="0" w:line="89" w:lineRule="exact"/>
        <w:rPr>
          <w:sz w:val="20"/>
          <w:szCs w:val="20"/>
          <w:color w:val="auto"/>
        </w:rPr>
      </w:pPr>
    </w:p>
    <w:p>
      <w:pPr>
        <w:ind w:left="1080" w:hanging="424"/>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our long-term success depends on our ability to drive sustainable Net Revenue growth;</w:t>
      </w:r>
    </w:p>
    <w:p>
      <w:pPr>
        <w:spacing w:after="0" w:line="130" w:lineRule="exact"/>
        <w:rPr>
          <w:rFonts w:ascii="Arial" w:cs="Arial" w:eastAsia="Arial" w:hAnsi="Arial"/>
          <w:sz w:val="18"/>
          <w:szCs w:val="18"/>
          <w:color w:val="auto"/>
        </w:rPr>
      </w:pPr>
    </w:p>
    <w:p>
      <w:pPr>
        <w:ind w:left="1080" w:right="240" w:hanging="424"/>
        <w:spacing w:after="0" w:line="277"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Adjusted EPS (as defined for compensation program purposes) is a key indicator of our operational performance and profitability and is the basis on which stockholders calculate growth expectations; and</w:t>
      </w:r>
    </w:p>
    <w:p>
      <w:pPr>
        <w:spacing w:after="0" w:line="75" w:lineRule="exact"/>
        <w:rPr>
          <w:rFonts w:ascii="Arial" w:cs="Arial" w:eastAsia="Arial" w:hAnsi="Arial"/>
          <w:sz w:val="18"/>
          <w:szCs w:val="18"/>
          <w:color w:val="auto"/>
        </w:rPr>
      </w:pPr>
    </w:p>
    <w:p>
      <w:pPr>
        <w:ind w:left="1080" w:hanging="424"/>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Free Cash Flow focuses management on generating cash, which can then be deployed in a disciplined manner to create stockholder value.</w:t>
      </w:r>
    </w:p>
    <w:p>
      <w:pPr>
        <w:spacing w:after="0" w:line="248" w:lineRule="exact"/>
        <w:rPr>
          <w:sz w:val="20"/>
          <w:szCs w:val="20"/>
          <w:color w:val="auto"/>
        </w:rPr>
      </w:pPr>
    </w:p>
    <w:p>
      <w:pPr>
        <w:ind w:left="120" w:right="360" w:firstLine="440"/>
        <w:spacing w:after="0" w:line="263" w:lineRule="auto"/>
        <w:rPr>
          <w:sz w:val="20"/>
          <w:szCs w:val="20"/>
          <w:color w:val="auto"/>
        </w:rPr>
      </w:pPr>
      <w:r>
        <w:rPr>
          <w:rFonts w:ascii="Arial" w:cs="Arial" w:eastAsia="Arial" w:hAnsi="Arial"/>
          <w:sz w:val="18"/>
          <w:szCs w:val="18"/>
          <w:color w:val="auto"/>
        </w:rPr>
        <w:t>The goals set under these metrics were determined by the Compensation Committee to be challenging and uncertain to be achieved at the beginning of the year because, among other things, of risks relating to our nuclear products revenue. In all cases, the target levels for the 2019 goals represented an increase over 2018 actual results.</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Individual Performance Assessment and Actual Achievement</w:t>
      </w:r>
    </w:p>
    <w:p>
      <w:pPr>
        <w:spacing w:after="0" w:line="117" w:lineRule="exact"/>
        <w:rPr>
          <w:sz w:val="20"/>
          <w:szCs w:val="20"/>
          <w:color w:val="auto"/>
        </w:rPr>
      </w:pPr>
    </w:p>
    <w:p>
      <w:pPr>
        <w:ind w:left="120" w:firstLine="440"/>
        <w:spacing w:after="0" w:line="257" w:lineRule="auto"/>
        <w:rPr>
          <w:sz w:val="20"/>
          <w:szCs w:val="20"/>
          <w:color w:val="auto"/>
        </w:rPr>
      </w:pPr>
      <w:r>
        <w:rPr>
          <w:rFonts w:ascii="Arial" w:cs="Arial" w:eastAsia="Arial" w:hAnsi="Arial"/>
          <w:sz w:val="18"/>
          <w:szCs w:val="18"/>
          <w:color w:val="auto"/>
        </w:rPr>
        <w:t>The 2019 Executive Bonus Plan also contains an Individual Performance Factor that aligns each NEO’s incentive compensation outcomes with his or her specific individual performance and achievements during 2019. The Compensation Committee reviews the CEO’s assessment of each NEO’s performance, and the Compensation Committee, in consultation with the independent Chairman of the Board, assesses the CEO’s performance. Each NEO is given an Individual Performance Factor that modifies the Corporate Performance Factor score for purpose of calculating the 2019 Executive Bonus Plan payout.</w:t>
      </w:r>
    </w:p>
    <w:p>
      <w:pPr>
        <w:spacing w:after="0" w:line="36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20"/>
          </w:cols>
          <w:pgMar w:left="320" w:top="459" w:right="4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is a summary of each NEO’s Individual Performance Factor score and the performance and achievements that the Compensation Committee specifically recognized in determining that Individual Performance Factor score:</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2000" w:type="dxa"/>
            <w:vAlign w:val="bottom"/>
            <w:tcBorders>
              <w:left w:val="single" w:sz="8" w:color="5EB5FC"/>
              <w:right w:val="single" w:sz="8" w:color="5EB5FC"/>
            </w:tcBorders>
            <w:shd w:val="clear" w:color="auto" w:fill="5EB5FC"/>
          </w:tcPr>
          <w:p>
            <w:pPr>
              <w:spacing w:after="0"/>
              <w:rPr>
                <w:sz w:val="15"/>
                <w:szCs w:val="15"/>
                <w:color w:val="auto"/>
              </w:rPr>
            </w:pPr>
          </w:p>
        </w:tc>
        <w:tc>
          <w:tcPr>
            <w:tcW w:w="15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7"/>
              </w:rPr>
              <w:t>Individual</w:t>
            </w:r>
          </w:p>
        </w:tc>
        <w:tc>
          <w:tcPr>
            <w:tcW w:w="7480" w:type="dxa"/>
            <w:vAlign w:val="bottom"/>
            <w:tcBorders>
              <w:right w:val="single" w:sz="8" w:color="5EB5FC"/>
            </w:tcBorders>
            <w:shd w:val="clear" w:color="auto" w:fill="5EB5FC"/>
          </w:tcPr>
          <w:p>
            <w:pPr>
              <w:spacing w:after="0"/>
              <w:rPr>
                <w:sz w:val="15"/>
                <w:szCs w:val="15"/>
                <w:color w:val="auto"/>
              </w:rPr>
            </w:pPr>
          </w:p>
        </w:tc>
      </w:tr>
      <w:tr>
        <w:trPr>
          <w:trHeight w:val="148"/>
        </w:trPr>
        <w:tc>
          <w:tcPr>
            <w:tcW w:w="2000" w:type="dxa"/>
            <w:vAlign w:val="bottom"/>
            <w:tcBorders>
              <w:left w:val="single" w:sz="8" w:color="5EB5FC"/>
              <w:right w:val="single" w:sz="8" w:color="5EB5FC"/>
            </w:tcBorders>
            <w:shd w:val="clear" w:color="auto" w:fill="5EB5FC"/>
          </w:tcPr>
          <w:p>
            <w:pPr>
              <w:spacing w:after="0"/>
              <w:rPr>
                <w:sz w:val="12"/>
                <w:szCs w:val="12"/>
                <w:color w:val="auto"/>
              </w:rPr>
            </w:pPr>
          </w:p>
        </w:tc>
        <w:tc>
          <w:tcPr>
            <w:tcW w:w="156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3"/>
              </w:rPr>
              <w:t>Performance</w:t>
            </w:r>
          </w:p>
        </w:tc>
        <w:tc>
          <w:tcPr>
            <w:tcW w:w="7480" w:type="dxa"/>
            <w:vAlign w:val="bottom"/>
            <w:tcBorders>
              <w:right w:val="single" w:sz="8" w:color="5EB5FC"/>
            </w:tcBorders>
            <w:shd w:val="clear" w:color="auto" w:fill="5EB5FC"/>
          </w:tcPr>
          <w:p>
            <w:pPr>
              <w:spacing w:after="0"/>
              <w:rPr>
                <w:sz w:val="12"/>
                <w:szCs w:val="12"/>
                <w:color w:val="auto"/>
              </w:rPr>
            </w:pPr>
          </w:p>
        </w:tc>
      </w:tr>
      <w:tr>
        <w:trPr>
          <w:trHeight w:val="200"/>
        </w:trPr>
        <w:tc>
          <w:tcPr>
            <w:tcW w:w="2000" w:type="dxa"/>
            <w:vAlign w:val="bottom"/>
            <w:tcBorders>
              <w:left w:val="single" w:sz="8" w:color="5EB5FC"/>
              <w:right w:val="single" w:sz="8" w:color="5EB5FC"/>
            </w:tcBorders>
            <w:shd w:val="clear" w:color="auto" w:fill="5EB5FC"/>
          </w:tcPr>
          <w:p>
            <w:pPr>
              <w:ind w:left="920"/>
              <w:spacing w:after="0"/>
              <w:rPr>
                <w:sz w:val="20"/>
                <w:szCs w:val="20"/>
                <w:color w:val="auto"/>
              </w:rPr>
            </w:pPr>
            <w:r>
              <w:rPr>
                <w:rFonts w:ascii="Arial" w:cs="Arial" w:eastAsia="Arial" w:hAnsi="Arial"/>
                <w:sz w:val="14"/>
                <w:szCs w:val="14"/>
                <w:b w:val="1"/>
                <w:bCs w:val="1"/>
                <w:color w:val="FFFFFF"/>
              </w:rPr>
              <w:t>NEO</w:t>
            </w:r>
          </w:p>
        </w:tc>
        <w:tc>
          <w:tcPr>
            <w:tcW w:w="15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Factor</w:t>
            </w:r>
          </w:p>
        </w:tc>
        <w:tc>
          <w:tcPr>
            <w:tcW w:w="7480" w:type="dxa"/>
            <w:vAlign w:val="bottom"/>
            <w:tcBorders>
              <w:right w:val="single" w:sz="8" w:color="5EB5FC"/>
            </w:tcBorders>
            <w:shd w:val="clear" w:color="auto" w:fill="5EB5FC"/>
          </w:tcPr>
          <w:p>
            <w:pPr>
              <w:ind w:left="2120"/>
              <w:spacing w:after="0"/>
              <w:rPr>
                <w:sz w:val="20"/>
                <w:szCs w:val="20"/>
                <w:color w:val="auto"/>
              </w:rPr>
            </w:pPr>
            <w:r>
              <w:rPr>
                <w:rFonts w:ascii="Arial" w:cs="Arial" w:eastAsia="Arial" w:hAnsi="Arial"/>
                <w:sz w:val="14"/>
                <w:szCs w:val="14"/>
                <w:b w:val="1"/>
                <w:bCs w:val="1"/>
                <w:color w:val="FFFFFF"/>
              </w:rPr>
              <w:t>Compensation Committee-Recognized Achievements</w:t>
            </w:r>
          </w:p>
        </w:tc>
      </w:tr>
      <w:tr>
        <w:trPr>
          <w:trHeight w:val="93"/>
        </w:trPr>
        <w:tc>
          <w:tcPr>
            <w:tcW w:w="2000" w:type="dxa"/>
            <w:vAlign w:val="bottom"/>
            <w:tcBorders>
              <w:left w:val="single" w:sz="8" w:color="5EB5FC"/>
              <w:right w:val="single" w:sz="8" w:color="5EB5FC"/>
            </w:tcBorders>
            <w:shd w:val="clear" w:color="auto" w:fill="5EB5FC"/>
          </w:tcPr>
          <w:p>
            <w:pPr>
              <w:spacing w:after="0"/>
              <w:rPr>
                <w:sz w:val="8"/>
                <w:szCs w:val="8"/>
                <w:color w:val="auto"/>
              </w:rPr>
            </w:pPr>
          </w:p>
        </w:tc>
        <w:tc>
          <w:tcPr>
            <w:tcW w:w="1560" w:type="dxa"/>
            <w:vAlign w:val="bottom"/>
            <w:tcBorders>
              <w:right w:val="single" w:sz="8" w:color="5EB5FC"/>
            </w:tcBorders>
            <w:shd w:val="clear" w:color="auto" w:fill="5EB5FC"/>
          </w:tcPr>
          <w:p>
            <w:pPr>
              <w:spacing w:after="0"/>
              <w:rPr>
                <w:sz w:val="8"/>
                <w:szCs w:val="8"/>
                <w:color w:val="auto"/>
              </w:rPr>
            </w:pPr>
          </w:p>
        </w:tc>
        <w:tc>
          <w:tcPr>
            <w:tcW w:w="7480" w:type="dxa"/>
            <w:vAlign w:val="bottom"/>
            <w:tcBorders>
              <w:right w:val="single" w:sz="8" w:color="5EB5FC"/>
            </w:tcBorders>
            <w:shd w:val="clear" w:color="auto" w:fill="5EB5FC"/>
          </w:tcPr>
          <w:p>
            <w:pPr>
              <w:spacing w:after="0"/>
              <w:rPr>
                <w:sz w:val="8"/>
                <w:szCs w:val="8"/>
                <w:color w:val="auto"/>
              </w:rPr>
            </w:pPr>
          </w:p>
        </w:tc>
      </w:tr>
      <w:tr>
        <w:trPr>
          <w:trHeight w:val="242"/>
        </w:trPr>
        <w:tc>
          <w:tcPr>
            <w:tcW w:w="20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15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120%</w:t>
            </w: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7"/>
              </w:rPr>
              <w:t>•  Strong financial performance despite challenging conditions, including unanticipated supply</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constraints relating to a key product during the year.</w:t>
            </w:r>
          </w:p>
        </w:tc>
      </w:tr>
      <w:tr>
        <w:trPr>
          <w:trHeight w:val="257"/>
        </w:trPr>
        <w:tc>
          <w:tcPr>
            <w:tcW w:w="2000" w:type="dxa"/>
            <w:vAlign w:val="bottom"/>
            <w:tcBorders>
              <w:left w:val="single" w:sz="8" w:color="A0DBF9"/>
              <w:right w:val="single" w:sz="8" w:color="A0DBF9"/>
            </w:tcBorders>
            <w:shd w:val="clear" w:color="auto" w:fill="E2F4FC"/>
          </w:tcPr>
          <w:p>
            <w:pPr>
              <w:spacing w:after="0"/>
              <w:rPr>
                <w:sz w:val="22"/>
                <w:szCs w:val="22"/>
                <w:color w:val="auto"/>
              </w:rPr>
            </w:pPr>
          </w:p>
        </w:tc>
        <w:tc>
          <w:tcPr>
            <w:tcW w:w="1560" w:type="dxa"/>
            <w:vAlign w:val="bottom"/>
            <w:tcBorders>
              <w:right w:val="single" w:sz="8" w:color="A0DBF9"/>
            </w:tcBorders>
            <w:shd w:val="clear" w:color="auto" w:fill="E2F4FC"/>
          </w:tcPr>
          <w:p>
            <w:pPr>
              <w:spacing w:after="0"/>
              <w:rPr>
                <w:sz w:val="22"/>
                <w:szCs w:val="22"/>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The outstanding performance of our lead revenue-generating product, DEFINITY.</w:t>
            </w:r>
          </w:p>
        </w:tc>
      </w:tr>
      <w:tr>
        <w:trPr>
          <w:trHeight w:val="242"/>
        </w:trPr>
        <w:tc>
          <w:tcPr>
            <w:tcW w:w="2000" w:type="dxa"/>
            <w:vAlign w:val="bottom"/>
            <w:tcBorders>
              <w:left w:val="single" w:sz="8" w:color="A0DBF9"/>
              <w:right w:val="single" w:sz="8" w:color="A0DBF9"/>
            </w:tcBorders>
            <w:shd w:val="clear" w:color="auto" w:fill="E2F4FC"/>
          </w:tcPr>
          <w:p>
            <w:pPr>
              <w:spacing w:after="0"/>
              <w:rPr>
                <w:sz w:val="21"/>
                <w:szCs w:val="21"/>
                <w:color w:val="auto"/>
              </w:rPr>
            </w:pPr>
          </w:p>
        </w:tc>
        <w:tc>
          <w:tcPr>
            <w:tcW w:w="1560" w:type="dxa"/>
            <w:vAlign w:val="bottom"/>
            <w:tcBorders>
              <w:right w:val="single" w:sz="8" w:color="A0DBF9"/>
            </w:tcBorders>
            <w:shd w:val="clear" w:color="auto" w:fill="E2F4FC"/>
          </w:tcPr>
          <w:p>
            <w:pPr>
              <w:spacing w:after="0"/>
              <w:rPr>
                <w:sz w:val="21"/>
                <w:szCs w:val="21"/>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6"/>
              </w:rPr>
              <w:t>•  Establishing and driving a performance-based culture throughout the Company, including the</w:t>
            </w:r>
          </w:p>
        </w:tc>
      </w:tr>
      <w:tr>
        <w:trPr>
          <w:trHeight w:val="216"/>
        </w:trPr>
        <w:tc>
          <w:tcPr>
            <w:tcW w:w="2000" w:type="dxa"/>
            <w:vAlign w:val="bottom"/>
            <w:tcBorders>
              <w:left w:val="single" w:sz="8" w:color="A0DBF9"/>
              <w:right w:val="single" w:sz="8" w:color="A0DBF9"/>
            </w:tcBorders>
            <w:shd w:val="clear" w:color="auto" w:fill="E2F4FC"/>
          </w:tcPr>
          <w:p>
            <w:pPr>
              <w:spacing w:after="0"/>
              <w:rPr>
                <w:sz w:val="18"/>
                <w:szCs w:val="18"/>
                <w:color w:val="auto"/>
              </w:rPr>
            </w:pPr>
          </w:p>
        </w:tc>
        <w:tc>
          <w:tcPr>
            <w:tcW w:w="1560" w:type="dxa"/>
            <w:vAlign w:val="bottom"/>
            <w:tcBorders>
              <w:right w:val="single" w:sz="8" w:color="A0DBF9"/>
            </w:tcBorders>
            <w:shd w:val="clear" w:color="auto" w:fill="E2F4FC"/>
          </w:tcPr>
          <w:p>
            <w:pPr>
              <w:spacing w:after="0"/>
              <w:rPr>
                <w:sz w:val="18"/>
                <w:szCs w:val="18"/>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w w:val="94"/>
              </w:rPr>
              <w:t>utilization of a corporate dashboard with key financial, customer, internal and learning/growth</w:t>
            </w:r>
          </w:p>
        </w:tc>
      </w:tr>
      <w:tr>
        <w:trPr>
          <w:trHeight w:val="216"/>
        </w:trPr>
        <w:tc>
          <w:tcPr>
            <w:tcW w:w="2000" w:type="dxa"/>
            <w:vAlign w:val="bottom"/>
            <w:tcBorders>
              <w:left w:val="single" w:sz="8" w:color="A0DBF9"/>
              <w:right w:val="single" w:sz="8" w:color="A0DBF9"/>
            </w:tcBorders>
            <w:shd w:val="clear" w:color="auto" w:fill="E2F4FC"/>
          </w:tcPr>
          <w:p>
            <w:pPr>
              <w:spacing w:after="0"/>
              <w:rPr>
                <w:sz w:val="18"/>
                <w:szCs w:val="18"/>
                <w:color w:val="auto"/>
              </w:rPr>
            </w:pPr>
          </w:p>
        </w:tc>
        <w:tc>
          <w:tcPr>
            <w:tcW w:w="1560" w:type="dxa"/>
            <w:vAlign w:val="bottom"/>
            <w:tcBorders>
              <w:right w:val="single" w:sz="8" w:color="A0DBF9"/>
            </w:tcBorders>
            <w:shd w:val="clear" w:color="auto" w:fill="E2F4FC"/>
          </w:tcPr>
          <w:p>
            <w:pPr>
              <w:spacing w:after="0"/>
              <w:rPr>
                <w:sz w:val="18"/>
                <w:szCs w:val="18"/>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w w:val="93"/>
              </w:rPr>
              <w:t>metrics that are reviewed quarterly with the Board and used internally for performance reviews</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across all functions.</w:t>
            </w:r>
          </w:p>
        </w:tc>
      </w:tr>
      <w:tr>
        <w:trPr>
          <w:trHeight w:val="257"/>
        </w:trPr>
        <w:tc>
          <w:tcPr>
            <w:tcW w:w="2000" w:type="dxa"/>
            <w:vAlign w:val="bottom"/>
            <w:tcBorders>
              <w:left w:val="single" w:sz="8" w:color="A0DBF9"/>
              <w:right w:val="single" w:sz="8" w:color="A0DBF9"/>
            </w:tcBorders>
            <w:shd w:val="clear" w:color="auto" w:fill="E2F4FC"/>
          </w:tcPr>
          <w:p>
            <w:pPr>
              <w:spacing w:after="0"/>
              <w:rPr>
                <w:sz w:val="22"/>
                <w:szCs w:val="22"/>
                <w:color w:val="auto"/>
              </w:rPr>
            </w:pPr>
          </w:p>
        </w:tc>
        <w:tc>
          <w:tcPr>
            <w:tcW w:w="1560" w:type="dxa"/>
            <w:vAlign w:val="bottom"/>
            <w:tcBorders>
              <w:right w:val="single" w:sz="8" w:color="A0DBF9"/>
            </w:tcBorders>
            <w:shd w:val="clear" w:color="auto" w:fill="E2F4FC"/>
          </w:tcPr>
          <w:p>
            <w:pPr>
              <w:spacing w:after="0"/>
              <w:rPr>
                <w:sz w:val="22"/>
                <w:szCs w:val="22"/>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Development of our updated Strategic Plan that sets financial goals and strategic targets.</w:t>
            </w:r>
          </w:p>
        </w:tc>
      </w:tr>
      <w:tr>
        <w:trPr>
          <w:trHeight w:val="242"/>
        </w:trPr>
        <w:tc>
          <w:tcPr>
            <w:tcW w:w="2000" w:type="dxa"/>
            <w:vAlign w:val="bottom"/>
            <w:tcBorders>
              <w:left w:val="single" w:sz="8" w:color="A0DBF9"/>
              <w:right w:val="single" w:sz="8" w:color="A0DBF9"/>
            </w:tcBorders>
            <w:shd w:val="clear" w:color="auto" w:fill="E2F4FC"/>
          </w:tcPr>
          <w:p>
            <w:pPr>
              <w:spacing w:after="0"/>
              <w:rPr>
                <w:sz w:val="21"/>
                <w:szCs w:val="21"/>
                <w:color w:val="auto"/>
              </w:rPr>
            </w:pPr>
          </w:p>
        </w:tc>
        <w:tc>
          <w:tcPr>
            <w:tcW w:w="1560" w:type="dxa"/>
            <w:vAlign w:val="bottom"/>
            <w:tcBorders>
              <w:right w:val="single" w:sz="8" w:color="A0DBF9"/>
            </w:tcBorders>
            <w:shd w:val="clear" w:color="auto" w:fill="E2F4FC"/>
          </w:tcPr>
          <w:p>
            <w:pPr>
              <w:spacing w:after="0"/>
              <w:rPr>
                <w:sz w:val="21"/>
                <w:szCs w:val="21"/>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1"/>
              </w:rPr>
              <w:t>•  Progress against our 2019 Strategic Plan goal of targeted mergers and acquisitions activities with</w:t>
            </w:r>
          </w:p>
        </w:tc>
      </w:tr>
      <w:tr>
        <w:trPr>
          <w:trHeight w:val="216"/>
        </w:trPr>
        <w:tc>
          <w:tcPr>
            <w:tcW w:w="2000" w:type="dxa"/>
            <w:vAlign w:val="bottom"/>
            <w:tcBorders>
              <w:left w:val="single" w:sz="8" w:color="A0DBF9"/>
              <w:right w:val="single" w:sz="8" w:color="A0DBF9"/>
            </w:tcBorders>
            <w:shd w:val="clear" w:color="auto" w:fill="E2F4FC"/>
          </w:tcPr>
          <w:p>
            <w:pPr>
              <w:spacing w:after="0"/>
              <w:rPr>
                <w:sz w:val="18"/>
                <w:szCs w:val="18"/>
                <w:color w:val="auto"/>
              </w:rPr>
            </w:pPr>
          </w:p>
        </w:tc>
        <w:tc>
          <w:tcPr>
            <w:tcW w:w="1560" w:type="dxa"/>
            <w:vAlign w:val="bottom"/>
            <w:tcBorders>
              <w:right w:val="single" w:sz="8" w:color="A0DBF9"/>
            </w:tcBorders>
            <w:shd w:val="clear" w:color="auto" w:fill="E2F4FC"/>
          </w:tcPr>
          <w:p>
            <w:pPr>
              <w:spacing w:after="0"/>
              <w:rPr>
                <w:sz w:val="18"/>
                <w:szCs w:val="18"/>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w w:val="95"/>
              </w:rPr>
              <w:t>the Nanomab, CarThera and Cerevast Medical transactions and the Progenics Acquisition in</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2019.</w:t>
            </w:r>
          </w:p>
        </w:tc>
      </w:tr>
      <w:tr>
        <w:trPr>
          <w:trHeight w:val="135"/>
        </w:trPr>
        <w:tc>
          <w:tcPr>
            <w:tcW w:w="2000" w:type="dxa"/>
            <w:vAlign w:val="bottom"/>
            <w:tcBorders>
              <w:left w:val="single" w:sz="8" w:color="A0DBF9"/>
              <w:bottom w:val="single" w:sz="8" w:color="A0DBF9"/>
              <w:right w:val="single" w:sz="8" w:color="A0DBF9"/>
            </w:tcBorders>
            <w:shd w:val="clear" w:color="auto" w:fill="E2F4FC"/>
          </w:tcPr>
          <w:p>
            <w:pPr>
              <w:spacing w:after="0"/>
              <w:rPr>
                <w:sz w:val="11"/>
                <w:szCs w:val="11"/>
                <w:color w:val="auto"/>
              </w:rPr>
            </w:pPr>
          </w:p>
        </w:tc>
        <w:tc>
          <w:tcPr>
            <w:tcW w:w="1560" w:type="dxa"/>
            <w:vAlign w:val="bottom"/>
            <w:tcBorders>
              <w:bottom w:val="single" w:sz="8" w:color="A0DBF9"/>
              <w:right w:val="single" w:sz="8" w:color="A0DBF9"/>
            </w:tcBorders>
            <w:shd w:val="clear" w:color="auto" w:fill="E2F4FC"/>
          </w:tcPr>
          <w:p>
            <w:pPr>
              <w:spacing w:after="0"/>
              <w:rPr>
                <w:sz w:val="11"/>
                <w:szCs w:val="11"/>
                <w:color w:val="auto"/>
              </w:rPr>
            </w:pPr>
          </w:p>
        </w:tc>
        <w:tc>
          <w:tcPr>
            <w:tcW w:w="7480" w:type="dxa"/>
            <w:vAlign w:val="bottom"/>
            <w:tcBorders>
              <w:bottom w:val="single" w:sz="8" w:color="A0DBF9"/>
              <w:right w:val="single" w:sz="8" w:color="A0DBF9"/>
            </w:tcBorders>
            <w:shd w:val="clear" w:color="auto" w:fill="E2F4FC"/>
          </w:tcPr>
          <w:p>
            <w:pPr>
              <w:spacing w:after="0"/>
              <w:rPr>
                <w:sz w:val="11"/>
                <w:szCs w:val="11"/>
                <w:color w:val="auto"/>
              </w:rPr>
            </w:pPr>
          </w:p>
        </w:tc>
      </w:tr>
      <w:tr>
        <w:trPr>
          <w:trHeight w:val="232"/>
        </w:trPr>
        <w:tc>
          <w:tcPr>
            <w:tcW w:w="200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J. Marshall,</w:t>
            </w:r>
          </w:p>
        </w:tc>
        <w:tc>
          <w:tcPr>
            <w:tcW w:w="15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100%</w:t>
            </w: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6"/>
              </w:rPr>
              <w:t>•  Completing our debt refinancing on favorable terms that were accretive to earnings, reducing</w:t>
            </w:r>
          </w:p>
        </w:tc>
      </w:tr>
      <w:tr>
        <w:trPr>
          <w:trHeight w:val="234"/>
        </w:trPr>
        <w:tc>
          <w:tcPr>
            <w:tcW w:w="200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Jr.</w:t>
            </w: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interest carrying charges and increasing our liquidity.</w:t>
            </w:r>
          </w:p>
        </w:tc>
      </w:tr>
      <w:tr>
        <w:trPr>
          <w:trHeight w:val="283"/>
        </w:trPr>
        <w:tc>
          <w:tcPr>
            <w:tcW w:w="2000" w:type="dxa"/>
            <w:vAlign w:val="bottom"/>
            <w:tcBorders>
              <w:left w:val="single" w:sz="8" w:color="A0DBF9"/>
              <w:right w:val="single" w:sz="8" w:color="A0DBF9"/>
            </w:tcBorders>
          </w:tcPr>
          <w:p>
            <w:pPr>
              <w:spacing w:after="0"/>
              <w:rPr>
                <w:sz w:val="24"/>
                <w:szCs w:val="24"/>
                <w:color w:val="auto"/>
              </w:rPr>
            </w:pPr>
          </w:p>
        </w:tc>
        <w:tc>
          <w:tcPr>
            <w:tcW w:w="1560" w:type="dxa"/>
            <w:vAlign w:val="bottom"/>
            <w:tcBorders>
              <w:right w:val="single" w:sz="8" w:color="A0DBF9"/>
            </w:tcBorders>
          </w:tcPr>
          <w:p>
            <w:pPr>
              <w:spacing w:after="0"/>
              <w:rPr>
                <w:sz w:val="24"/>
                <w:szCs w:val="24"/>
                <w:color w:val="auto"/>
              </w:rPr>
            </w:pP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3"/>
              </w:rPr>
              <w:t>•  Leading our Finance team in completing a SOX 404 Compliance Program to ensure compliance</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with legal requirements relating to our new status as a Large Accelerated Filer.</w:t>
            </w:r>
          </w:p>
        </w:tc>
      </w:tr>
      <w:tr>
        <w:trPr>
          <w:trHeight w:val="283"/>
        </w:trPr>
        <w:tc>
          <w:tcPr>
            <w:tcW w:w="2000" w:type="dxa"/>
            <w:vAlign w:val="bottom"/>
            <w:tcBorders>
              <w:left w:val="single" w:sz="8" w:color="A0DBF9"/>
              <w:right w:val="single" w:sz="8" w:color="A0DBF9"/>
            </w:tcBorders>
          </w:tcPr>
          <w:p>
            <w:pPr>
              <w:spacing w:after="0"/>
              <w:rPr>
                <w:sz w:val="24"/>
                <w:szCs w:val="24"/>
                <w:color w:val="auto"/>
              </w:rPr>
            </w:pPr>
          </w:p>
        </w:tc>
        <w:tc>
          <w:tcPr>
            <w:tcW w:w="1560" w:type="dxa"/>
            <w:vAlign w:val="bottom"/>
            <w:tcBorders>
              <w:right w:val="single" w:sz="8" w:color="A0DBF9"/>
            </w:tcBorders>
          </w:tcPr>
          <w:p>
            <w:pPr>
              <w:spacing w:after="0"/>
              <w:rPr>
                <w:sz w:val="24"/>
                <w:szCs w:val="24"/>
                <w:color w:val="auto"/>
              </w:rPr>
            </w:pP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2"/>
              </w:rPr>
              <w:t>•  Partnering with Mr. Bolla to introduce an updated capital planning appropriation and governance</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process that we believe will lead to a more efficient use of capital resources.</w:t>
            </w:r>
          </w:p>
        </w:tc>
      </w:tr>
      <w:tr>
        <w:trPr>
          <w:trHeight w:val="135"/>
        </w:trPr>
        <w:tc>
          <w:tcPr>
            <w:tcW w:w="2000" w:type="dxa"/>
            <w:vAlign w:val="bottom"/>
            <w:tcBorders>
              <w:left w:val="single" w:sz="8" w:color="A0DBF9"/>
              <w:bottom w:val="single" w:sz="8" w:color="A0DBF9"/>
              <w:right w:val="single" w:sz="8" w:color="A0DBF9"/>
            </w:tcBorders>
          </w:tcPr>
          <w:p>
            <w:pPr>
              <w:spacing w:after="0"/>
              <w:rPr>
                <w:sz w:val="11"/>
                <w:szCs w:val="11"/>
                <w:color w:val="auto"/>
              </w:rPr>
            </w:pPr>
          </w:p>
        </w:tc>
        <w:tc>
          <w:tcPr>
            <w:tcW w:w="1560" w:type="dxa"/>
            <w:vAlign w:val="bottom"/>
            <w:tcBorders>
              <w:bottom w:val="single" w:sz="8" w:color="A0DBF9"/>
              <w:right w:val="single" w:sz="8" w:color="A0DBF9"/>
            </w:tcBorders>
          </w:tcPr>
          <w:p>
            <w:pPr>
              <w:spacing w:after="0"/>
              <w:rPr>
                <w:sz w:val="11"/>
                <w:szCs w:val="11"/>
                <w:color w:val="auto"/>
              </w:rPr>
            </w:pPr>
          </w:p>
        </w:tc>
        <w:tc>
          <w:tcPr>
            <w:tcW w:w="7480" w:type="dxa"/>
            <w:vAlign w:val="bottom"/>
            <w:tcBorders>
              <w:bottom w:val="single" w:sz="8" w:color="A0DBF9"/>
              <w:right w:val="single" w:sz="8" w:color="A0DBF9"/>
            </w:tcBorders>
          </w:tcPr>
          <w:p>
            <w:pPr>
              <w:spacing w:after="0"/>
              <w:rPr>
                <w:sz w:val="11"/>
                <w:szCs w:val="11"/>
                <w:color w:val="auto"/>
              </w:rPr>
            </w:pPr>
          </w:p>
        </w:tc>
      </w:tr>
      <w:tr>
        <w:trPr>
          <w:trHeight w:val="236"/>
        </w:trPr>
        <w:tc>
          <w:tcPr>
            <w:tcW w:w="20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p>
        </w:tc>
        <w:tc>
          <w:tcPr>
            <w:tcW w:w="15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100%</w:t>
            </w: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4"/>
              </w:rPr>
              <w:t>•  The advancement of our internal manufacturing capabilities project, which met critical time and</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budget milestones in 2019.</w:t>
            </w:r>
          </w:p>
        </w:tc>
      </w:tr>
      <w:tr>
        <w:trPr>
          <w:trHeight w:val="283"/>
        </w:trPr>
        <w:tc>
          <w:tcPr>
            <w:tcW w:w="2000" w:type="dxa"/>
            <w:vAlign w:val="bottom"/>
            <w:tcBorders>
              <w:left w:val="single" w:sz="8" w:color="A0DBF9"/>
              <w:right w:val="single" w:sz="8" w:color="A0DBF9"/>
            </w:tcBorders>
            <w:shd w:val="clear" w:color="auto" w:fill="E2F4FC"/>
          </w:tcPr>
          <w:p>
            <w:pPr>
              <w:spacing w:after="0"/>
              <w:rPr>
                <w:sz w:val="24"/>
                <w:szCs w:val="24"/>
                <w:color w:val="auto"/>
              </w:rPr>
            </w:pPr>
          </w:p>
        </w:tc>
        <w:tc>
          <w:tcPr>
            <w:tcW w:w="1560" w:type="dxa"/>
            <w:vAlign w:val="bottom"/>
            <w:tcBorders>
              <w:right w:val="single" w:sz="8" w:color="A0DBF9"/>
            </w:tcBorders>
            <w:shd w:val="clear" w:color="auto" w:fill="E2F4FC"/>
          </w:tcPr>
          <w:p>
            <w:pPr>
              <w:spacing w:after="0"/>
              <w:rPr>
                <w:sz w:val="24"/>
                <w:szCs w:val="24"/>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Partnering with Mr. Marshall to introduce an updated capital planning appropriation and</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w w:val="99"/>
              </w:rPr>
              <w:t>governance process that we believe will lead to a more efficient use of capital resources.</w:t>
            </w:r>
          </w:p>
        </w:tc>
      </w:tr>
      <w:tr>
        <w:trPr>
          <w:trHeight w:val="297"/>
        </w:trPr>
        <w:tc>
          <w:tcPr>
            <w:tcW w:w="2000" w:type="dxa"/>
            <w:vAlign w:val="bottom"/>
            <w:tcBorders>
              <w:left w:val="single" w:sz="8" w:color="A0DBF9"/>
              <w:right w:val="single" w:sz="8" w:color="A0DBF9"/>
            </w:tcBorders>
            <w:shd w:val="clear" w:color="auto" w:fill="E2F4FC"/>
          </w:tcPr>
          <w:p>
            <w:pPr>
              <w:spacing w:after="0"/>
              <w:rPr>
                <w:sz w:val="24"/>
                <w:szCs w:val="24"/>
                <w:color w:val="auto"/>
              </w:rPr>
            </w:pPr>
          </w:p>
        </w:tc>
        <w:tc>
          <w:tcPr>
            <w:tcW w:w="1560" w:type="dxa"/>
            <w:vAlign w:val="bottom"/>
            <w:tcBorders>
              <w:right w:val="single" w:sz="8" w:color="A0DBF9"/>
            </w:tcBorders>
            <w:shd w:val="clear" w:color="auto" w:fill="E2F4FC"/>
          </w:tcPr>
          <w:p>
            <w:pPr>
              <w:spacing w:after="0"/>
              <w:rPr>
                <w:sz w:val="24"/>
                <w:szCs w:val="24"/>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The Progenics Acquisition, including his critical role in the diligence process.</w:t>
            </w:r>
          </w:p>
        </w:tc>
      </w:tr>
      <w:tr>
        <w:trPr>
          <w:trHeight w:val="283"/>
        </w:trPr>
        <w:tc>
          <w:tcPr>
            <w:tcW w:w="2000" w:type="dxa"/>
            <w:vAlign w:val="bottom"/>
            <w:tcBorders>
              <w:left w:val="single" w:sz="8" w:color="A0DBF9"/>
              <w:right w:val="single" w:sz="8" w:color="A0DBF9"/>
            </w:tcBorders>
            <w:shd w:val="clear" w:color="auto" w:fill="E2F4FC"/>
          </w:tcPr>
          <w:p>
            <w:pPr>
              <w:spacing w:after="0"/>
              <w:rPr>
                <w:sz w:val="24"/>
                <w:szCs w:val="24"/>
                <w:color w:val="auto"/>
              </w:rPr>
            </w:pPr>
          </w:p>
        </w:tc>
        <w:tc>
          <w:tcPr>
            <w:tcW w:w="1560" w:type="dxa"/>
            <w:vAlign w:val="bottom"/>
            <w:tcBorders>
              <w:right w:val="single" w:sz="8" w:color="A0DBF9"/>
            </w:tcBorders>
            <w:shd w:val="clear" w:color="auto" w:fill="E2F4FC"/>
          </w:tcPr>
          <w:p>
            <w:pPr>
              <w:spacing w:after="0"/>
              <w:rPr>
                <w:sz w:val="24"/>
                <w:szCs w:val="24"/>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4"/>
              </w:rPr>
              <w:t>•  Mitigating the chronic supply shortage for a key product by collaborating with channel partners</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throughout the year.</w:t>
            </w:r>
          </w:p>
        </w:tc>
      </w:tr>
      <w:tr>
        <w:trPr>
          <w:trHeight w:val="135"/>
        </w:trPr>
        <w:tc>
          <w:tcPr>
            <w:tcW w:w="2000" w:type="dxa"/>
            <w:vAlign w:val="bottom"/>
            <w:tcBorders>
              <w:left w:val="single" w:sz="8" w:color="A0DBF9"/>
              <w:bottom w:val="single" w:sz="8" w:color="A0DBF9"/>
              <w:right w:val="single" w:sz="8" w:color="A0DBF9"/>
            </w:tcBorders>
            <w:shd w:val="clear" w:color="auto" w:fill="E2F4FC"/>
          </w:tcPr>
          <w:p>
            <w:pPr>
              <w:spacing w:after="0"/>
              <w:rPr>
                <w:sz w:val="11"/>
                <w:szCs w:val="11"/>
                <w:color w:val="auto"/>
              </w:rPr>
            </w:pPr>
          </w:p>
        </w:tc>
        <w:tc>
          <w:tcPr>
            <w:tcW w:w="1560" w:type="dxa"/>
            <w:vAlign w:val="bottom"/>
            <w:tcBorders>
              <w:bottom w:val="single" w:sz="8" w:color="A0DBF9"/>
              <w:right w:val="single" w:sz="8" w:color="A0DBF9"/>
            </w:tcBorders>
            <w:shd w:val="clear" w:color="auto" w:fill="E2F4FC"/>
          </w:tcPr>
          <w:p>
            <w:pPr>
              <w:spacing w:after="0"/>
              <w:rPr>
                <w:sz w:val="11"/>
                <w:szCs w:val="11"/>
                <w:color w:val="auto"/>
              </w:rPr>
            </w:pPr>
          </w:p>
        </w:tc>
        <w:tc>
          <w:tcPr>
            <w:tcW w:w="7480" w:type="dxa"/>
            <w:vAlign w:val="bottom"/>
            <w:tcBorders>
              <w:bottom w:val="single" w:sz="8" w:color="A0DBF9"/>
              <w:right w:val="single" w:sz="8" w:color="A0DBF9"/>
            </w:tcBorders>
            <w:shd w:val="clear" w:color="auto" w:fill="E2F4FC"/>
          </w:tcPr>
          <w:p>
            <w:pPr>
              <w:spacing w:after="0"/>
              <w:rPr>
                <w:sz w:val="11"/>
                <w:szCs w:val="11"/>
                <w:color w:val="auto"/>
              </w:rPr>
            </w:pPr>
          </w:p>
        </w:tc>
      </w:tr>
      <w:tr>
        <w:trPr>
          <w:trHeight w:val="358"/>
        </w:trPr>
        <w:tc>
          <w:tcPr>
            <w:tcW w:w="20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480" w:type="dxa"/>
            <w:vAlign w:val="bottom"/>
          </w:tcPr>
          <w:p>
            <w:pPr>
              <w:ind w:left="1860"/>
              <w:spacing w:after="0"/>
              <w:rPr>
                <w:sz w:val="20"/>
                <w:szCs w:val="20"/>
                <w:color w:val="auto"/>
              </w:rPr>
            </w:pPr>
            <w:r>
              <w:rPr>
                <w:rFonts w:ascii="Arial" w:cs="Arial" w:eastAsia="Arial" w:hAnsi="Arial"/>
                <w:sz w:val="18"/>
                <w:szCs w:val="18"/>
                <w:color w:val="auto"/>
              </w:rPr>
              <w:t>39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-4636770</wp:posOffset>
            </wp:positionV>
            <wp:extent cx="8890" cy="342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ectPr>
          <w:pgSz w:w="11900" w:h="16838" w:orient="portrait"/>
          <w:cols w:equalWidth="0" w:num="1">
            <w:col w:w="11140"/>
          </w:cols>
          <w:pgMar w:left="320" w:top="459" w:right="4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2000" w:type="dxa"/>
            <w:vAlign w:val="bottom"/>
            <w:tcBorders>
              <w:left w:val="single" w:sz="8" w:color="5EB5FC"/>
              <w:right w:val="single" w:sz="8" w:color="5EB5FC"/>
            </w:tcBorders>
            <w:shd w:val="clear" w:color="auto" w:fill="5EB5FC"/>
          </w:tcPr>
          <w:p>
            <w:pPr>
              <w:spacing w:after="0"/>
              <w:rPr>
                <w:sz w:val="15"/>
                <w:szCs w:val="15"/>
                <w:color w:val="auto"/>
              </w:rPr>
            </w:pPr>
          </w:p>
        </w:tc>
        <w:tc>
          <w:tcPr>
            <w:tcW w:w="156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7"/>
              </w:rPr>
              <w:t>Individual</w:t>
            </w:r>
          </w:p>
        </w:tc>
        <w:tc>
          <w:tcPr>
            <w:tcW w:w="7480" w:type="dxa"/>
            <w:vAlign w:val="bottom"/>
            <w:tcBorders>
              <w:right w:val="single" w:sz="8" w:color="5EB5FC"/>
            </w:tcBorders>
            <w:shd w:val="clear" w:color="auto" w:fill="5EB5FC"/>
          </w:tcPr>
          <w:p>
            <w:pPr>
              <w:spacing w:after="0"/>
              <w:rPr>
                <w:sz w:val="15"/>
                <w:szCs w:val="15"/>
                <w:color w:val="auto"/>
              </w:rPr>
            </w:pPr>
          </w:p>
        </w:tc>
      </w:tr>
      <w:tr>
        <w:trPr>
          <w:trHeight w:val="148"/>
        </w:trPr>
        <w:tc>
          <w:tcPr>
            <w:tcW w:w="2000" w:type="dxa"/>
            <w:vAlign w:val="bottom"/>
            <w:tcBorders>
              <w:left w:val="single" w:sz="8" w:color="5EB5FC"/>
              <w:right w:val="single" w:sz="8" w:color="5EB5FC"/>
            </w:tcBorders>
            <w:shd w:val="clear" w:color="auto" w:fill="5EB5FC"/>
          </w:tcPr>
          <w:p>
            <w:pPr>
              <w:spacing w:after="0"/>
              <w:rPr>
                <w:sz w:val="12"/>
                <w:szCs w:val="12"/>
                <w:color w:val="auto"/>
              </w:rPr>
            </w:pPr>
          </w:p>
        </w:tc>
        <w:tc>
          <w:tcPr>
            <w:tcW w:w="1560" w:type="dxa"/>
            <w:vAlign w:val="bottom"/>
            <w:tcBorders>
              <w:right w:val="single" w:sz="8" w:color="5EB5FC"/>
            </w:tcBorders>
            <w:shd w:val="clear" w:color="auto" w:fill="5EB5FC"/>
          </w:tcPr>
          <w:p>
            <w:pPr>
              <w:jc w:val="center"/>
              <w:ind w:left="1"/>
              <w:spacing w:after="0" w:line="149" w:lineRule="exact"/>
              <w:rPr>
                <w:sz w:val="20"/>
                <w:szCs w:val="20"/>
                <w:color w:val="auto"/>
              </w:rPr>
            </w:pPr>
            <w:r>
              <w:rPr>
                <w:rFonts w:ascii="Arial" w:cs="Arial" w:eastAsia="Arial" w:hAnsi="Arial"/>
                <w:sz w:val="14"/>
                <w:szCs w:val="14"/>
                <w:b w:val="1"/>
                <w:bCs w:val="1"/>
                <w:color w:val="FFFFFF"/>
                <w:w w:val="93"/>
              </w:rPr>
              <w:t>Performance</w:t>
            </w:r>
          </w:p>
        </w:tc>
        <w:tc>
          <w:tcPr>
            <w:tcW w:w="7480" w:type="dxa"/>
            <w:vAlign w:val="bottom"/>
            <w:tcBorders>
              <w:right w:val="single" w:sz="8" w:color="5EB5FC"/>
            </w:tcBorders>
            <w:shd w:val="clear" w:color="auto" w:fill="5EB5FC"/>
          </w:tcPr>
          <w:p>
            <w:pPr>
              <w:spacing w:after="0"/>
              <w:rPr>
                <w:sz w:val="12"/>
                <w:szCs w:val="12"/>
                <w:color w:val="auto"/>
              </w:rPr>
            </w:pPr>
          </w:p>
        </w:tc>
      </w:tr>
      <w:tr>
        <w:trPr>
          <w:trHeight w:val="200"/>
        </w:trPr>
        <w:tc>
          <w:tcPr>
            <w:tcW w:w="2000" w:type="dxa"/>
            <w:vAlign w:val="bottom"/>
            <w:tcBorders>
              <w:left w:val="single" w:sz="8" w:color="5EB5FC"/>
              <w:right w:val="single" w:sz="8" w:color="5EB5FC"/>
            </w:tcBorders>
            <w:shd w:val="clear" w:color="auto" w:fill="5EB5FC"/>
          </w:tcPr>
          <w:p>
            <w:pPr>
              <w:ind w:left="920"/>
              <w:spacing w:after="0"/>
              <w:rPr>
                <w:sz w:val="20"/>
                <w:szCs w:val="20"/>
                <w:color w:val="auto"/>
              </w:rPr>
            </w:pPr>
            <w:r>
              <w:rPr>
                <w:rFonts w:ascii="Arial" w:cs="Arial" w:eastAsia="Arial" w:hAnsi="Arial"/>
                <w:sz w:val="14"/>
                <w:szCs w:val="14"/>
                <w:b w:val="1"/>
                <w:bCs w:val="1"/>
                <w:color w:val="FFFFFF"/>
              </w:rPr>
              <w:t>NEO</w:t>
            </w:r>
          </w:p>
        </w:tc>
        <w:tc>
          <w:tcPr>
            <w:tcW w:w="156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3"/>
              </w:rPr>
              <w:t>Factor</w:t>
            </w:r>
          </w:p>
        </w:tc>
        <w:tc>
          <w:tcPr>
            <w:tcW w:w="7480" w:type="dxa"/>
            <w:vAlign w:val="bottom"/>
            <w:tcBorders>
              <w:right w:val="single" w:sz="8" w:color="5EB5FC"/>
            </w:tcBorders>
            <w:shd w:val="clear" w:color="auto" w:fill="5EB5FC"/>
          </w:tcPr>
          <w:p>
            <w:pPr>
              <w:ind w:left="2120"/>
              <w:spacing w:after="0"/>
              <w:rPr>
                <w:sz w:val="20"/>
                <w:szCs w:val="20"/>
                <w:color w:val="auto"/>
              </w:rPr>
            </w:pPr>
            <w:r>
              <w:rPr>
                <w:rFonts w:ascii="Arial" w:cs="Arial" w:eastAsia="Arial" w:hAnsi="Arial"/>
                <w:sz w:val="14"/>
                <w:szCs w:val="14"/>
                <w:b w:val="1"/>
                <w:bCs w:val="1"/>
                <w:color w:val="FFFFFF"/>
              </w:rPr>
              <w:t>Compensation Committee-Recognized Achievements</w:t>
            </w:r>
          </w:p>
        </w:tc>
      </w:tr>
      <w:tr>
        <w:trPr>
          <w:trHeight w:val="93"/>
        </w:trPr>
        <w:tc>
          <w:tcPr>
            <w:tcW w:w="2000" w:type="dxa"/>
            <w:vAlign w:val="bottom"/>
            <w:tcBorders>
              <w:left w:val="single" w:sz="8" w:color="5EB5FC"/>
              <w:right w:val="single" w:sz="8" w:color="5EB5FC"/>
            </w:tcBorders>
            <w:shd w:val="clear" w:color="auto" w:fill="5EB5FC"/>
          </w:tcPr>
          <w:p>
            <w:pPr>
              <w:spacing w:after="0"/>
              <w:rPr>
                <w:sz w:val="8"/>
                <w:szCs w:val="8"/>
                <w:color w:val="auto"/>
              </w:rPr>
            </w:pPr>
          </w:p>
        </w:tc>
        <w:tc>
          <w:tcPr>
            <w:tcW w:w="1560" w:type="dxa"/>
            <w:vAlign w:val="bottom"/>
            <w:tcBorders>
              <w:right w:val="single" w:sz="8" w:color="5EB5FC"/>
            </w:tcBorders>
            <w:shd w:val="clear" w:color="auto" w:fill="5EB5FC"/>
          </w:tcPr>
          <w:p>
            <w:pPr>
              <w:spacing w:after="0"/>
              <w:rPr>
                <w:sz w:val="8"/>
                <w:szCs w:val="8"/>
                <w:color w:val="auto"/>
              </w:rPr>
            </w:pPr>
          </w:p>
        </w:tc>
        <w:tc>
          <w:tcPr>
            <w:tcW w:w="7480" w:type="dxa"/>
            <w:vAlign w:val="bottom"/>
            <w:tcBorders>
              <w:right w:val="single" w:sz="8" w:color="5EB5FC"/>
            </w:tcBorders>
            <w:shd w:val="clear" w:color="auto" w:fill="5EB5FC"/>
          </w:tcPr>
          <w:p>
            <w:pPr>
              <w:spacing w:after="0"/>
              <w:rPr>
                <w:sz w:val="8"/>
                <w:szCs w:val="8"/>
                <w:color w:val="auto"/>
              </w:rPr>
            </w:pPr>
          </w:p>
        </w:tc>
      </w:tr>
      <w:tr>
        <w:trPr>
          <w:trHeight w:val="242"/>
        </w:trPr>
        <w:tc>
          <w:tcPr>
            <w:tcW w:w="200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15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100%</w:t>
            </w: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8"/>
              </w:rPr>
              <w:t>•  Successfully overseeing use of outside counsel to arbitrate a dispute with Pharmalucence,</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resulting in a significant financial settlement.</w:t>
            </w:r>
          </w:p>
        </w:tc>
      </w:tr>
      <w:tr>
        <w:trPr>
          <w:trHeight w:val="242"/>
        </w:trPr>
        <w:tc>
          <w:tcPr>
            <w:tcW w:w="2000" w:type="dxa"/>
            <w:vAlign w:val="bottom"/>
            <w:tcBorders>
              <w:left w:val="single" w:sz="8" w:color="A0DBF9"/>
              <w:right w:val="single" w:sz="8" w:color="A0DBF9"/>
            </w:tcBorders>
          </w:tcPr>
          <w:p>
            <w:pPr>
              <w:spacing w:after="0"/>
              <w:rPr>
                <w:sz w:val="21"/>
                <w:szCs w:val="21"/>
                <w:color w:val="auto"/>
              </w:rPr>
            </w:pPr>
          </w:p>
        </w:tc>
        <w:tc>
          <w:tcPr>
            <w:tcW w:w="1560" w:type="dxa"/>
            <w:vAlign w:val="bottom"/>
            <w:tcBorders>
              <w:right w:val="single" w:sz="8" w:color="A0DBF9"/>
            </w:tcBorders>
          </w:tcPr>
          <w:p>
            <w:pPr>
              <w:spacing w:after="0"/>
              <w:rPr>
                <w:sz w:val="21"/>
                <w:szCs w:val="21"/>
                <w:color w:val="auto"/>
              </w:rPr>
            </w:pP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5"/>
              </w:rPr>
              <w:t>•  Ensuring all necessary actions were completed to meet legal requirements relating to our new</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status as a Large Accelerated Filer under SEC rules.</w:t>
            </w:r>
          </w:p>
        </w:tc>
      </w:tr>
      <w:tr>
        <w:trPr>
          <w:trHeight w:val="242"/>
        </w:trPr>
        <w:tc>
          <w:tcPr>
            <w:tcW w:w="2000" w:type="dxa"/>
            <w:vAlign w:val="bottom"/>
            <w:tcBorders>
              <w:left w:val="single" w:sz="8" w:color="A0DBF9"/>
              <w:right w:val="single" w:sz="8" w:color="A0DBF9"/>
            </w:tcBorders>
          </w:tcPr>
          <w:p>
            <w:pPr>
              <w:spacing w:after="0"/>
              <w:rPr>
                <w:sz w:val="21"/>
                <w:szCs w:val="21"/>
                <w:color w:val="auto"/>
              </w:rPr>
            </w:pPr>
          </w:p>
        </w:tc>
        <w:tc>
          <w:tcPr>
            <w:tcW w:w="1560" w:type="dxa"/>
            <w:vAlign w:val="bottom"/>
            <w:tcBorders>
              <w:right w:val="single" w:sz="8" w:color="A0DBF9"/>
            </w:tcBorders>
          </w:tcPr>
          <w:p>
            <w:pPr>
              <w:spacing w:after="0"/>
              <w:rPr>
                <w:sz w:val="21"/>
                <w:szCs w:val="21"/>
                <w:color w:val="auto"/>
              </w:rPr>
            </w:pP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rPr>
              <w:t>•  Representing our legal interests in the complicated negotiations related to the Progenics</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Acquisition.</w:t>
            </w:r>
          </w:p>
        </w:tc>
      </w:tr>
      <w:tr>
        <w:trPr>
          <w:trHeight w:val="242"/>
        </w:trPr>
        <w:tc>
          <w:tcPr>
            <w:tcW w:w="2000" w:type="dxa"/>
            <w:vAlign w:val="bottom"/>
            <w:tcBorders>
              <w:left w:val="single" w:sz="8" w:color="A0DBF9"/>
              <w:right w:val="single" w:sz="8" w:color="A0DBF9"/>
            </w:tcBorders>
          </w:tcPr>
          <w:p>
            <w:pPr>
              <w:spacing w:after="0"/>
              <w:rPr>
                <w:sz w:val="21"/>
                <w:szCs w:val="21"/>
                <w:color w:val="auto"/>
              </w:rPr>
            </w:pPr>
          </w:p>
        </w:tc>
        <w:tc>
          <w:tcPr>
            <w:tcW w:w="1560" w:type="dxa"/>
            <w:vAlign w:val="bottom"/>
            <w:tcBorders>
              <w:right w:val="single" w:sz="8" w:color="A0DBF9"/>
            </w:tcBorders>
          </w:tcPr>
          <w:p>
            <w:pPr>
              <w:spacing w:after="0"/>
              <w:rPr>
                <w:sz w:val="21"/>
                <w:szCs w:val="21"/>
                <w:color w:val="auto"/>
              </w:rPr>
            </w:pPr>
          </w:p>
        </w:tc>
        <w:tc>
          <w:tcPr>
            <w:tcW w:w="7480" w:type="dxa"/>
            <w:vAlign w:val="bottom"/>
            <w:tcBorders>
              <w:right w:val="single" w:sz="8" w:color="A0DBF9"/>
            </w:tcBorders>
          </w:tcPr>
          <w:p>
            <w:pPr>
              <w:ind w:left="180"/>
              <w:spacing w:after="0"/>
              <w:rPr>
                <w:sz w:val="20"/>
                <w:szCs w:val="20"/>
                <w:color w:val="auto"/>
              </w:rPr>
            </w:pPr>
            <w:r>
              <w:rPr>
                <w:rFonts w:ascii="Arial" w:cs="Arial" w:eastAsia="Arial" w:hAnsi="Arial"/>
                <w:sz w:val="18"/>
                <w:szCs w:val="18"/>
                <w:color w:val="auto"/>
                <w:w w:val="93"/>
              </w:rPr>
              <w:t>•  Acting as primary legal role in the negotiation of the Cerevast Medical, CarThera and Nanomab</w:t>
            </w:r>
          </w:p>
        </w:tc>
      </w:tr>
      <w:tr>
        <w:trPr>
          <w:trHeight w:val="230"/>
        </w:trPr>
        <w:tc>
          <w:tcPr>
            <w:tcW w:w="2000" w:type="dxa"/>
            <w:vAlign w:val="bottom"/>
            <w:tcBorders>
              <w:left w:val="single" w:sz="8" w:color="A0DBF9"/>
              <w:right w:val="single" w:sz="8" w:color="A0DBF9"/>
            </w:tcBorders>
          </w:tcPr>
          <w:p>
            <w:pPr>
              <w:spacing w:after="0"/>
              <w:rPr>
                <w:sz w:val="20"/>
                <w:szCs w:val="20"/>
                <w:color w:val="auto"/>
              </w:rPr>
            </w:pPr>
          </w:p>
        </w:tc>
        <w:tc>
          <w:tcPr>
            <w:tcW w:w="1560" w:type="dxa"/>
            <w:vAlign w:val="bottom"/>
            <w:tcBorders>
              <w:right w:val="single" w:sz="8" w:color="A0DBF9"/>
            </w:tcBorders>
          </w:tcPr>
          <w:p>
            <w:pPr>
              <w:spacing w:after="0"/>
              <w:rPr>
                <w:sz w:val="20"/>
                <w:szCs w:val="20"/>
                <w:color w:val="auto"/>
              </w:rPr>
            </w:pPr>
          </w:p>
        </w:tc>
        <w:tc>
          <w:tcPr>
            <w:tcW w:w="7480" w:type="dxa"/>
            <w:vAlign w:val="bottom"/>
            <w:tcBorders>
              <w:right w:val="single" w:sz="8" w:color="A0DBF9"/>
            </w:tcBorders>
          </w:tcPr>
          <w:p>
            <w:pPr>
              <w:ind w:left="440"/>
              <w:spacing w:after="0"/>
              <w:rPr>
                <w:sz w:val="20"/>
                <w:szCs w:val="20"/>
                <w:color w:val="auto"/>
              </w:rPr>
            </w:pPr>
            <w:r>
              <w:rPr>
                <w:rFonts w:ascii="Arial" w:cs="Arial" w:eastAsia="Arial" w:hAnsi="Arial"/>
                <w:sz w:val="18"/>
                <w:szCs w:val="18"/>
                <w:color w:val="auto"/>
              </w:rPr>
              <w:t>transactions.</w:t>
            </w:r>
          </w:p>
        </w:tc>
      </w:tr>
      <w:tr>
        <w:trPr>
          <w:trHeight w:val="135"/>
        </w:trPr>
        <w:tc>
          <w:tcPr>
            <w:tcW w:w="2000" w:type="dxa"/>
            <w:vAlign w:val="bottom"/>
            <w:tcBorders>
              <w:left w:val="single" w:sz="8" w:color="A0DBF9"/>
              <w:bottom w:val="single" w:sz="8" w:color="A0DBF9"/>
              <w:right w:val="single" w:sz="8" w:color="A0DBF9"/>
            </w:tcBorders>
          </w:tcPr>
          <w:p>
            <w:pPr>
              <w:spacing w:after="0"/>
              <w:rPr>
                <w:sz w:val="11"/>
                <w:szCs w:val="11"/>
                <w:color w:val="auto"/>
              </w:rPr>
            </w:pPr>
          </w:p>
        </w:tc>
        <w:tc>
          <w:tcPr>
            <w:tcW w:w="1560" w:type="dxa"/>
            <w:vAlign w:val="bottom"/>
            <w:tcBorders>
              <w:bottom w:val="single" w:sz="8" w:color="A0DBF9"/>
              <w:right w:val="single" w:sz="8" w:color="A0DBF9"/>
            </w:tcBorders>
          </w:tcPr>
          <w:p>
            <w:pPr>
              <w:spacing w:after="0"/>
              <w:rPr>
                <w:sz w:val="11"/>
                <w:szCs w:val="11"/>
                <w:color w:val="auto"/>
              </w:rPr>
            </w:pPr>
          </w:p>
        </w:tc>
        <w:tc>
          <w:tcPr>
            <w:tcW w:w="7480" w:type="dxa"/>
            <w:vAlign w:val="bottom"/>
            <w:tcBorders>
              <w:bottom w:val="single" w:sz="8" w:color="A0DBF9"/>
              <w:right w:val="single" w:sz="8" w:color="A0DBF9"/>
            </w:tcBorders>
          </w:tcPr>
          <w:p>
            <w:pPr>
              <w:spacing w:after="0"/>
              <w:rPr>
                <w:sz w:val="11"/>
                <w:szCs w:val="11"/>
                <w:color w:val="auto"/>
              </w:rPr>
            </w:pPr>
          </w:p>
        </w:tc>
      </w:tr>
      <w:tr>
        <w:trPr>
          <w:trHeight w:val="232"/>
        </w:trPr>
        <w:tc>
          <w:tcPr>
            <w:tcW w:w="20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w:t>
            </w:r>
          </w:p>
        </w:tc>
        <w:tc>
          <w:tcPr>
            <w:tcW w:w="15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100%</w:t>
            </w: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2"/>
              </w:rPr>
              <w:t>•  Successfully identifying and prosecuting three additional patents for our lead revenue-generating</w:t>
            </w:r>
          </w:p>
        </w:tc>
      </w:tr>
      <w:tr>
        <w:trPr>
          <w:trHeight w:val="234"/>
        </w:trPr>
        <w:tc>
          <w:tcPr>
            <w:tcW w:w="20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Ph.D.</w:t>
            </w: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product, DEFINITY.</w:t>
            </w:r>
          </w:p>
        </w:tc>
      </w:tr>
      <w:tr>
        <w:trPr>
          <w:trHeight w:val="242"/>
        </w:trPr>
        <w:tc>
          <w:tcPr>
            <w:tcW w:w="2000" w:type="dxa"/>
            <w:vAlign w:val="bottom"/>
            <w:tcBorders>
              <w:left w:val="single" w:sz="8" w:color="A0DBF9"/>
              <w:right w:val="single" w:sz="8" w:color="A0DBF9"/>
            </w:tcBorders>
            <w:shd w:val="clear" w:color="auto" w:fill="E2F4FC"/>
          </w:tcPr>
          <w:p>
            <w:pPr>
              <w:spacing w:after="0"/>
              <w:rPr>
                <w:sz w:val="21"/>
                <w:szCs w:val="21"/>
                <w:color w:val="auto"/>
              </w:rPr>
            </w:pPr>
          </w:p>
        </w:tc>
        <w:tc>
          <w:tcPr>
            <w:tcW w:w="1560" w:type="dxa"/>
            <w:vAlign w:val="bottom"/>
            <w:tcBorders>
              <w:right w:val="single" w:sz="8" w:color="A0DBF9"/>
            </w:tcBorders>
            <w:shd w:val="clear" w:color="auto" w:fill="E2F4FC"/>
          </w:tcPr>
          <w:p>
            <w:pPr>
              <w:spacing w:after="0"/>
              <w:rPr>
                <w:sz w:val="21"/>
                <w:szCs w:val="21"/>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6"/>
              </w:rPr>
              <w:t>•  Key contributions to the advancement in the LMI-1195 clinical development program with the</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qualification of the first PET manufacturing facility.</w:t>
            </w:r>
          </w:p>
        </w:tc>
      </w:tr>
      <w:tr>
        <w:trPr>
          <w:trHeight w:val="242"/>
        </w:trPr>
        <w:tc>
          <w:tcPr>
            <w:tcW w:w="2000" w:type="dxa"/>
            <w:vAlign w:val="bottom"/>
            <w:tcBorders>
              <w:left w:val="single" w:sz="8" w:color="A0DBF9"/>
              <w:right w:val="single" w:sz="8" w:color="A0DBF9"/>
            </w:tcBorders>
            <w:shd w:val="clear" w:color="auto" w:fill="E2F4FC"/>
          </w:tcPr>
          <w:p>
            <w:pPr>
              <w:spacing w:after="0"/>
              <w:rPr>
                <w:sz w:val="21"/>
                <w:szCs w:val="21"/>
                <w:color w:val="auto"/>
              </w:rPr>
            </w:pPr>
          </w:p>
        </w:tc>
        <w:tc>
          <w:tcPr>
            <w:tcW w:w="1560" w:type="dxa"/>
            <w:vAlign w:val="bottom"/>
            <w:tcBorders>
              <w:right w:val="single" w:sz="8" w:color="A0DBF9"/>
            </w:tcBorders>
            <w:shd w:val="clear" w:color="auto" w:fill="E2F4FC"/>
          </w:tcPr>
          <w:p>
            <w:pPr>
              <w:spacing w:after="0"/>
              <w:rPr>
                <w:sz w:val="21"/>
                <w:szCs w:val="21"/>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w w:val="94"/>
              </w:rPr>
              <w:t>•  The successful transition of Dr. Orlandi’s duties following his departure, including by assuming</w:t>
            </w:r>
          </w:p>
        </w:tc>
      </w:tr>
      <w:tr>
        <w:trPr>
          <w:trHeight w:val="230"/>
        </w:trPr>
        <w:tc>
          <w:tcPr>
            <w:tcW w:w="2000" w:type="dxa"/>
            <w:vAlign w:val="bottom"/>
            <w:tcBorders>
              <w:left w:val="single" w:sz="8" w:color="A0DBF9"/>
              <w:right w:val="single" w:sz="8" w:color="A0DBF9"/>
            </w:tcBorders>
            <w:shd w:val="clear" w:color="auto" w:fill="E2F4FC"/>
          </w:tcPr>
          <w:p>
            <w:pPr>
              <w:spacing w:after="0"/>
              <w:rPr>
                <w:sz w:val="20"/>
                <w:szCs w:val="20"/>
                <w:color w:val="auto"/>
              </w:rPr>
            </w:pPr>
          </w:p>
        </w:tc>
        <w:tc>
          <w:tcPr>
            <w:tcW w:w="1560" w:type="dxa"/>
            <w:vAlign w:val="bottom"/>
            <w:tcBorders>
              <w:right w:val="single" w:sz="8" w:color="A0DBF9"/>
            </w:tcBorders>
            <w:shd w:val="clear" w:color="auto" w:fill="E2F4FC"/>
          </w:tcPr>
          <w:p>
            <w:pPr>
              <w:spacing w:after="0"/>
              <w:rPr>
                <w:sz w:val="20"/>
                <w:szCs w:val="20"/>
                <w:color w:val="auto"/>
              </w:rPr>
            </w:pPr>
          </w:p>
        </w:tc>
        <w:tc>
          <w:tcPr>
            <w:tcW w:w="7480" w:type="dxa"/>
            <w:vAlign w:val="bottom"/>
            <w:tcBorders>
              <w:right w:val="single" w:sz="8" w:color="A0DBF9"/>
            </w:tcBorders>
            <w:shd w:val="clear" w:color="auto" w:fill="E2F4FC"/>
          </w:tcPr>
          <w:p>
            <w:pPr>
              <w:ind w:left="440"/>
              <w:spacing w:after="0"/>
              <w:rPr>
                <w:sz w:val="20"/>
                <w:szCs w:val="20"/>
                <w:color w:val="auto"/>
              </w:rPr>
            </w:pPr>
            <w:r>
              <w:rPr>
                <w:rFonts w:ascii="Arial" w:cs="Arial" w:eastAsia="Arial" w:hAnsi="Arial"/>
                <w:sz w:val="18"/>
                <w:szCs w:val="18"/>
                <w:color w:val="auto"/>
              </w:rPr>
              <w:t>additional responsibility for Chief Medical Officer-related functions.</w:t>
            </w:r>
          </w:p>
        </w:tc>
      </w:tr>
      <w:tr>
        <w:trPr>
          <w:trHeight w:val="257"/>
        </w:trPr>
        <w:tc>
          <w:tcPr>
            <w:tcW w:w="2000" w:type="dxa"/>
            <w:vAlign w:val="bottom"/>
            <w:tcBorders>
              <w:left w:val="single" w:sz="8" w:color="A0DBF9"/>
              <w:right w:val="single" w:sz="8" w:color="A0DBF9"/>
            </w:tcBorders>
            <w:shd w:val="clear" w:color="auto" w:fill="E2F4FC"/>
          </w:tcPr>
          <w:p>
            <w:pPr>
              <w:spacing w:after="0"/>
              <w:rPr>
                <w:sz w:val="22"/>
                <w:szCs w:val="22"/>
                <w:color w:val="auto"/>
              </w:rPr>
            </w:pPr>
          </w:p>
        </w:tc>
        <w:tc>
          <w:tcPr>
            <w:tcW w:w="1560" w:type="dxa"/>
            <w:vAlign w:val="bottom"/>
            <w:tcBorders>
              <w:right w:val="single" w:sz="8" w:color="A0DBF9"/>
            </w:tcBorders>
            <w:shd w:val="clear" w:color="auto" w:fill="E2F4FC"/>
          </w:tcPr>
          <w:p>
            <w:pPr>
              <w:spacing w:after="0"/>
              <w:rPr>
                <w:sz w:val="22"/>
                <w:szCs w:val="22"/>
                <w:color w:val="auto"/>
              </w:rPr>
            </w:pPr>
          </w:p>
        </w:tc>
        <w:tc>
          <w:tcPr>
            <w:tcW w:w="7480" w:type="dxa"/>
            <w:vAlign w:val="bottom"/>
            <w:tcBorders>
              <w:right w:val="single" w:sz="8" w:color="A0DBF9"/>
            </w:tcBorders>
            <w:shd w:val="clear" w:color="auto" w:fill="E2F4FC"/>
          </w:tcPr>
          <w:p>
            <w:pPr>
              <w:ind w:left="180"/>
              <w:spacing w:after="0"/>
              <w:rPr>
                <w:sz w:val="20"/>
                <w:szCs w:val="20"/>
                <w:color w:val="auto"/>
              </w:rPr>
            </w:pPr>
            <w:r>
              <w:rPr>
                <w:rFonts w:ascii="Arial" w:cs="Arial" w:eastAsia="Arial" w:hAnsi="Arial"/>
                <w:sz w:val="18"/>
                <w:szCs w:val="18"/>
                <w:color w:val="auto"/>
              </w:rPr>
              <w:t>•  The Progenics Acquisition, including his significant contributions in the diligence process.</w:t>
            </w:r>
          </w:p>
        </w:tc>
      </w:tr>
      <w:tr>
        <w:trPr>
          <w:trHeight w:val="135"/>
        </w:trPr>
        <w:tc>
          <w:tcPr>
            <w:tcW w:w="2000" w:type="dxa"/>
            <w:vAlign w:val="bottom"/>
            <w:tcBorders>
              <w:left w:val="single" w:sz="8" w:color="A0DBF9"/>
              <w:bottom w:val="single" w:sz="8" w:color="A0DBF9"/>
              <w:right w:val="single" w:sz="8" w:color="A0DBF9"/>
            </w:tcBorders>
            <w:shd w:val="clear" w:color="auto" w:fill="E2F4FC"/>
          </w:tcPr>
          <w:p>
            <w:pPr>
              <w:spacing w:after="0"/>
              <w:rPr>
                <w:sz w:val="11"/>
                <w:szCs w:val="11"/>
                <w:color w:val="auto"/>
              </w:rPr>
            </w:pPr>
          </w:p>
        </w:tc>
        <w:tc>
          <w:tcPr>
            <w:tcW w:w="1560" w:type="dxa"/>
            <w:vAlign w:val="bottom"/>
            <w:tcBorders>
              <w:bottom w:val="single" w:sz="8" w:color="A0DBF9"/>
              <w:right w:val="single" w:sz="8" w:color="A0DBF9"/>
            </w:tcBorders>
            <w:shd w:val="clear" w:color="auto" w:fill="E2F4FC"/>
          </w:tcPr>
          <w:p>
            <w:pPr>
              <w:spacing w:after="0"/>
              <w:rPr>
                <w:sz w:val="11"/>
                <w:szCs w:val="11"/>
                <w:color w:val="auto"/>
              </w:rPr>
            </w:pPr>
          </w:p>
        </w:tc>
        <w:tc>
          <w:tcPr>
            <w:tcW w:w="7480" w:type="dxa"/>
            <w:vAlign w:val="bottom"/>
            <w:tcBorders>
              <w:bottom w:val="single" w:sz="8" w:color="A0DBF9"/>
              <w:right w:val="single" w:sz="8" w:color="A0DBF9"/>
            </w:tcBorders>
            <w:shd w:val="clear" w:color="auto" w:fill="E2F4FC"/>
          </w:tcPr>
          <w:p>
            <w:pPr>
              <w:spacing w:after="0"/>
              <w:rPr>
                <w:sz w:val="11"/>
                <w:szCs w:val="11"/>
                <w:color w:val="auto"/>
              </w:rPr>
            </w:pPr>
          </w:p>
        </w:tc>
      </w:tr>
    </w:tbl>
    <w:p>
      <w:pPr>
        <w:spacing w:after="0" w:line="310"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Final Payouts under the 2019 Executive Bonus Plan</w:t>
      </w:r>
    </w:p>
    <w:p>
      <w:pPr>
        <w:spacing w:after="0" w:line="117" w:lineRule="exact"/>
        <w:rPr>
          <w:sz w:val="20"/>
          <w:szCs w:val="20"/>
          <w:color w:val="auto"/>
        </w:rPr>
      </w:pPr>
    </w:p>
    <w:p>
      <w:pPr>
        <w:ind w:left="560"/>
        <w:spacing w:after="0"/>
        <w:rPr>
          <w:sz w:val="20"/>
          <w:szCs w:val="20"/>
          <w:color w:val="auto"/>
        </w:rPr>
      </w:pPr>
      <w:r>
        <w:rPr>
          <w:rFonts w:ascii="Arial" w:cs="Arial" w:eastAsia="Arial" w:hAnsi="Arial"/>
          <w:sz w:val="18"/>
          <w:szCs w:val="18"/>
          <w:color w:val="auto"/>
        </w:rPr>
        <w:t>Payouts under the 2019 Executive Bonus Plan are as follows:</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2100" w:type="dxa"/>
            <w:vAlign w:val="bottom"/>
            <w:tcBorders>
              <w:left w:val="single" w:sz="8" w:color="5EB5FC"/>
              <w:right w:val="single" w:sz="8" w:color="5EB5FC"/>
            </w:tcBorders>
            <w:shd w:val="clear" w:color="auto" w:fill="5EB5FC"/>
          </w:tcPr>
          <w:p>
            <w:pPr>
              <w:spacing w:after="0"/>
              <w:rPr>
                <w:sz w:val="15"/>
                <w:szCs w:val="15"/>
                <w:color w:val="auto"/>
              </w:rPr>
            </w:pPr>
          </w:p>
        </w:tc>
        <w:tc>
          <w:tcPr>
            <w:tcW w:w="12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2019 Base</w:t>
            </w:r>
          </w:p>
        </w:tc>
        <w:tc>
          <w:tcPr>
            <w:tcW w:w="620" w:type="dxa"/>
            <w:vAlign w:val="bottom"/>
            <w:tcBorders>
              <w:right w:val="single" w:sz="8" w:color="5EB5FC"/>
            </w:tcBorders>
            <w:shd w:val="clear" w:color="auto" w:fill="5EB5FC"/>
          </w:tcPr>
          <w:p>
            <w:pPr>
              <w:spacing w:after="0"/>
              <w:rPr>
                <w:sz w:val="15"/>
                <w:szCs w:val="15"/>
                <w:color w:val="auto"/>
              </w:rPr>
            </w:pPr>
          </w:p>
        </w:tc>
        <w:tc>
          <w:tcPr>
            <w:tcW w:w="1280" w:type="dxa"/>
            <w:vAlign w:val="bottom"/>
            <w:tcBorders>
              <w:right w:val="single" w:sz="8" w:color="5EB5FC"/>
            </w:tcBorders>
            <w:vMerge w:val="restart"/>
            <w:shd w:val="clear" w:color="auto" w:fill="5EB5FC"/>
          </w:tcPr>
          <w:p>
            <w:pPr>
              <w:ind w:left="260"/>
              <w:spacing w:after="0"/>
              <w:rPr>
                <w:sz w:val="20"/>
                <w:szCs w:val="20"/>
                <w:color w:val="auto"/>
              </w:rPr>
            </w:pPr>
            <w:r>
              <w:rPr>
                <w:rFonts w:ascii="Arial" w:cs="Arial" w:eastAsia="Arial" w:hAnsi="Arial"/>
                <w:sz w:val="14"/>
                <w:szCs w:val="14"/>
                <w:b w:val="1"/>
                <w:bCs w:val="1"/>
                <w:color w:val="FFFFFF"/>
              </w:rPr>
              <w:t>Target Bonus</w:t>
            </w:r>
          </w:p>
        </w:tc>
        <w:tc>
          <w:tcPr>
            <w:tcW w:w="620" w:type="dxa"/>
            <w:vAlign w:val="bottom"/>
            <w:tcBorders>
              <w:right w:val="single" w:sz="8" w:color="5EB5FC"/>
            </w:tcBorders>
            <w:shd w:val="clear" w:color="auto" w:fill="5EB5FC"/>
          </w:tcPr>
          <w:p>
            <w:pPr>
              <w:spacing w:after="0"/>
              <w:rPr>
                <w:sz w:val="15"/>
                <w:szCs w:val="15"/>
                <w:color w:val="auto"/>
              </w:rPr>
            </w:pPr>
          </w:p>
        </w:tc>
        <w:tc>
          <w:tcPr>
            <w:tcW w:w="13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Corporate</w:t>
            </w:r>
          </w:p>
        </w:tc>
        <w:tc>
          <w:tcPr>
            <w:tcW w:w="620" w:type="dxa"/>
            <w:vAlign w:val="bottom"/>
            <w:tcBorders>
              <w:right w:val="single" w:sz="8" w:color="5EB5FC"/>
            </w:tcBorders>
            <w:shd w:val="clear" w:color="auto" w:fill="5EB5FC"/>
          </w:tcPr>
          <w:p>
            <w:pPr>
              <w:spacing w:after="0"/>
              <w:rPr>
                <w:sz w:val="15"/>
                <w:szCs w:val="15"/>
                <w:color w:val="auto"/>
              </w:rPr>
            </w:pPr>
          </w:p>
        </w:tc>
        <w:tc>
          <w:tcPr>
            <w:tcW w:w="13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7"/>
              </w:rPr>
              <w:t>Individual</w:t>
            </w:r>
          </w:p>
        </w:tc>
        <w:tc>
          <w:tcPr>
            <w:tcW w:w="640" w:type="dxa"/>
            <w:vAlign w:val="bottom"/>
            <w:tcBorders>
              <w:right w:val="single" w:sz="8" w:color="5EB5FC"/>
            </w:tcBorders>
            <w:shd w:val="clear" w:color="auto" w:fill="5EB5FC"/>
          </w:tcPr>
          <w:p>
            <w:pPr>
              <w:spacing w:after="0"/>
              <w:rPr>
                <w:sz w:val="15"/>
                <w:szCs w:val="15"/>
                <w:color w:val="auto"/>
              </w:rPr>
            </w:pPr>
          </w:p>
        </w:tc>
        <w:tc>
          <w:tcPr>
            <w:tcW w:w="1280" w:type="dxa"/>
            <w:vAlign w:val="bottom"/>
            <w:shd w:val="clear" w:color="auto" w:fill="5EB5FC"/>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4"/>
        </w:trPr>
        <w:tc>
          <w:tcPr>
            <w:tcW w:w="2100" w:type="dxa"/>
            <w:vAlign w:val="bottom"/>
            <w:tcBorders>
              <w:left w:val="single" w:sz="8" w:color="5EB5FC"/>
              <w:right w:val="single" w:sz="8" w:color="5EB5FC"/>
            </w:tcBorders>
            <w:vMerge w:val="restart"/>
            <w:shd w:val="clear" w:color="auto" w:fill="5EB5FC"/>
          </w:tcPr>
          <w:p>
            <w:pPr>
              <w:ind w:left="880"/>
              <w:spacing w:after="0"/>
              <w:rPr>
                <w:sz w:val="20"/>
                <w:szCs w:val="20"/>
                <w:color w:val="auto"/>
              </w:rPr>
            </w:pPr>
            <w:r>
              <w:rPr>
                <w:rFonts w:ascii="Arial" w:cs="Arial" w:eastAsia="Arial" w:hAnsi="Arial"/>
                <w:sz w:val="14"/>
                <w:szCs w:val="14"/>
                <w:b w:val="1"/>
                <w:bCs w:val="1"/>
                <w:color w:val="FFFFFF"/>
              </w:rPr>
              <w:t>NEO</w:t>
            </w:r>
          </w:p>
        </w:tc>
        <w:tc>
          <w:tcPr>
            <w:tcW w:w="1260" w:type="dxa"/>
            <w:vAlign w:val="bottom"/>
            <w:tcBorders>
              <w:right w:val="single" w:sz="8" w:color="5EB5FC"/>
            </w:tcBorders>
            <w:vMerge w:val="continue"/>
            <w:shd w:val="clear" w:color="auto" w:fill="5EB5FC"/>
          </w:tcPr>
          <w:p>
            <w:pPr>
              <w:spacing w:after="0"/>
              <w:rPr>
                <w:sz w:val="12"/>
                <w:szCs w:val="12"/>
                <w:color w:val="auto"/>
              </w:rPr>
            </w:pPr>
          </w:p>
        </w:tc>
        <w:tc>
          <w:tcPr>
            <w:tcW w:w="620" w:type="dxa"/>
            <w:vAlign w:val="bottom"/>
            <w:tcBorders>
              <w:right w:val="single" w:sz="8" w:color="5EB5FC"/>
            </w:tcBorders>
            <w:shd w:val="clear" w:color="auto" w:fill="5EB5FC"/>
          </w:tcPr>
          <w:p>
            <w:pPr>
              <w:spacing w:after="0"/>
              <w:rPr>
                <w:sz w:val="12"/>
                <w:szCs w:val="12"/>
                <w:color w:val="auto"/>
              </w:rPr>
            </w:pPr>
          </w:p>
        </w:tc>
        <w:tc>
          <w:tcPr>
            <w:tcW w:w="1280" w:type="dxa"/>
            <w:vAlign w:val="bottom"/>
            <w:tcBorders>
              <w:right w:val="single" w:sz="8" w:color="5EB5FC"/>
            </w:tcBorders>
            <w:vMerge w:val="continue"/>
            <w:shd w:val="clear" w:color="auto" w:fill="5EB5FC"/>
          </w:tcPr>
          <w:p>
            <w:pPr>
              <w:spacing w:after="0"/>
              <w:rPr>
                <w:sz w:val="12"/>
                <w:szCs w:val="12"/>
                <w:color w:val="auto"/>
              </w:rPr>
            </w:pPr>
          </w:p>
        </w:tc>
        <w:tc>
          <w:tcPr>
            <w:tcW w:w="620" w:type="dxa"/>
            <w:vAlign w:val="bottom"/>
            <w:tcBorders>
              <w:right w:val="single" w:sz="8" w:color="5EB5FC"/>
            </w:tcBorders>
            <w:shd w:val="clear" w:color="auto" w:fill="5EB5FC"/>
          </w:tcPr>
          <w:p>
            <w:pPr>
              <w:spacing w:after="0"/>
              <w:rPr>
                <w:sz w:val="12"/>
                <w:szCs w:val="12"/>
                <w:color w:val="auto"/>
              </w:rPr>
            </w:pPr>
          </w:p>
        </w:tc>
        <w:tc>
          <w:tcPr>
            <w:tcW w:w="1300" w:type="dxa"/>
            <w:vAlign w:val="bottom"/>
            <w:tcBorders>
              <w:right w:val="single" w:sz="8" w:color="5EB5FC"/>
            </w:tcBorders>
            <w:shd w:val="clear" w:color="auto" w:fill="5EB5FC"/>
          </w:tcPr>
          <w:p>
            <w:pPr>
              <w:jc w:val="center"/>
              <w:spacing w:after="0" w:line="145" w:lineRule="exact"/>
              <w:rPr>
                <w:sz w:val="20"/>
                <w:szCs w:val="20"/>
                <w:color w:val="auto"/>
              </w:rPr>
            </w:pPr>
            <w:r>
              <w:rPr>
                <w:rFonts w:ascii="Arial" w:cs="Arial" w:eastAsia="Arial" w:hAnsi="Arial"/>
                <w:sz w:val="14"/>
                <w:szCs w:val="14"/>
                <w:b w:val="1"/>
                <w:bCs w:val="1"/>
                <w:color w:val="FFFFFF"/>
                <w:w w:val="94"/>
              </w:rPr>
              <w:t>Funding</w:t>
            </w:r>
          </w:p>
        </w:tc>
        <w:tc>
          <w:tcPr>
            <w:tcW w:w="620" w:type="dxa"/>
            <w:vAlign w:val="bottom"/>
            <w:tcBorders>
              <w:right w:val="single" w:sz="8" w:color="5EB5FC"/>
            </w:tcBorders>
            <w:shd w:val="clear" w:color="auto" w:fill="5EB5FC"/>
          </w:tcPr>
          <w:p>
            <w:pPr>
              <w:spacing w:after="0"/>
              <w:rPr>
                <w:sz w:val="12"/>
                <w:szCs w:val="12"/>
                <w:color w:val="auto"/>
              </w:rPr>
            </w:pPr>
          </w:p>
        </w:tc>
        <w:tc>
          <w:tcPr>
            <w:tcW w:w="1300" w:type="dxa"/>
            <w:vAlign w:val="bottom"/>
            <w:tcBorders>
              <w:right w:val="single" w:sz="8" w:color="5EB5FC"/>
            </w:tcBorders>
            <w:shd w:val="clear" w:color="auto" w:fill="5EB5FC"/>
          </w:tcPr>
          <w:p>
            <w:pPr>
              <w:jc w:val="center"/>
              <w:spacing w:after="0" w:line="145" w:lineRule="exact"/>
              <w:rPr>
                <w:sz w:val="20"/>
                <w:szCs w:val="20"/>
                <w:color w:val="auto"/>
              </w:rPr>
            </w:pPr>
            <w:r>
              <w:rPr>
                <w:rFonts w:ascii="Arial" w:cs="Arial" w:eastAsia="Arial" w:hAnsi="Arial"/>
                <w:sz w:val="14"/>
                <w:szCs w:val="14"/>
                <w:b w:val="1"/>
                <w:bCs w:val="1"/>
                <w:color w:val="FFFFFF"/>
                <w:w w:val="93"/>
              </w:rPr>
              <w:t>Performance</w:t>
            </w:r>
          </w:p>
        </w:tc>
        <w:tc>
          <w:tcPr>
            <w:tcW w:w="640" w:type="dxa"/>
            <w:vAlign w:val="bottom"/>
            <w:tcBorders>
              <w:right w:val="single" w:sz="8" w:color="5EB5FC"/>
            </w:tcBorders>
            <w:shd w:val="clear" w:color="auto" w:fill="5EB5FC"/>
          </w:tcPr>
          <w:p>
            <w:pPr>
              <w:spacing w:after="0"/>
              <w:rPr>
                <w:sz w:val="12"/>
                <w:szCs w:val="12"/>
                <w:color w:val="auto"/>
              </w:rPr>
            </w:pPr>
          </w:p>
        </w:tc>
        <w:tc>
          <w:tcPr>
            <w:tcW w:w="1280" w:type="dxa"/>
            <w:vAlign w:val="bottom"/>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Bonus Award</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100" w:type="dxa"/>
            <w:vAlign w:val="bottom"/>
            <w:tcBorders>
              <w:left w:val="single" w:sz="8" w:color="5EB5FC"/>
              <w:bottom w:val="single" w:sz="8" w:color="5EB5FC"/>
              <w:right w:val="single" w:sz="8" w:color="5EB5FC"/>
            </w:tcBorders>
            <w:vMerge w:val="continue"/>
            <w:shd w:val="clear" w:color="auto" w:fill="5EB5FC"/>
          </w:tcPr>
          <w:p>
            <w:pPr>
              <w:spacing w:after="0"/>
              <w:rPr>
                <w:sz w:val="18"/>
                <w:szCs w:val="18"/>
                <w:color w:val="auto"/>
              </w:rPr>
            </w:pPr>
          </w:p>
        </w:tc>
        <w:tc>
          <w:tcPr>
            <w:tcW w:w="126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Salary</w:t>
            </w:r>
          </w:p>
        </w:tc>
        <w:tc>
          <w:tcPr>
            <w:tcW w:w="620" w:type="dxa"/>
            <w:vAlign w:val="bottom"/>
            <w:tcBorders>
              <w:bottom w:val="single" w:sz="8" w:color="5EB5FC"/>
              <w:right w:val="single" w:sz="8" w:color="5EB5FC"/>
            </w:tcBorders>
            <w:shd w:val="clear" w:color="auto" w:fill="5EB5FC"/>
          </w:tcPr>
          <w:p>
            <w:pPr>
              <w:spacing w:after="0"/>
              <w:rPr>
                <w:sz w:val="18"/>
                <w:szCs w:val="18"/>
                <w:color w:val="auto"/>
              </w:rPr>
            </w:pPr>
          </w:p>
        </w:tc>
        <w:tc>
          <w:tcPr>
            <w:tcW w:w="128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rPr>
              <w:t>%</w:t>
            </w:r>
          </w:p>
        </w:tc>
        <w:tc>
          <w:tcPr>
            <w:tcW w:w="620" w:type="dxa"/>
            <w:vAlign w:val="bottom"/>
            <w:tcBorders>
              <w:bottom w:val="single" w:sz="8" w:color="5EB5FC"/>
              <w:right w:val="single" w:sz="8" w:color="5EB5FC"/>
            </w:tcBorders>
            <w:shd w:val="clear" w:color="auto" w:fill="5EB5FC"/>
          </w:tcPr>
          <w:p>
            <w:pPr>
              <w:spacing w:after="0"/>
              <w:rPr>
                <w:sz w:val="18"/>
                <w:szCs w:val="18"/>
                <w:color w:val="auto"/>
              </w:rPr>
            </w:pPr>
          </w:p>
        </w:tc>
        <w:tc>
          <w:tcPr>
            <w:tcW w:w="130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Factor</w:t>
            </w:r>
          </w:p>
        </w:tc>
        <w:tc>
          <w:tcPr>
            <w:tcW w:w="620" w:type="dxa"/>
            <w:vAlign w:val="bottom"/>
            <w:tcBorders>
              <w:bottom w:val="single" w:sz="8" w:color="5EB5FC"/>
              <w:right w:val="single" w:sz="8" w:color="5EB5FC"/>
            </w:tcBorders>
            <w:shd w:val="clear" w:color="auto" w:fill="5EB5FC"/>
          </w:tcPr>
          <w:p>
            <w:pPr>
              <w:spacing w:after="0"/>
              <w:rPr>
                <w:sz w:val="18"/>
                <w:szCs w:val="18"/>
                <w:color w:val="auto"/>
              </w:rPr>
            </w:pPr>
          </w:p>
        </w:tc>
        <w:tc>
          <w:tcPr>
            <w:tcW w:w="130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Factor</w:t>
            </w:r>
          </w:p>
        </w:tc>
        <w:tc>
          <w:tcPr>
            <w:tcW w:w="640" w:type="dxa"/>
            <w:vAlign w:val="bottom"/>
            <w:tcBorders>
              <w:bottom w:val="single" w:sz="8" w:color="5EB5FC"/>
              <w:right w:val="single" w:sz="8" w:color="5EB5FC"/>
            </w:tcBorders>
            <w:shd w:val="clear" w:color="auto" w:fill="5EB5FC"/>
          </w:tcPr>
          <w:p>
            <w:pPr>
              <w:spacing w:after="0"/>
              <w:rPr>
                <w:sz w:val="18"/>
                <w:szCs w:val="18"/>
                <w:color w:val="auto"/>
              </w:rPr>
            </w:pPr>
          </w:p>
        </w:tc>
        <w:tc>
          <w:tcPr>
            <w:tcW w:w="1280" w:type="dxa"/>
            <w:vAlign w:val="bottom"/>
            <w:tcBorders>
              <w:bottom w:val="single" w:sz="8" w:color="5EB5FC"/>
            </w:tcBorders>
            <w:vMerge w:val="continue"/>
            <w:shd w:val="clear" w:color="auto" w:fill="5EB5FC"/>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4"/>
        </w:trPr>
        <w:tc>
          <w:tcPr>
            <w:tcW w:w="21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12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$725,000</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2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85%</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109.2%</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120%</w:t>
            </w:r>
          </w:p>
        </w:tc>
        <w:tc>
          <w:tcPr>
            <w:tcW w:w="640" w:type="dxa"/>
            <w:vAlign w:val="bottom"/>
            <w:tcBorders>
              <w:right w:val="single" w:sz="8" w:color="A0DBF9"/>
            </w:tcBorders>
            <w:shd w:val="clear" w:color="auto" w:fill="E2F4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F4FC"/>
          </w:tcPr>
          <w:p>
            <w:pPr>
              <w:jc w:val="center"/>
              <w:spacing w:after="0"/>
              <w:rPr>
                <w:sz w:val="20"/>
                <w:szCs w:val="20"/>
                <w:color w:val="auto"/>
              </w:rPr>
            </w:pPr>
            <w:r>
              <w:rPr>
                <w:rFonts w:ascii="Arial" w:cs="Arial" w:eastAsia="Arial" w:hAnsi="Arial"/>
                <w:sz w:val="18"/>
                <w:szCs w:val="18"/>
                <w:color w:val="auto"/>
                <w:w w:val="90"/>
              </w:rPr>
              <w:t>$807,534</w:t>
            </w:r>
          </w:p>
        </w:tc>
        <w:tc>
          <w:tcPr>
            <w:tcW w:w="20" w:type="dxa"/>
            <w:vAlign w:val="bottom"/>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126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4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tcBorders>
            <w:shd w:val="clear" w:color="auto" w:fill="E2F4FC"/>
          </w:tcPr>
          <w:p>
            <w:pPr>
              <w:spacing w:after="0"/>
              <w:rPr>
                <w:sz w:val="9"/>
                <w:szCs w:val="9"/>
                <w:color w:val="auto"/>
              </w:rPr>
            </w:pPr>
          </w:p>
        </w:tc>
        <w:tc>
          <w:tcPr>
            <w:tcW w:w="20" w:type="dxa"/>
            <w:vAlign w:val="bottom"/>
            <w:tcBorders>
              <w:bottom w:val="single" w:sz="8" w:color="A0DBF9"/>
            </w:tcBorders>
            <w:shd w:val="clear" w:color="auto" w:fill="A0DBF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w w:val="96"/>
              </w:rPr>
              <w:t>Robert J. Marshall, Jr.</w:t>
            </w:r>
          </w:p>
        </w:tc>
        <w:tc>
          <w:tcPr>
            <w:tcW w:w="12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$421,200</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2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55%</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109.2%</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100%</w:t>
            </w:r>
          </w:p>
        </w:tc>
        <w:tc>
          <w:tcPr>
            <w:tcW w:w="640" w:type="dxa"/>
            <w:vAlign w:val="bottom"/>
            <w:tcBorders>
              <w:right w:val="single" w:sz="8" w:color="A0DBF9"/>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$252,973</w:t>
            </w:r>
          </w:p>
        </w:tc>
        <w:tc>
          <w:tcPr>
            <w:tcW w:w="20" w:type="dxa"/>
            <w:vAlign w:val="bottom"/>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0DBF9"/>
              <w:bottom w:val="single" w:sz="8" w:color="A0DBF9"/>
              <w:right w:val="single" w:sz="8" w:color="A0DBF9"/>
            </w:tcBorders>
          </w:tcPr>
          <w:p>
            <w:pPr>
              <w:spacing w:after="0"/>
              <w:rPr>
                <w:sz w:val="9"/>
                <w:szCs w:val="9"/>
                <w:color w:val="auto"/>
              </w:rPr>
            </w:pPr>
          </w:p>
        </w:tc>
        <w:tc>
          <w:tcPr>
            <w:tcW w:w="126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28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30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300" w:type="dxa"/>
            <w:vAlign w:val="bottom"/>
            <w:tcBorders>
              <w:bottom w:val="single" w:sz="8" w:color="A0DBF9"/>
              <w:right w:val="single" w:sz="8" w:color="A0DBF9"/>
            </w:tcBorders>
          </w:tcPr>
          <w:p>
            <w:pPr>
              <w:spacing w:after="0"/>
              <w:rPr>
                <w:sz w:val="9"/>
                <w:szCs w:val="9"/>
                <w:color w:val="auto"/>
              </w:rPr>
            </w:pPr>
          </w:p>
        </w:tc>
        <w:tc>
          <w:tcPr>
            <w:tcW w:w="640" w:type="dxa"/>
            <w:vAlign w:val="bottom"/>
            <w:tcBorders>
              <w:bottom w:val="single" w:sz="8" w:color="A0DBF9"/>
              <w:right w:val="single" w:sz="8" w:color="A0DBF9"/>
            </w:tcBorders>
          </w:tcPr>
          <w:p>
            <w:pPr>
              <w:spacing w:after="0"/>
              <w:rPr>
                <w:sz w:val="9"/>
                <w:szCs w:val="9"/>
                <w:color w:val="auto"/>
              </w:rPr>
            </w:pPr>
          </w:p>
        </w:tc>
        <w:tc>
          <w:tcPr>
            <w:tcW w:w="1280" w:type="dxa"/>
            <w:vAlign w:val="bottom"/>
            <w:tcBorders>
              <w:bottom w:val="single" w:sz="8" w:color="A0DBF9"/>
            </w:tcBorders>
          </w:tcPr>
          <w:p>
            <w:pPr>
              <w:spacing w:after="0"/>
              <w:rPr>
                <w:sz w:val="9"/>
                <w:szCs w:val="9"/>
                <w:color w:val="auto"/>
              </w:rPr>
            </w:pPr>
          </w:p>
        </w:tc>
        <w:tc>
          <w:tcPr>
            <w:tcW w:w="20" w:type="dxa"/>
            <w:vAlign w:val="bottom"/>
            <w:tcBorders>
              <w:bottom w:val="single" w:sz="8" w:color="A0DBF9"/>
            </w:tcBorders>
            <w:shd w:val="clear" w:color="auto" w:fill="A0DBF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p>
        </w:tc>
        <w:tc>
          <w:tcPr>
            <w:tcW w:w="12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$360,000</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2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45%</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109.2%</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100%</w:t>
            </w:r>
          </w:p>
        </w:tc>
        <w:tc>
          <w:tcPr>
            <w:tcW w:w="640" w:type="dxa"/>
            <w:vAlign w:val="bottom"/>
            <w:tcBorders>
              <w:right w:val="single" w:sz="8" w:color="A0DBF9"/>
            </w:tcBorders>
            <w:shd w:val="clear" w:color="auto" w:fill="E2F4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F4FC"/>
          </w:tcPr>
          <w:p>
            <w:pPr>
              <w:jc w:val="center"/>
              <w:spacing w:after="0"/>
              <w:rPr>
                <w:sz w:val="20"/>
                <w:szCs w:val="20"/>
                <w:color w:val="auto"/>
              </w:rPr>
            </w:pPr>
            <w:r>
              <w:rPr>
                <w:rFonts w:ascii="Arial" w:cs="Arial" w:eastAsia="Arial" w:hAnsi="Arial"/>
                <w:sz w:val="18"/>
                <w:szCs w:val="18"/>
                <w:color w:val="auto"/>
                <w:w w:val="90"/>
              </w:rPr>
              <w:t>$169,260</w:t>
            </w:r>
          </w:p>
        </w:tc>
        <w:tc>
          <w:tcPr>
            <w:tcW w:w="20" w:type="dxa"/>
            <w:vAlign w:val="bottom"/>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126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4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tcBorders>
            <w:shd w:val="clear" w:color="auto" w:fill="E2F4FC"/>
          </w:tcPr>
          <w:p>
            <w:pPr>
              <w:spacing w:after="0"/>
              <w:rPr>
                <w:sz w:val="9"/>
                <w:szCs w:val="9"/>
                <w:color w:val="auto"/>
              </w:rPr>
            </w:pPr>
          </w:p>
        </w:tc>
        <w:tc>
          <w:tcPr>
            <w:tcW w:w="20" w:type="dxa"/>
            <w:vAlign w:val="bottom"/>
            <w:tcBorders>
              <w:bottom w:val="single" w:sz="8" w:color="A0DBF9"/>
            </w:tcBorders>
            <w:shd w:val="clear" w:color="auto" w:fill="A0DBF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12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$423,280</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2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4"/>
              </w:rPr>
              <w:t>50%</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109.2%</w:t>
            </w:r>
          </w:p>
        </w:tc>
        <w:tc>
          <w:tcPr>
            <w:tcW w:w="620" w:type="dxa"/>
            <w:vAlign w:val="bottom"/>
            <w:tcBorders>
              <w:right w:val="single" w:sz="8" w:color="A0DBF9"/>
            </w:tcBorders>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1"/>
              </w:rPr>
              <w:t>100%</w:t>
            </w:r>
          </w:p>
        </w:tc>
        <w:tc>
          <w:tcPr>
            <w:tcW w:w="640" w:type="dxa"/>
            <w:vAlign w:val="bottom"/>
            <w:tcBorders>
              <w:right w:val="single" w:sz="8" w:color="A0DBF9"/>
            </w:tcBorders>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tcPr>
          <w:p>
            <w:pPr>
              <w:jc w:val="center"/>
              <w:spacing w:after="0"/>
              <w:rPr>
                <w:sz w:val="20"/>
                <w:szCs w:val="20"/>
                <w:color w:val="auto"/>
              </w:rPr>
            </w:pPr>
            <w:r>
              <w:rPr>
                <w:rFonts w:ascii="Arial" w:cs="Arial" w:eastAsia="Arial" w:hAnsi="Arial"/>
                <w:sz w:val="18"/>
                <w:szCs w:val="18"/>
                <w:color w:val="auto"/>
                <w:w w:val="90"/>
              </w:rPr>
              <w:t>$231,111</w:t>
            </w:r>
          </w:p>
        </w:tc>
        <w:tc>
          <w:tcPr>
            <w:tcW w:w="20" w:type="dxa"/>
            <w:vAlign w:val="bottom"/>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0DBF9"/>
              <w:bottom w:val="single" w:sz="8" w:color="A0DBF9"/>
              <w:right w:val="single" w:sz="8" w:color="A0DBF9"/>
            </w:tcBorders>
          </w:tcPr>
          <w:p>
            <w:pPr>
              <w:spacing w:after="0"/>
              <w:rPr>
                <w:sz w:val="9"/>
                <w:szCs w:val="9"/>
                <w:color w:val="auto"/>
              </w:rPr>
            </w:pPr>
          </w:p>
        </w:tc>
        <w:tc>
          <w:tcPr>
            <w:tcW w:w="126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28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300" w:type="dxa"/>
            <w:vAlign w:val="bottom"/>
            <w:tcBorders>
              <w:bottom w:val="single" w:sz="8" w:color="A0DBF9"/>
              <w:right w:val="single" w:sz="8" w:color="A0DBF9"/>
            </w:tcBorders>
          </w:tcPr>
          <w:p>
            <w:pPr>
              <w:spacing w:after="0"/>
              <w:rPr>
                <w:sz w:val="9"/>
                <w:szCs w:val="9"/>
                <w:color w:val="auto"/>
              </w:rPr>
            </w:pPr>
          </w:p>
        </w:tc>
        <w:tc>
          <w:tcPr>
            <w:tcW w:w="620" w:type="dxa"/>
            <w:vAlign w:val="bottom"/>
            <w:tcBorders>
              <w:bottom w:val="single" w:sz="8" w:color="A0DBF9"/>
              <w:right w:val="single" w:sz="8" w:color="A0DBF9"/>
            </w:tcBorders>
          </w:tcPr>
          <w:p>
            <w:pPr>
              <w:spacing w:after="0"/>
              <w:rPr>
                <w:sz w:val="9"/>
                <w:szCs w:val="9"/>
                <w:color w:val="auto"/>
              </w:rPr>
            </w:pPr>
          </w:p>
        </w:tc>
        <w:tc>
          <w:tcPr>
            <w:tcW w:w="1300" w:type="dxa"/>
            <w:vAlign w:val="bottom"/>
            <w:tcBorders>
              <w:bottom w:val="single" w:sz="8" w:color="A0DBF9"/>
              <w:right w:val="single" w:sz="8" w:color="A0DBF9"/>
            </w:tcBorders>
          </w:tcPr>
          <w:p>
            <w:pPr>
              <w:spacing w:after="0"/>
              <w:rPr>
                <w:sz w:val="9"/>
                <w:szCs w:val="9"/>
                <w:color w:val="auto"/>
              </w:rPr>
            </w:pPr>
          </w:p>
        </w:tc>
        <w:tc>
          <w:tcPr>
            <w:tcW w:w="640" w:type="dxa"/>
            <w:vAlign w:val="bottom"/>
            <w:tcBorders>
              <w:bottom w:val="single" w:sz="8" w:color="A0DBF9"/>
              <w:right w:val="single" w:sz="8" w:color="A0DBF9"/>
            </w:tcBorders>
          </w:tcPr>
          <w:p>
            <w:pPr>
              <w:spacing w:after="0"/>
              <w:rPr>
                <w:sz w:val="9"/>
                <w:szCs w:val="9"/>
                <w:color w:val="auto"/>
              </w:rPr>
            </w:pPr>
          </w:p>
        </w:tc>
        <w:tc>
          <w:tcPr>
            <w:tcW w:w="1280" w:type="dxa"/>
            <w:vAlign w:val="bottom"/>
            <w:tcBorders>
              <w:bottom w:val="single" w:sz="8" w:color="A0DBF9"/>
            </w:tcBorders>
          </w:tcPr>
          <w:p>
            <w:pPr>
              <w:spacing w:after="0"/>
              <w:rPr>
                <w:sz w:val="9"/>
                <w:szCs w:val="9"/>
                <w:color w:val="auto"/>
              </w:rPr>
            </w:pPr>
          </w:p>
        </w:tc>
        <w:tc>
          <w:tcPr>
            <w:tcW w:w="20" w:type="dxa"/>
            <w:vAlign w:val="bottom"/>
            <w:tcBorders>
              <w:bottom w:val="single" w:sz="8" w:color="A0DBF9"/>
            </w:tcBorders>
            <w:shd w:val="clear" w:color="auto" w:fill="A0DBF9"/>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210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w w:val="91"/>
              </w:rPr>
              <w:t>Simon Robinson, Ph.D.</w:t>
            </w:r>
          </w:p>
        </w:tc>
        <w:tc>
          <w:tcPr>
            <w:tcW w:w="12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$341,120</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2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4"/>
              </w:rPr>
              <w:t>40%</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109.2%</w:t>
            </w:r>
          </w:p>
        </w:tc>
        <w:tc>
          <w:tcPr>
            <w:tcW w:w="620" w:type="dxa"/>
            <w:vAlign w:val="bottom"/>
            <w:tcBorders>
              <w:right w:val="single" w:sz="8" w:color="A0DBF9"/>
            </w:tcBorders>
            <w:shd w:val="clear" w:color="auto" w:fill="E2F4FC"/>
          </w:tcPr>
          <w:p>
            <w:pPr>
              <w:ind w:left="280"/>
              <w:spacing w:after="0"/>
              <w:rPr>
                <w:sz w:val="20"/>
                <w:szCs w:val="20"/>
                <w:color w:val="auto"/>
              </w:rPr>
            </w:pPr>
            <w:r>
              <w:rPr>
                <w:rFonts w:ascii="Arial" w:cs="Arial" w:eastAsia="Arial" w:hAnsi="Arial"/>
                <w:sz w:val="18"/>
                <w:szCs w:val="18"/>
                <w:color w:val="auto"/>
              </w:rPr>
              <w:t>X</w:t>
            </w:r>
          </w:p>
        </w:tc>
        <w:tc>
          <w:tcPr>
            <w:tcW w:w="13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100%</w:t>
            </w:r>
          </w:p>
        </w:tc>
        <w:tc>
          <w:tcPr>
            <w:tcW w:w="640" w:type="dxa"/>
            <w:vAlign w:val="bottom"/>
            <w:tcBorders>
              <w:right w:val="single" w:sz="8" w:color="A0DBF9"/>
            </w:tcBorders>
            <w:shd w:val="clear" w:color="auto" w:fill="E2F4FC"/>
          </w:tcPr>
          <w:p>
            <w:pPr>
              <w:jc w:val="right"/>
              <w:ind w:right="150"/>
              <w:spacing w:after="0"/>
              <w:rPr>
                <w:sz w:val="20"/>
                <w:szCs w:val="20"/>
                <w:color w:val="auto"/>
              </w:rPr>
            </w:pPr>
            <w:r>
              <w:rPr>
                <w:rFonts w:ascii="Arial" w:cs="Arial" w:eastAsia="Arial" w:hAnsi="Arial"/>
                <w:sz w:val="18"/>
                <w:szCs w:val="18"/>
                <w:color w:val="auto"/>
              </w:rPr>
              <w:t>=</w:t>
            </w:r>
          </w:p>
        </w:tc>
        <w:tc>
          <w:tcPr>
            <w:tcW w:w="1280" w:type="dxa"/>
            <w:vAlign w:val="bottom"/>
            <w:shd w:val="clear" w:color="auto" w:fill="E2F4FC"/>
          </w:tcPr>
          <w:p>
            <w:pPr>
              <w:jc w:val="center"/>
              <w:spacing w:after="0"/>
              <w:rPr>
                <w:sz w:val="20"/>
                <w:szCs w:val="20"/>
                <w:color w:val="auto"/>
              </w:rPr>
            </w:pPr>
            <w:r>
              <w:rPr>
                <w:rFonts w:ascii="Arial" w:cs="Arial" w:eastAsia="Arial" w:hAnsi="Arial"/>
                <w:sz w:val="18"/>
                <w:szCs w:val="18"/>
                <w:color w:val="auto"/>
                <w:w w:val="90"/>
              </w:rPr>
              <w:t>$149,001</w:t>
            </w:r>
          </w:p>
        </w:tc>
        <w:tc>
          <w:tcPr>
            <w:tcW w:w="20" w:type="dxa"/>
            <w:vAlign w:val="bottom"/>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108"/>
        </w:trPr>
        <w:tc>
          <w:tcPr>
            <w:tcW w:w="210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126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20" w:type="dxa"/>
            <w:vAlign w:val="bottom"/>
            <w:tcBorders>
              <w:bottom w:val="single" w:sz="8" w:color="A0DBF9"/>
              <w:right w:val="single" w:sz="8" w:color="A0DBF9"/>
            </w:tcBorders>
            <w:shd w:val="clear" w:color="auto" w:fill="E2F4FC"/>
          </w:tcPr>
          <w:p>
            <w:pPr>
              <w:spacing w:after="0"/>
              <w:rPr>
                <w:sz w:val="9"/>
                <w:szCs w:val="9"/>
                <w:color w:val="auto"/>
              </w:rPr>
            </w:pPr>
          </w:p>
        </w:tc>
        <w:tc>
          <w:tcPr>
            <w:tcW w:w="1300" w:type="dxa"/>
            <w:vAlign w:val="bottom"/>
            <w:tcBorders>
              <w:bottom w:val="single" w:sz="8" w:color="A0DBF9"/>
              <w:right w:val="single" w:sz="8" w:color="A0DBF9"/>
            </w:tcBorders>
            <w:shd w:val="clear" w:color="auto" w:fill="E2F4FC"/>
          </w:tcPr>
          <w:p>
            <w:pPr>
              <w:spacing w:after="0"/>
              <w:rPr>
                <w:sz w:val="9"/>
                <w:szCs w:val="9"/>
                <w:color w:val="auto"/>
              </w:rPr>
            </w:pPr>
          </w:p>
        </w:tc>
        <w:tc>
          <w:tcPr>
            <w:tcW w:w="640" w:type="dxa"/>
            <w:vAlign w:val="bottom"/>
            <w:tcBorders>
              <w:bottom w:val="single" w:sz="8" w:color="A0DBF9"/>
              <w:right w:val="single" w:sz="8" w:color="A0DBF9"/>
            </w:tcBorders>
            <w:shd w:val="clear" w:color="auto" w:fill="E2F4FC"/>
          </w:tcPr>
          <w:p>
            <w:pPr>
              <w:spacing w:after="0"/>
              <w:rPr>
                <w:sz w:val="9"/>
                <w:szCs w:val="9"/>
                <w:color w:val="auto"/>
              </w:rPr>
            </w:pPr>
          </w:p>
        </w:tc>
        <w:tc>
          <w:tcPr>
            <w:tcW w:w="1280" w:type="dxa"/>
            <w:vAlign w:val="bottom"/>
            <w:tcBorders>
              <w:bottom w:val="single" w:sz="8" w:color="A0DBF9"/>
            </w:tcBorders>
            <w:shd w:val="clear" w:color="auto" w:fill="E2F4FC"/>
          </w:tcPr>
          <w:p>
            <w:pPr>
              <w:spacing w:after="0"/>
              <w:rPr>
                <w:sz w:val="9"/>
                <w:szCs w:val="9"/>
                <w:color w:val="auto"/>
              </w:rPr>
            </w:pPr>
          </w:p>
        </w:tc>
        <w:tc>
          <w:tcPr>
            <w:tcW w:w="20" w:type="dxa"/>
            <w:vAlign w:val="bottom"/>
            <w:tcBorders>
              <w:bottom w:val="single" w:sz="8" w:color="A0DBF9"/>
            </w:tcBorders>
            <w:shd w:val="clear" w:color="auto" w:fill="A0DBF9"/>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342" w:lineRule="auto"/>
        <w:rPr>
          <w:sz w:val="20"/>
          <w:szCs w:val="20"/>
          <w:color w:val="auto"/>
        </w:rPr>
      </w:pPr>
      <w:r>
        <w:rPr>
          <w:rFonts w:ascii="Arial" w:cs="Arial" w:eastAsia="Arial" w:hAnsi="Arial"/>
          <w:sz w:val="16"/>
          <w:szCs w:val="16"/>
          <w:color w:val="auto"/>
        </w:rPr>
        <w:t>Dr. Orlandi separated from the Company in September 2019 and received, pursuant to the terms of his agreement with the Company (the “</w:t>
      </w:r>
      <w:r>
        <w:rPr>
          <w:rFonts w:ascii="Arial" w:cs="Arial" w:eastAsia="Arial" w:hAnsi="Arial"/>
          <w:sz w:val="16"/>
          <w:szCs w:val="16"/>
          <w:i w:val="1"/>
          <w:iCs w:val="1"/>
          <w:color w:val="auto"/>
        </w:rPr>
        <w:t>Orlandi</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w:t>
      </w:r>
      <w:r>
        <w:rPr>
          <w:rFonts w:ascii="Arial" w:cs="Arial" w:eastAsia="Arial" w:hAnsi="Arial"/>
          <w:sz w:val="16"/>
          <w:szCs w:val="16"/>
          <w:color w:val="auto"/>
        </w:rPr>
        <w:t>”), a cash payment, of which $140,288 represented a prorated portion of his target annual bonus. See “</w:t>
      </w:r>
      <w:r>
        <w:rPr>
          <w:rFonts w:ascii="Arial" w:cs="Arial" w:eastAsia="Arial" w:hAnsi="Arial"/>
          <w:sz w:val="16"/>
          <w:szCs w:val="16"/>
          <w:i w:val="1"/>
          <w:iCs w:val="1"/>
          <w:color w:val="auto"/>
        </w:rPr>
        <w:t>Orlandi Agreement</w:t>
      </w:r>
      <w:r>
        <w:rPr>
          <w:rFonts w:ascii="Arial" w:cs="Arial" w:eastAsia="Arial" w:hAnsi="Arial"/>
          <w:sz w:val="16"/>
          <w:szCs w:val="16"/>
          <w:color w:val="auto"/>
        </w:rPr>
        <w:t>” below.</w:t>
      </w:r>
    </w:p>
    <w:p>
      <w:pPr>
        <w:spacing w:after="0" w:line="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140"/>
          </w:cols>
          <w:pgMar w:left="320" w:top="459" w:right="4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2019 Long-Term Incentive Award Decisions</w:t>
      </w:r>
    </w:p>
    <w:p>
      <w:pPr>
        <w:spacing w:after="0" w:line="135" w:lineRule="exact"/>
        <w:rPr>
          <w:sz w:val="20"/>
          <w:szCs w:val="20"/>
          <w:color w:val="auto"/>
        </w:rPr>
      </w:pPr>
    </w:p>
    <w:p>
      <w:pPr>
        <w:ind w:left="120" w:firstLine="360"/>
        <w:spacing w:after="0" w:line="270" w:lineRule="auto"/>
        <w:rPr>
          <w:sz w:val="20"/>
          <w:szCs w:val="20"/>
          <w:color w:val="auto"/>
        </w:rPr>
      </w:pPr>
      <w:r>
        <w:rPr>
          <w:rFonts w:ascii="Arial" w:cs="Arial" w:eastAsia="Arial" w:hAnsi="Arial"/>
          <w:sz w:val="17"/>
          <w:szCs w:val="17"/>
          <w:color w:val="auto"/>
        </w:rPr>
        <w:t>After reviewing market data provided by, and consulting with, Pearl Meyer, our Compensation Committee has adopted guidelines under which the Company grants annual long-term incentive (“</w:t>
      </w:r>
      <w:r>
        <w:rPr>
          <w:rFonts w:ascii="Arial" w:cs="Arial" w:eastAsia="Arial" w:hAnsi="Arial"/>
          <w:sz w:val="17"/>
          <w:szCs w:val="17"/>
          <w:b w:val="1"/>
          <w:bCs w:val="1"/>
          <w:i w:val="1"/>
          <w:iCs w:val="1"/>
          <w:color w:val="auto"/>
        </w:rPr>
        <w:t>LTI</w:t>
      </w:r>
      <w:r>
        <w:rPr>
          <w:rFonts w:ascii="Arial" w:cs="Arial" w:eastAsia="Arial" w:hAnsi="Arial"/>
          <w:sz w:val="17"/>
          <w:szCs w:val="17"/>
          <w:color w:val="auto"/>
        </w:rPr>
        <w:t>”) awards to NEOs, with an aggregate grant date value (based on closing price) determined commensurate with the NEOs’ roles and in recognition of their individual performance during the prior year. Historically, the Company granted RSAs and PSAs as the forms of equity compensation. In 2019, the Compensation Committee approved a change from RSAs and PSAs to RSUs and PSUs, which are more commonly used among our peer group, and continued to use a three-year performance period for PSUs.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140"/>
        <w:spacing w:after="0"/>
        <w:rPr>
          <w:sz w:val="20"/>
          <w:szCs w:val="20"/>
          <w:color w:val="auto"/>
        </w:rPr>
      </w:pPr>
      <w:r>
        <w:rPr>
          <w:rFonts w:ascii="Arial" w:cs="Arial" w:eastAsia="Arial" w:hAnsi="Arial"/>
          <w:sz w:val="18"/>
          <w:szCs w:val="18"/>
          <w:b w:val="1"/>
          <w:bCs w:val="1"/>
          <w:color w:val="auto"/>
        </w:rPr>
        <w:t>Annual LTI Mix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-148590</wp:posOffset>
            </wp:positionH>
            <wp:positionV relativeFrom="paragraph">
              <wp:posOffset>-179070</wp:posOffset>
            </wp:positionV>
            <wp:extent cx="3086100" cy="155194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086100" cy="1551940"/>
                    </a:xfrm>
                    <a:prstGeom prst="rect">
                      <a:avLst/>
                    </a:prstGeom>
                    <a:noFill/>
                  </pic:spPr>
                </pic:pic>
              </a:graphicData>
            </a:graphic>
          </wp:anchor>
        </w:drawing>
      </w:r>
    </w:p>
    <w:p>
      <w:pPr>
        <w:spacing w:after="0" w:line="82" w:lineRule="exact"/>
        <w:rPr>
          <w:sz w:val="20"/>
          <w:szCs w:val="20"/>
          <w:color w:val="auto"/>
        </w:rPr>
      </w:pPr>
    </w:p>
    <w:tbl>
      <w:tblPr>
        <w:tblLayout w:type="fixed"/>
        <w:tblInd w:w="10" w:type="dxa"/>
        <w:tblCellMar>
          <w:top w:w="0" w:type="dxa"/>
          <w:left w:w="0" w:type="dxa"/>
          <w:bottom w:w="0" w:type="dxa"/>
          <w:right w:w="0" w:type="dxa"/>
        </w:tblCellMar>
      </w:tblPr>
      <w:tr>
        <w:trPr>
          <w:trHeight w:val="458"/>
        </w:trPr>
        <w:tc>
          <w:tcPr>
            <w:tcW w:w="2340" w:type="dxa"/>
            <w:vAlign w:val="bottom"/>
            <w:tcBorders>
              <w:top w:val="single" w:sz="8" w:color="A0DBF9"/>
              <w:left w:val="single" w:sz="8" w:color="A0DBF9"/>
              <w:right w:val="single" w:sz="8" w:color="A0DBF9"/>
            </w:tcBorders>
          </w:tcPr>
          <w:p>
            <w:pPr>
              <w:jc w:val="center"/>
              <w:ind w:left="10"/>
              <w:spacing w:after="0"/>
              <w:rPr>
                <w:sz w:val="20"/>
                <w:szCs w:val="20"/>
                <w:color w:val="auto"/>
              </w:rPr>
            </w:pPr>
            <w:r>
              <w:rPr>
                <w:rFonts w:ascii="Arial" w:cs="Arial" w:eastAsia="Arial" w:hAnsi="Arial"/>
                <w:sz w:val="18"/>
                <w:szCs w:val="18"/>
                <w:b w:val="1"/>
                <w:bCs w:val="1"/>
                <w:color w:val="auto"/>
                <w:w w:val="99"/>
              </w:rPr>
              <w:t>50%</w:t>
            </w:r>
          </w:p>
        </w:tc>
        <w:tc>
          <w:tcPr>
            <w:tcW w:w="208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b w:val="1"/>
                <w:bCs w:val="1"/>
                <w:color w:val="auto"/>
                <w:w w:val="99"/>
              </w:rPr>
              <w:t>50%</w:t>
            </w:r>
          </w:p>
        </w:tc>
      </w:tr>
      <w:tr>
        <w:trPr>
          <w:trHeight w:val="216"/>
        </w:trPr>
        <w:tc>
          <w:tcPr>
            <w:tcW w:w="2340" w:type="dxa"/>
            <w:vAlign w:val="bottom"/>
            <w:tcBorders>
              <w:left w:val="single" w:sz="8" w:color="A0DBF9"/>
              <w:right w:val="single" w:sz="8" w:color="A0DBF9"/>
            </w:tcBorders>
          </w:tcPr>
          <w:p>
            <w:pPr>
              <w:jc w:val="center"/>
              <w:ind w:left="10"/>
              <w:spacing w:after="0"/>
              <w:rPr>
                <w:sz w:val="20"/>
                <w:szCs w:val="20"/>
                <w:color w:val="auto"/>
              </w:rPr>
            </w:pPr>
            <w:r>
              <w:rPr>
                <w:rFonts w:ascii="Arial" w:cs="Arial" w:eastAsia="Arial" w:hAnsi="Arial"/>
                <w:sz w:val="18"/>
                <w:szCs w:val="18"/>
                <w:color w:val="auto"/>
                <w:w w:val="90"/>
              </w:rPr>
              <w:t>Time-Based</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Performance-Based</w:t>
            </w:r>
          </w:p>
        </w:tc>
      </w:tr>
      <w:tr>
        <w:trPr>
          <w:trHeight w:val="230"/>
        </w:trPr>
        <w:tc>
          <w:tcPr>
            <w:tcW w:w="2340" w:type="dxa"/>
            <w:vAlign w:val="bottom"/>
            <w:tcBorders>
              <w:left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9"/>
              </w:rPr>
              <w:t>RSUs</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6"/>
              </w:rPr>
              <w:t>PSUs</w:t>
            </w:r>
          </w:p>
        </w:tc>
      </w:tr>
      <w:tr>
        <w:trPr>
          <w:trHeight w:val="256"/>
        </w:trPr>
        <w:tc>
          <w:tcPr>
            <w:tcW w:w="2340" w:type="dxa"/>
            <w:vAlign w:val="bottom"/>
            <w:tcBorders>
              <w:left w:val="single" w:sz="8" w:color="A0DBF9"/>
              <w:bottom w:val="single" w:sz="8" w:color="A0DBF9"/>
              <w:right w:val="single" w:sz="8" w:color="A0DBF9"/>
            </w:tcBorders>
          </w:tcPr>
          <w:p>
            <w:pPr>
              <w:spacing w:after="0"/>
              <w:rPr>
                <w:sz w:val="22"/>
                <w:szCs w:val="22"/>
                <w:color w:val="auto"/>
              </w:rPr>
            </w:pPr>
          </w:p>
        </w:tc>
        <w:tc>
          <w:tcPr>
            <w:tcW w:w="2080" w:type="dxa"/>
            <w:vAlign w:val="bottom"/>
            <w:tcBorders>
              <w:bottom w:val="single" w:sz="8" w:color="A0DBF9"/>
              <w:right w:val="single" w:sz="8" w:color="A0DBF9"/>
            </w:tcBorders>
          </w:tcPr>
          <w:p>
            <w:pPr>
              <w:spacing w:after="0"/>
              <w:rPr>
                <w:sz w:val="22"/>
                <w:szCs w:val="22"/>
                <w:color w:val="auto"/>
              </w:rPr>
            </w:pPr>
          </w:p>
        </w:tc>
      </w:tr>
    </w:tbl>
    <w:p>
      <w:pPr>
        <w:spacing w:after="0" w:line="585" w:lineRule="exact"/>
        <w:rPr>
          <w:sz w:val="20"/>
          <w:szCs w:val="20"/>
          <w:color w:val="auto"/>
        </w:rPr>
      </w:pPr>
    </w:p>
    <w:p>
      <w:pPr>
        <w:sectPr>
          <w:pgSz w:w="11900" w:h="16838" w:orient="portrait"/>
          <w:cols w:equalWidth="0" w:num="2">
            <w:col w:w="6220" w:space="300"/>
            <w:col w:w="4600"/>
          </w:cols>
          <w:pgMar w:left="320" w:top="459" w:right="459" w:bottom="1440" w:gutter="0" w:footer="0" w:header="0"/>
        </w:sectPr>
      </w:pPr>
    </w:p>
    <w:p>
      <w:pPr>
        <w:spacing w:after="0" w:line="200" w:lineRule="exact"/>
        <w:rPr>
          <w:sz w:val="20"/>
          <w:szCs w:val="20"/>
          <w:color w:val="auto"/>
        </w:rPr>
      </w:pPr>
    </w:p>
    <w:p>
      <w:pPr>
        <w:spacing w:after="0" w:line="280" w:lineRule="exact"/>
        <w:rPr>
          <w:sz w:val="20"/>
          <w:szCs w:val="20"/>
          <w:color w:val="auto"/>
        </w:rPr>
      </w:pPr>
    </w:p>
    <w:p>
      <w:pPr>
        <w:ind w:left="120" w:right="120" w:firstLine="440"/>
        <w:spacing w:after="0" w:line="301" w:lineRule="auto"/>
        <w:rPr>
          <w:sz w:val="20"/>
          <w:szCs w:val="20"/>
          <w:color w:val="auto"/>
        </w:rPr>
      </w:pPr>
      <w:r>
        <w:rPr>
          <w:rFonts w:ascii="Arial" w:cs="Arial" w:eastAsia="Arial" w:hAnsi="Arial"/>
          <w:sz w:val="16"/>
          <w:szCs w:val="16"/>
          <w:color w:val="auto"/>
        </w:rPr>
        <w:t>The Compensation Committee grants RSUs to promote retention and continuity of management while considering competitive market practices. The Compensation Committee also grants PSUs for retention purposes, but PSUs are more oriented towards maintaining a pay for performance culture and reward system that aligns NEOs’ realized compensation with stockholders’ interests. This mix of time-based and performance-based equity incentives is intended to keep us highly competitive within the executive talent market and to strike a balance between retention and performance.</w:t>
      </w:r>
    </w:p>
    <w:p>
      <w:pPr>
        <w:spacing w:after="0" w:line="157" w:lineRule="exact"/>
        <w:rPr>
          <w:sz w:val="20"/>
          <w:szCs w:val="20"/>
          <w:color w:val="auto"/>
        </w:rPr>
      </w:pPr>
    </w:p>
    <w:p>
      <w:pPr>
        <w:ind w:left="120" w:right="280" w:firstLine="440"/>
        <w:spacing w:after="0" w:line="263" w:lineRule="auto"/>
        <w:rPr>
          <w:sz w:val="20"/>
          <w:szCs w:val="20"/>
          <w:color w:val="auto"/>
        </w:rPr>
      </w:pPr>
      <w:r>
        <w:rPr>
          <w:rFonts w:ascii="Arial" w:cs="Arial" w:eastAsia="Arial" w:hAnsi="Arial"/>
          <w:sz w:val="18"/>
          <w:szCs w:val="18"/>
          <w:color w:val="auto"/>
        </w:rPr>
        <w:t>Annual grants of RSUs vest in equal installments on each of the first three anniversaries of the grant date. Annual grants of PSUs, to the extent earned based on performance, cliff vest on the third anniversary of the grant date. The portion of PSUs that vest is based on the extent to which the Company has achieved specified corporate performance goals.</w:t>
      </w:r>
    </w:p>
    <w:p>
      <w:pPr>
        <w:spacing w:after="0" w:line="184" w:lineRule="exact"/>
        <w:rPr>
          <w:sz w:val="20"/>
          <w:szCs w:val="20"/>
          <w:color w:val="auto"/>
        </w:rPr>
      </w:pPr>
    </w:p>
    <w:p>
      <w:pPr>
        <w:ind w:left="120" w:firstLine="440"/>
        <w:spacing w:after="0" w:line="275" w:lineRule="auto"/>
        <w:rPr>
          <w:sz w:val="20"/>
          <w:szCs w:val="20"/>
          <w:color w:val="auto"/>
        </w:rPr>
      </w:pPr>
      <w:r>
        <w:rPr>
          <w:rFonts w:ascii="Arial" w:cs="Arial" w:eastAsia="Arial" w:hAnsi="Arial"/>
          <w:sz w:val="17"/>
          <w:szCs w:val="17"/>
          <w:color w:val="auto"/>
        </w:rPr>
        <w:t>In February 2019, in consultation with Pearl Meyer, the Compensation Committee granted PSUs utilizing relative Total Shareholder Return (“</w:t>
      </w:r>
      <w:r>
        <w:rPr>
          <w:rFonts w:ascii="Arial" w:cs="Arial" w:eastAsia="Arial" w:hAnsi="Arial"/>
          <w:sz w:val="17"/>
          <w:szCs w:val="17"/>
          <w:b w:val="1"/>
          <w:bCs w:val="1"/>
          <w:i w:val="1"/>
          <w:iCs w:val="1"/>
          <w:color w:val="auto"/>
        </w:rPr>
        <w:t>rTSR</w:t>
      </w:r>
      <w:r>
        <w:rPr>
          <w:rFonts w:ascii="Arial" w:cs="Arial" w:eastAsia="Arial" w:hAnsi="Arial"/>
          <w:sz w:val="17"/>
          <w:szCs w:val="17"/>
          <w:color w:val="auto"/>
        </w:rPr>
        <w:t>”) of the Company’s common stock as the performance metric. rTSR performance is compared to other companies in the S&amp;P SmallCap Healthcare Index over a three full calendar year performance period, starting with the 2019 calendar year. The relative changes in share prices during the performance period will be measured using an average of the closing prices during the 30 days preceding the beginning and the end of the performance period. The percentage of the target number of Shares that can vest under the rTSR PSUs will be as follows:</w:t>
      </w:r>
    </w:p>
    <w:p>
      <w:pPr>
        <w:spacing w:after="0" w:line="217" w:lineRule="exact"/>
        <w:rPr>
          <w:sz w:val="20"/>
          <w:szCs w:val="20"/>
          <w:color w:val="auto"/>
        </w:rPr>
      </w:pPr>
    </w:p>
    <w:tbl>
      <w:tblPr>
        <w:tblLayout w:type="fixed"/>
        <w:tblInd w:w="1450" w:type="dxa"/>
        <w:tblCellMar>
          <w:top w:w="0" w:type="dxa"/>
          <w:left w:w="0" w:type="dxa"/>
          <w:bottom w:w="0" w:type="dxa"/>
          <w:right w:w="0" w:type="dxa"/>
        </w:tblCellMar>
      </w:tblPr>
      <w:tr>
        <w:trPr>
          <w:trHeight w:val="304"/>
        </w:trPr>
        <w:tc>
          <w:tcPr>
            <w:tcW w:w="3800" w:type="dxa"/>
            <w:vAlign w:val="bottom"/>
            <w:tcBorders>
              <w:left w:val="single" w:sz="8" w:color="5EB5FC"/>
              <w:bottom w:val="single" w:sz="8" w:color="5EB5FC"/>
              <w:right w:val="single" w:sz="8" w:color="5EB5FC"/>
            </w:tcBorders>
            <w:shd w:val="clear" w:color="auto" w:fill="5EB5FC"/>
          </w:tcPr>
          <w:p>
            <w:pPr>
              <w:jc w:val="center"/>
              <w:ind w:left="54"/>
              <w:spacing w:after="0"/>
              <w:rPr>
                <w:sz w:val="20"/>
                <w:szCs w:val="20"/>
                <w:color w:val="auto"/>
              </w:rPr>
            </w:pPr>
            <w:r>
              <w:rPr>
                <w:rFonts w:ascii="Arial" w:cs="Arial" w:eastAsia="Arial" w:hAnsi="Arial"/>
                <w:sz w:val="14"/>
                <w:szCs w:val="14"/>
                <w:b w:val="1"/>
                <w:bCs w:val="1"/>
                <w:color w:val="FFFFFF"/>
                <w:w w:val="94"/>
              </w:rPr>
              <w:t>Company’s rTSR Percentile Rank</w:t>
            </w:r>
          </w:p>
        </w:tc>
        <w:tc>
          <w:tcPr>
            <w:tcW w:w="4580" w:type="dxa"/>
            <w:vAlign w:val="bottom"/>
            <w:tcBorders>
              <w:bottom w:val="single" w:sz="8" w:color="5EB5FC"/>
              <w:right w:val="single" w:sz="8" w:color="5EB5FC"/>
            </w:tcBorders>
            <w:shd w:val="clear" w:color="auto" w:fill="5EB5FC"/>
          </w:tcPr>
          <w:p>
            <w:pPr>
              <w:jc w:val="center"/>
              <w:ind w:left="54"/>
              <w:spacing w:after="0"/>
              <w:rPr>
                <w:sz w:val="20"/>
                <w:szCs w:val="20"/>
                <w:color w:val="auto"/>
              </w:rPr>
            </w:pPr>
            <w:r>
              <w:rPr>
                <w:rFonts w:ascii="Arial" w:cs="Arial" w:eastAsia="Arial" w:hAnsi="Arial"/>
                <w:sz w:val="14"/>
                <w:szCs w:val="14"/>
                <w:b w:val="1"/>
                <w:bCs w:val="1"/>
                <w:color w:val="FFFFFF"/>
                <w:w w:val="90"/>
              </w:rPr>
              <w:t>Vesting Percentage of Target No. of Shares</w:t>
            </w:r>
          </w:p>
        </w:tc>
      </w:tr>
      <w:tr>
        <w:trPr>
          <w:trHeight w:val="257"/>
        </w:trPr>
        <w:tc>
          <w:tcPr>
            <w:tcW w:w="3800" w:type="dxa"/>
            <w:vAlign w:val="bottom"/>
            <w:tcBorders>
              <w:left w:val="single" w:sz="8" w:color="A0DBF9"/>
              <w:right w:val="single" w:sz="8" w:color="A0DBF9"/>
            </w:tcBorders>
            <w:shd w:val="clear" w:color="auto" w:fill="DDEDFC"/>
          </w:tcPr>
          <w:p>
            <w:pPr>
              <w:jc w:val="center"/>
              <w:ind w:left="34"/>
              <w:spacing w:after="0"/>
              <w:rPr>
                <w:sz w:val="20"/>
                <w:szCs w:val="20"/>
                <w:color w:val="auto"/>
              </w:rPr>
            </w:pPr>
            <w:r>
              <w:rPr>
                <w:rFonts w:ascii="Arial" w:cs="Arial" w:eastAsia="Arial" w:hAnsi="Arial"/>
                <w:sz w:val="18"/>
                <w:szCs w:val="18"/>
                <w:color w:val="auto"/>
                <w:w w:val="91"/>
              </w:rPr>
              <w:t>Below 25th Percentile</w:t>
            </w:r>
          </w:p>
        </w:tc>
        <w:tc>
          <w:tcPr>
            <w:tcW w:w="4580" w:type="dxa"/>
            <w:vAlign w:val="bottom"/>
            <w:tcBorders>
              <w:right w:val="single" w:sz="8" w:color="A0DBF9"/>
            </w:tcBorders>
            <w:shd w:val="clear" w:color="auto" w:fill="DDEDFC"/>
          </w:tcPr>
          <w:p>
            <w:pPr>
              <w:jc w:val="center"/>
              <w:ind w:left="94"/>
              <w:spacing w:after="0"/>
              <w:rPr>
                <w:sz w:val="20"/>
                <w:szCs w:val="20"/>
                <w:color w:val="auto"/>
              </w:rPr>
            </w:pPr>
            <w:r>
              <w:rPr>
                <w:rFonts w:ascii="Arial" w:cs="Arial" w:eastAsia="Arial" w:hAnsi="Arial"/>
                <w:sz w:val="18"/>
                <w:szCs w:val="18"/>
                <w:color w:val="auto"/>
                <w:w w:val="92"/>
              </w:rPr>
              <w:t>0%</w:t>
            </w:r>
          </w:p>
        </w:tc>
      </w:tr>
      <w:tr>
        <w:trPr>
          <w:trHeight w:val="162"/>
        </w:trPr>
        <w:tc>
          <w:tcPr>
            <w:tcW w:w="3800" w:type="dxa"/>
            <w:vAlign w:val="bottom"/>
            <w:tcBorders>
              <w:left w:val="single" w:sz="8" w:color="A0DBF9"/>
              <w:bottom w:val="single" w:sz="8" w:color="A0DBF9"/>
              <w:right w:val="single" w:sz="8" w:color="A0DBF9"/>
            </w:tcBorders>
            <w:shd w:val="clear" w:color="auto" w:fill="DDEDFC"/>
          </w:tcPr>
          <w:p>
            <w:pPr>
              <w:spacing w:after="0"/>
              <w:rPr>
                <w:sz w:val="14"/>
                <w:szCs w:val="14"/>
                <w:color w:val="auto"/>
              </w:rPr>
            </w:pPr>
          </w:p>
        </w:tc>
        <w:tc>
          <w:tcPr>
            <w:tcW w:w="4580" w:type="dxa"/>
            <w:vAlign w:val="bottom"/>
            <w:tcBorders>
              <w:bottom w:val="single" w:sz="8" w:color="A0DBF9"/>
              <w:right w:val="single" w:sz="8" w:color="A0DBF9"/>
            </w:tcBorders>
            <w:shd w:val="clear" w:color="auto" w:fill="DDEDFC"/>
          </w:tcPr>
          <w:p>
            <w:pPr>
              <w:spacing w:after="0"/>
              <w:rPr>
                <w:sz w:val="14"/>
                <w:szCs w:val="14"/>
                <w:color w:val="auto"/>
              </w:rPr>
            </w:pPr>
          </w:p>
        </w:tc>
      </w:tr>
      <w:tr>
        <w:trPr>
          <w:trHeight w:val="250"/>
        </w:trPr>
        <w:tc>
          <w:tcPr>
            <w:tcW w:w="3800" w:type="dxa"/>
            <w:vAlign w:val="bottom"/>
            <w:tcBorders>
              <w:left w:val="single" w:sz="8" w:color="A0DBF9"/>
              <w:right w:val="single" w:sz="8" w:color="A0DBF9"/>
            </w:tcBorders>
          </w:tcPr>
          <w:p>
            <w:pPr>
              <w:jc w:val="center"/>
              <w:ind w:left="34"/>
              <w:spacing w:after="0"/>
              <w:rPr>
                <w:sz w:val="20"/>
                <w:szCs w:val="20"/>
                <w:color w:val="auto"/>
              </w:rPr>
            </w:pPr>
            <w:r>
              <w:rPr>
                <w:rFonts w:ascii="Arial" w:cs="Arial" w:eastAsia="Arial" w:hAnsi="Arial"/>
                <w:sz w:val="18"/>
                <w:szCs w:val="18"/>
                <w:color w:val="auto"/>
                <w:w w:val="89"/>
              </w:rPr>
              <w:t>25th Percentile</w:t>
            </w:r>
          </w:p>
        </w:tc>
        <w:tc>
          <w:tcPr>
            <w:tcW w:w="4580" w:type="dxa"/>
            <w:vAlign w:val="bottom"/>
            <w:tcBorders>
              <w:right w:val="single" w:sz="8" w:color="A0DBF9"/>
            </w:tcBorders>
          </w:tcPr>
          <w:p>
            <w:pPr>
              <w:jc w:val="center"/>
              <w:ind w:left="94"/>
              <w:spacing w:after="0"/>
              <w:rPr>
                <w:sz w:val="20"/>
                <w:szCs w:val="20"/>
                <w:color w:val="auto"/>
              </w:rPr>
            </w:pPr>
            <w:r>
              <w:rPr>
                <w:rFonts w:ascii="Arial" w:cs="Arial" w:eastAsia="Arial" w:hAnsi="Arial"/>
                <w:sz w:val="18"/>
                <w:szCs w:val="18"/>
                <w:color w:val="auto"/>
                <w:w w:val="91"/>
              </w:rPr>
              <w:t>50% (threshold)</w:t>
            </w:r>
          </w:p>
        </w:tc>
      </w:tr>
      <w:tr>
        <w:trPr>
          <w:trHeight w:val="162"/>
        </w:trPr>
        <w:tc>
          <w:tcPr>
            <w:tcW w:w="3800" w:type="dxa"/>
            <w:vAlign w:val="bottom"/>
            <w:tcBorders>
              <w:left w:val="single" w:sz="8" w:color="A0DBF9"/>
              <w:bottom w:val="single" w:sz="8" w:color="A0DBF9"/>
              <w:right w:val="single" w:sz="8" w:color="A0DBF9"/>
            </w:tcBorders>
          </w:tcPr>
          <w:p>
            <w:pPr>
              <w:spacing w:after="0"/>
              <w:rPr>
                <w:sz w:val="14"/>
                <w:szCs w:val="14"/>
                <w:color w:val="auto"/>
              </w:rPr>
            </w:pPr>
          </w:p>
        </w:tc>
        <w:tc>
          <w:tcPr>
            <w:tcW w:w="4580" w:type="dxa"/>
            <w:vAlign w:val="bottom"/>
            <w:tcBorders>
              <w:bottom w:val="single" w:sz="8" w:color="A0DBF9"/>
              <w:right w:val="single" w:sz="8" w:color="A0DBF9"/>
            </w:tcBorders>
          </w:tcPr>
          <w:p>
            <w:pPr>
              <w:spacing w:after="0"/>
              <w:rPr>
                <w:sz w:val="14"/>
                <w:szCs w:val="14"/>
                <w:color w:val="auto"/>
              </w:rPr>
            </w:pPr>
          </w:p>
        </w:tc>
      </w:tr>
      <w:tr>
        <w:trPr>
          <w:trHeight w:val="250"/>
        </w:trPr>
        <w:tc>
          <w:tcPr>
            <w:tcW w:w="3800" w:type="dxa"/>
            <w:vAlign w:val="bottom"/>
            <w:tcBorders>
              <w:left w:val="single" w:sz="8" w:color="A0DBF9"/>
              <w:right w:val="single" w:sz="8" w:color="A0DBF9"/>
            </w:tcBorders>
            <w:shd w:val="clear" w:color="auto" w:fill="DDEDFC"/>
          </w:tcPr>
          <w:p>
            <w:pPr>
              <w:jc w:val="center"/>
              <w:ind w:left="34"/>
              <w:spacing w:after="0"/>
              <w:rPr>
                <w:sz w:val="20"/>
                <w:szCs w:val="20"/>
                <w:color w:val="auto"/>
              </w:rPr>
            </w:pPr>
            <w:r>
              <w:rPr>
                <w:rFonts w:ascii="Arial" w:cs="Arial" w:eastAsia="Arial" w:hAnsi="Arial"/>
                <w:sz w:val="18"/>
                <w:szCs w:val="18"/>
                <w:color w:val="auto"/>
                <w:w w:val="89"/>
              </w:rPr>
              <w:t>50th Percentile</w:t>
            </w:r>
          </w:p>
        </w:tc>
        <w:tc>
          <w:tcPr>
            <w:tcW w:w="4580" w:type="dxa"/>
            <w:vAlign w:val="bottom"/>
            <w:tcBorders>
              <w:right w:val="single" w:sz="8" w:color="A0DBF9"/>
            </w:tcBorders>
            <w:shd w:val="clear" w:color="auto" w:fill="DDEDFC"/>
          </w:tcPr>
          <w:p>
            <w:pPr>
              <w:jc w:val="center"/>
              <w:ind w:left="94"/>
              <w:spacing w:after="0"/>
              <w:rPr>
                <w:sz w:val="20"/>
                <w:szCs w:val="20"/>
                <w:color w:val="auto"/>
              </w:rPr>
            </w:pPr>
            <w:r>
              <w:rPr>
                <w:rFonts w:ascii="Arial" w:cs="Arial" w:eastAsia="Arial" w:hAnsi="Arial"/>
                <w:sz w:val="18"/>
                <w:szCs w:val="18"/>
                <w:color w:val="auto"/>
                <w:w w:val="91"/>
              </w:rPr>
              <w:t>100% (target)</w:t>
            </w:r>
          </w:p>
        </w:tc>
      </w:tr>
      <w:tr>
        <w:trPr>
          <w:trHeight w:val="162"/>
        </w:trPr>
        <w:tc>
          <w:tcPr>
            <w:tcW w:w="3800" w:type="dxa"/>
            <w:vAlign w:val="bottom"/>
            <w:tcBorders>
              <w:left w:val="single" w:sz="8" w:color="A0DBF9"/>
              <w:bottom w:val="single" w:sz="8" w:color="A0DBF9"/>
              <w:right w:val="single" w:sz="8" w:color="A0DBF9"/>
            </w:tcBorders>
            <w:shd w:val="clear" w:color="auto" w:fill="DDEDFC"/>
          </w:tcPr>
          <w:p>
            <w:pPr>
              <w:spacing w:after="0"/>
              <w:rPr>
                <w:sz w:val="14"/>
                <w:szCs w:val="14"/>
                <w:color w:val="auto"/>
              </w:rPr>
            </w:pPr>
          </w:p>
        </w:tc>
        <w:tc>
          <w:tcPr>
            <w:tcW w:w="4580" w:type="dxa"/>
            <w:vAlign w:val="bottom"/>
            <w:tcBorders>
              <w:bottom w:val="single" w:sz="8" w:color="A0DBF9"/>
              <w:right w:val="single" w:sz="8" w:color="A0DBF9"/>
            </w:tcBorders>
            <w:shd w:val="clear" w:color="auto" w:fill="DDEDFC"/>
          </w:tcPr>
          <w:p>
            <w:pPr>
              <w:spacing w:after="0"/>
              <w:rPr>
                <w:sz w:val="14"/>
                <w:szCs w:val="14"/>
                <w:color w:val="auto"/>
              </w:rPr>
            </w:pPr>
          </w:p>
        </w:tc>
      </w:tr>
      <w:tr>
        <w:trPr>
          <w:trHeight w:val="250"/>
        </w:trPr>
        <w:tc>
          <w:tcPr>
            <w:tcW w:w="3800" w:type="dxa"/>
            <w:vAlign w:val="bottom"/>
            <w:tcBorders>
              <w:left w:val="single" w:sz="8" w:color="A0DBF9"/>
              <w:right w:val="single" w:sz="8" w:color="A0DBF9"/>
            </w:tcBorders>
          </w:tcPr>
          <w:p>
            <w:pPr>
              <w:jc w:val="center"/>
              <w:ind w:left="34"/>
              <w:spacing w:after="0"/>
              <w:rPr>
                <w:sz w:val="20"/>
                <w:szCs w:val="20"/>
                <w:color w:val="auto"/>
              </w:rPr>
            </w:pPr>
            <w:r>
              <w:rPr>
                <w:rFonts w:ascii="Arial" w:cs="Arial" w:eastAsia="Arial" w:hAnsi="Arial"/>
                <w:sz w:val="18"/>
                <w:szCs w:val="18"/>
                <w:color w:val="auto"/>
                <w:w w:val="91"/>
              </w:rPr>
              <w:t>75th Percentile or Above</w:t>
            </w:r>
          </w:p>
        </w:tc>
        <w:tc>
          <w:tcPr>
            <w:tcW w:w="4580" w:type="dxa"/>
            <w:vAlign w:val="bottom"/>
            <w:tcBorders>
              <w:right w:val="single" w:sz="8" w:color="A0DBF9"/>
            </w:tcBorders>
          </w:tcPr>
          <w:p>
            <w:pPr>
              <w:jc w:val="center"/>
              <w:ind w:left="94"/>
              <w:spacing w:after="0"/>
              <w:rPr>
                <w:sz w:val="20"/>
                <w:szCs w:val="20"/>
                <w:color w:val="auto"/>
              </w:rPr>
            </w:pPr>
            <w:r>
              <w:rPr>
                <w:rFonts w:ascii="Arial" w:cs="Arial" w:eastAsia="Arial" w:hAnsi="Arial"/>
                <w:sz w:val="18"/>
                <w:szCs w:val="18"/>
                <w:color w:val="auto"/>
                <w:w w:val="93"/>
              </w:rPr>
              <w:t>200% (maximum)</w:t>
            </w:r>
          </w:p>
        </w:tc>
      </w:tr>
      <w:tr>
        <w:trPr>
          <w:trHeight w:val="162"/>
        </w:trPr>
        <w:tc>
          <w:tcPr>
            <w:tcW w:w="3800" w:type="dxa"/>
            <w:vAlign w:val="bottom"/>
            <w:tcBorders>
              <w:left w:val="single" w:sz="8" w:color="A0DBF9"/>
              <w:bottom w:val="single" w:sz="8" w:color="A0DBF9"/>
              <w:right w:val="single" w:sz="8" w:color="A0DBF9"/>
            </w:tcBorders>
          </w:tcPr>
          <w:p>
            <w:pPr>
              <w:spacing w:after="0"/>
              <w:rPr>
                <w:sz w:val="14"/>
                <w:szCs w:val="14"/>
                <w:color w:val="auto"/>
              </w:rPr>
            </w:pPr>
          </w:p>
        </w:tc>
        <w:tc>
          <w:tcPr>
            <w:tcW w:w="4580" w:type="dxa"/>
            <w:vAlign w:val="bottom"/>
            <w:tcBorders>
              <w:bottom w:val="single" w:sz="8" w:color="A0DBF9"/>
              <w:right w:val="single" w:sz="8" w:color="A0DBF9"/>
            </w:tcBorders>
          </w:tcPr>
          <w:p>
            <w:pPr>
              <w:spacing w:after="0"/>
              <w:rPr>
                <w:sz w:val="14"/>
                <w:szCs w:val="14"/>
                <w:color w:val="auto"/>
              </w:rPr>
            </w:pPr>
          </w:p>
        </w:tc>
      </w:tr>
    </w:tbl>
    <w:p>
      <w:pPr>
        <w:spacing w:after="0" w:line="202" w:lineRule="exact"/>
        <w:rPr>
          <w:sz w:val="20"/>
          <w:szCs w:val="20"/>
          <w:color w:val="auto"/>
        </w:rPr>
      </w:pPr>
    </w:p>
    <w:p>
      <w:pPr>
        <w:ind w:left="120" w:right="280" w:firstLine="440"/>
        <w:spacing w:after="0" w:line="342" w:lineRule="auto"/>
        <w:rPr>
          <w:sz w:val="20"/>
          <w:szCs w:val="20"/>
          <w:color w:val="auto"/>
        </w:rPr>
      </w:pPr>
      <w:r>
        <w:rPr>
          <w:rFonts w:ascii="Arial" w:cs="Arial" w:eastAsia="Arial" w:hAnsi="Arial"/>
          <w:sz w:val="16"/>
          <w:szCs w:val="16"/>
          <w:color w:val="auto"/>
        </w:rPr>
        <w:t>In the event the Company’s rTSR percentile rank for the performance period falls between any of the percentiles set forth above (to the extent greater than the threshold and lower than the maximum), the vesting percentage will be determined by linear interpolation between those percentiles.</w:t>
      </w:r>
    </w:p>
    <w:p>
      <w:pPr>
        <w:spacing w:after="0" w:line="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120"/>
          </w:cols>
          <w:pgMar w:left="320" w:top="459" w:right="459" w:bottom="1440" w:gutter="0" w:footer="0" w:header="0"/>
          <w:type w:val="continuous"/>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LTI awards for our NEOs in February 2019 were as follows:</w:t>
      </w:r>
    </w:p>
    <w:p>
      <w:pPr>
        <w:spacing w:after="0" w:line="266" w:lineRule="exact"/>
        <w:rPr>
          <w:sz w:val="20"/>
          <w:szCs w:val="20"/>
          <w:color w:val="auto"/>
        </w:rPr>
      </w:pPr>
    </w:p>
    <w:tbl>
      <w:tblPr>
        <w:tblLayout w:type="fixed"/>
        <w:tblInd w:w="130" w:type="dxa"/>
        <w:tblCellMar>
          <w:top w:w="0" w:type="dxa"/>
          <w:left w:w="0" w:type="dxa"/>
          <w:bottom w:w="0" w:type="dxa"/>
          <w:right w:w="0" w:type="dxa"/>
        </w:tblCellMar>
      </w:tblPr>
      <w:tr>
        <w:trPr>
          <w:trHeight w:val="189"/>
        </w:trPr>
        <w:tc>
          <w:tcPr>
            <w:tcW w:w="3440" w:type="dxa"/>
            <w:vAlign w:val="bottom"/>
            <w:tcBorders>
              <w:left w:val="single" w:sz="8" w:color="5EB5FC"/>
              <w:right w:val="single" w:sz="8" w:color="5EB5FC"/>
            </w:tcBorders>
            <w:vMerge w:val="restart"/>
            <w:shd w:val="clear" w:color="auto" w:fill="5EB5FC"/>
          </w:tcPr>
          <w:p>
            <w:pPr>
              <w:ind w:left="1700"/>
              <w:spacing w:after="0"/>
              <w:rPr>
                <w:sz w:val="20"/>
                <w:szCs w:val="20"/>
                <w:color w:val="auto"/>
              </w:rPr>
            </w:pPr>
            <w:r>
              <w:rPr>
                <w:rFonts w:ascii="Arial" w:cs="Arial" w:eastAsia="Arial" w:hAnsi="Arial"/>
                <w:sz w:val="14"/>
                <w:szCs w:val="14"/>
                <w:b w:val="1"/>
                <w:bCs w:val="1"/>
                <w:color w:val="FFFFFF"/>
              </w:rPr>
              <w:t>NEO</w:t>
            </w:r>
          </w:p>
        </w:tc>
        <w:tc>
          <w:tcPr>
            <w:tcW w:w="25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2019 Approved Total</w:t>
            </w:r>
          </w:p>
        </w:tc>
        <w:tc>
          <w:tcPr>
            <w:tcW w:w="2520" w:type="dxa"/>
            <w:vAlign w:val="bottom"/>
            <w:tcBorders>
              <w:right w:val="single" w:sz="8" w:color="5EB5FC"/>
            </w:tcBorders>
            <w:vMerge w:val="restart"/>
            <w:shd w:val="clear" w:color="auto" w:fill="5EB5FC"/>
          </w:tcPr>
          <w:p>
            <w:pPr>
              <w:ind w:left="460"/>
              <w:spacing w:after="0"/>
              <w:rPr>
                <w:sz w:val="20"/>
                <w:szCs w:val="20"/>
                <w:color w:val="auto"/>
              </w:rPr>
            </w:pPr>
            <w:r>
              <w:rPr>
                <w:rFonts w:ascii="Arial" w:cs="Arial" w:eastAsia="Arial" w:hAnsi="Arial"/>
                <w:sz w:val="14"/>
                <w:szCs w:val="14"/>
                <w:b w:val="1"/>
                <w:bCs w:val="1"/>
                <w:color w:val="FFFFFF"/>
              </w:rPr>
              <w:t>Resulting Number of RSUs</w:t>
            </w:r>
          </w:p>
        </w:tc>
        <w:tc>
          <w:tcPr>
            <w:tcW w:w="25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Resulting Number of</w:t>
            </w:r>
          </w:p>
        </w:tc>
        <w:tc>
          <w:tcPr>
            <w:tcW w:w="0" w:type="dxa"/>
            <w:vAlign w:val="bottom"/>
          </w:tcPr>
          <w:p>
            <w:pPr>
              <w:spacing w:after="0"/>
              <w:rPr>
                <w:sz w:val="1"/>
                <w:szCs w:val="1"/>
                <w:color w:val="auto"/>
              </w:rPr>
            </w:pPr>
          </w:p>
        </w:tc>
      </w:tr>
      <w:tr>
        <w:trPr>
          <w:trHeight w:val="190"/>
        </w:trPr>
        <w:tc>
          <w:tcPr>
            <w:tcW w:w="344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25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LTI Value</w:t>
            </w:r>
            <w:r>
              <w:rPr>
                <w:rFonts w:ascii="Arial" w:cs="Arial" w:eastAsia="Arial" w:hAnsi="Arial"/>
                <w:sz w:val="12"/>
                <w:szCs w:val="12"/>
                <w:b w:val="1"/>
                <w:bCs w:val="1"/>
                <w:color w:val="FFFFFF"/>
                <w:w w:val="98"/>
              </w:rPr>
              <w:t>(1)</w:t>
            </w:r>
          </w:p>
        </w:tc>
        <w:tc>
          <w:tcPr>
            <w:tcW w:w="2520" w:type="dxa"/>
            <w:vAlign w:val="bottom"/>
            <w:tcBorders>
              <w:right w:val="single" w:sz="8" w:color="5EB5FC"/>
            </w:tcBorders>
            <w:vMerge w:val="continue"/>
            <w:shd w:val="clear" w:color="auto" w:fill="5EB5FC"/>
          </w:tcPr>
          <w:p>
            <w:pPr>
              <w:spacing w:after="0"/>
              <w:rPr>
                <w:sz w:val="16"/>
                <w:szCs w:val="16"/>
                <w:color w:val="auto"/>
              </w:rPr>
            </w:pPr>
          </w:p>
        </w:tc>
        <w:tc>
          <w:tcPr>
            <w:tcW w:w="25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PSUs at Target</w:t>
            </w:r>
          </w:p>
        </w:tc>
        <w:tc>
          <w:tcPr>
            <w:tcW w:w="0" w:type="dxa"/>
            <w:vAlign w:val="bottom"/>
          </w:tcPr>
          <w:p>
            <w:pPr>
              <w:spacing w:after="0"/>
              <w:rPr>
                <w:sz w:val="1"/>
                <w:szCs w:val="1"/>
                <w:color w:val="auto"/>
              </w:rPr>
            </w:pPr>
          </w:p>
        </w:tc>
      </w:tr>
      <w:tr>
        <w:trPr>
          <w:trHeight w:val="93"/>
        </w:trPr>
        <w:tc>
          <w:tcPr>
            <w:tcW w:w="3440" w:type="dxa"/>
            <w:vAlign w:val="bottom"/>
            <w:tcBorders>
              <w:left w:val="single" w:sz="8" w:color="5EB5FC"/>
              <w:right w:val="single" w:sz="8" w:color="5EB5FC"/>
            </w:tcBorders>
            <w:shd w:val="clear" w:color="auto" w:fill="5EB5FC"/>
          </w:tcPr>
          <w:p>
            <w:pPr>
              <w:spacing w:after="0"/>
              <w:rPr>
                <w:sz w:val="8"/>
                <w:szCs w:val="8"/>
                <w:color w:val="auto"/>
              </w:rPr>
            </w:pPr>
          </w:p>
        </w:tc>
        <w:tc>
          <w:tcPr>
            <w:tcW w:w="2540" w:type="dxa"/>
            <w:vAlign w:val="bottom"/>
            <w:tcBorders>
              <w:right w:val="single" w:sz="8" w:color="5EB5FC"/>
            </w:tcBorders>
            <w:shd w:val="clear" w:color="auto" w:fill="5EB5FC"/>
          </w:tcPr>
          <w:p>
            <w:pPr>
              <w:spacing w:after="0"/>
              <w:rPr>
                <w:sz w:val="8"/>
                <w:szCs w:val="8"/>
                <w:color w:val="auto"/>
              </w:rPr>
            </w:pPr>
          </w:p>
        </w:tc>
        <w:tc>
          <w:tcPr>
            <w:tcW w:w="2520" w:type="dxa"/>
            <w:vAlign w:val="bottom"/>
            <w:tcBorders>
              <w:right w:val="single" w:sz="8" w:color="5EB5FC"/>
            </w:tcBorders>
            <w:shd w:val="clear" w:color="auto" w:fill="5EB5FC"/>
          </w:tcPr>
          <w:p>
            <w:pPr>
              <w:spacing w:after="0"/>
              <w:rPr>
                <w:sz w:val="8"/>
                <w:szCs w:val="8"/>
                <w:color w:val="auto"/>
              </w:rPr>
            </w:pPr>
          </w:p>
        </w:tc>
        <w:tc>
          <w:tcPr>
            <w:tcW w:w="254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83"/>
        </w:trPr>
        <w:tc>
          <w:tcPr>
            <w:tcW w:w="3440" w:type="dxa"/>
            <w:vAlign w:val="bottom"/>
            <w:tcBorders>
              <w:left w:val="single" w:sz="8" w:color="A0DBF9"/>
              <w:right w:val="single" w:sz="8" w:color="A0DBF9"/>
            </w:tcBorders>
            <w:shd w:val="clear" w:color="auto" w:fill="E2F4FC"/>
          </w:tcPr>
          <w:p>
            <w:pPr>
              <w:ind w:left="200"/>
              <w:spacing w:after="0"/>
              <w:rPr>
                <w:sz w:val="20"/>
                <w:szCs w:val="20"/>
                <w:color w:val="auto"/>
              </w:rPr>
            </w:pPr>
            <w:r>
              <w:rPr>
                <w:rFonts w:ascii="Arial" w:cs="Arial" w:eastAsia="Arial" w:hAnsi="Arial"/>
                <w:sz w:val="18"/>
                <w:szCs w:val="18"/>
                <w:b w:val="1"/>
                <w:bCs w:val="1"/>
                <w:color w:val="auto"/>
              </w:rPr>
              <w:t>Mary Anne Heino</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$2,058,746</w:t>
            </w:r>
          </w:p>
        </w:tc>
        <w:tc>
          <w:tcPr>
            <w:tcW w:w="2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44,084</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44,085</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2520" w:type="dxa"/>
            <w:vAlign w:val="bottom"/>
            <w:tcBorders>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440" w:type="dxa"/>
            <w:vAlign w:val="bottom"/>
            <w:tcBorders>
              <w:left w:val="single" w:sz="8" w:color="A0DBF9"/>
              <w:right w:val="single" w:sz="8" w:color="A0DBF9"/>
            </w:tcBorders>
          </w:tcPr>
          <w:p>
            <w:pPr>
              <w:ind w:left="200"/>
              <w:spacing w:after="0"/>
              <w:rPr>
                <w:sz w:val="20"/>
                <w:szCs w:val="20"/>
                <w:color w:val="auto"/>
              </w:rPr>
            </w:pPr>
            <w:r>
              <w:rPr>
                <w:rFonts w:ascii="Arial" w:cs="Arial" w:eastAsia="Arial" w:hAnsi="Arial"/>
                <w:sz w:val="18"/>
                <w:szCs w:val="18"/>
                <w:b w:val="1"/>
                <w:bCs w:val="1"/>
                <w:color w:val="auto"/>
              </w:rPr>
              <w:t>Robert J. Marshall, Jr.</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$465,739</w:t>
            </w:r>
          </w:p>
        </w:tc>
        <w:tc>
          <w:tcPr>
            <w:tcW w:w="2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9,973</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9,973</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2520" w:type="dxa"/>
            <w:vAlign w:val="bottom"/>
            <w:tcBorders>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440" w:type="dxa"/>
            <w:vAlign w:val="bottom"/>
            <w:tcBorders>
              <w:left w:val="single" w:sz="8" w:color="A0DBF9"/>
              <w:right w:val="single" w:sz="8" w:color="A0DBF9"/>
            </w:tcBorders>
            <w:shd w:val="clear" w:color="auto" w:fill="E2F4FC"/>
          </w:tcPr>
          <w:p>
            <w:pPr>
              <w:ind w:left="200"/>
              <w:spacing w:after="0"/>
              <w:rPr>
                <w:sz w:val="20"/>
                <w:szCs w:val="20"/>
                <w:color w:val="auto"/>
              </w:rPr>
            </w:pPr>
            <w:r>
              <w:rPr>
                <w:rFonts w:ascii="Arial" w:cs="Arial" w:eastAsia="Arial" w:hAnsi="Arial"/>
                <w:sz w:val="18"/>
                <w:szCs w:val="18"/>
                <w:b w:val="1"/>
                <w:bCs w:val="1"/>
                <w:color w:val="auto"/>
              </w:rPr>
              <w:t>John Bolla</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$377,196</w:t>
            </w:r>
          </w:p>
        </w:tc>
        <w:tc>
          <w:tcPr>
            <w:tcW w:w="2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8,077</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8,077</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2520" w:type="dxa"/>
            <w:vAlign w:val="bottom"/>
            <w:tcBorders>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440" w:type="dxa"/>
            <w:vAlign w:val="bottom"/>
            <w:tcBorders>
              <w:left w:val="single" w:sz="8" w:color="A0DBF9"/>
              <w:right w:val="single" w:sz="8" w:color="A0DBF9"/>
            </w:tcBorders>
          </w:tcPr>
          <w:p>
            <w:pPr>
              <w:ind w:left="200"/>
              <w:spacing w:after="0"/>
              <w:rPr>
                <w:sz w:val="20"/>
                <w:szCs w:val="20"/>
                <w:color w:val="auto"/>
              </w:rPr>
            </w:pPr>
            <w:r>
              <w:rPr>
                <w:rFonts w:ascii="Arial" w:cs="Arial" w:eastAsia="Arial" w:hAnsi="Arial"/>
                <w:sz w:val="18"/>
                <w:szCs w:val="18"/>
                <w:b w:val="1"/>
                <w:bCs w:val="1"/>
                <w:color w:val="auto"/>
              </w:rPr>
              <w:t>Michael P. Duffy</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$468,027</w:t>
            </w:r>
          </w:p>
        </w:tc>
        <w:tc>
          <w:tcPr>
            <w:tcW w:w="2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10,022</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10,022</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2520" w:type="dxa"/>
            <w:vAlign w:val="bottom"/>
            <w:tcBorders>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r>
        <w:trPr>
          <w:trHeight w:val="263"/>
        </w:trPr>
        <w:tc>
          <w:tcPr>
            <w:tcW w:w="3440" w:type="dxa"/>
            <w:vAlign w:val="bottom"/>
            <w:tcBorders>
              <w:left w:val="single" w:sz="8" w:color="A0DBF9"/>
              <w:right w:val="single" w:sz="8" w:color="A0DBF9"/>
            </w:tcBorders>
            <w:shd w:val="clear" w:color="auto" w:fill="E2F4FC"/>
          </w:tcPr>
          <w:p>
            <w:pPr>
              <w:ind w:left="200"/>
              <w:spacing w:after="0"/>
              <w:rPr>
                <w:sz w:val="20"/>
                <w:szCs w:val="20"/>
                <w:color w:val="auto"/>
              </w:rPr>
            </w:pPr>
            <w:r>
              <w:rPr>
                <w:rFonts w:ascii="Arial" w:cs="Arial" w:eastAsia="Arial" w:hAnsi="Arial"/>
                <w:sz w:val="18"/>
                <w:szCs w:val="18"/>
                <w:b w:val="1"/>
                <w:bCs w:val="1"/>
                <w:color w:val="auto"/>
              </w:rPr>
              <w:t>Simon Robinson, Ph.D.</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$377,196</w:t>
            </w:r>
          </w:p>
        </w:tc>
        <w:tc>
          <w:tcPr>
            <w:tcW w:w="25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8,077</w:t>
            </w:r>
          </w:p>
        </w:tc>
        <w:tc>
          <w:tcPr>
            <w:tcW w:w="25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8,077</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2520" w:type="dxa"/>
            <w:vAlign w:val="bottom"/>
            <w:tcBorders>
              <w:bottom w:val="single" w:sz="8" w:color="A0DBF9"/>
              <w:right w:val="single" w:sz="8" w:color="A0DBF9"/>
            </w:tcBorders>
            <w:shd w:val="clear" w:color="auto" w:fill="E2F4FC"/>
          </w:tcPr>
          <w:p>
            <w:pPr>
              <w:spacing w:after="0"/>
              <w:rPr>
                <w:sz w:val="9"/>
                <w:szCs w:val="9"/>
                <w:color w:val="auto"/>
              </w:rPr>
            </w:pPr>
          </w:p>
        </w:tc>
        <w:tc>
          <w:tcPr>
            <w:tcW w:w="254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264"/>
        </w:trPr>
        <w:tc>
          <w:tcPr>
            <w:tcW w:w="3440" w:type="dxa"/>
            <w:vAlign w:val="bottom"/>
            <w:tcBorders>
              <w:left w:val="single" w:sz="8" w:color="A0DBF9"/>
              <w:right w:val="single" w:sz="8" w:color="A0DBF9"/>
            </w:tcBorders>
          </w:tcPr>
          <w:p>
            <w:pPr>
              <w:ind w:left="200"/>
              <w:spacing w:after="0"/>
              <w:rPr>
                <w:sz w:val="20"/>
                <w:szCs w:val="20"/>
                <w:color w:val="auto"/>
              </w:rPr>
            </w:pPr>
            <w:r>
              <w:rPr>
                <w:rFonts w:ascii="Arial" w:cs="Arial" w:eastAsia="Arial" w:hAnsi="Arial"/>
                <w:sz w:val="18"/>
                <w:szCs w:val="18"/>
                <w:b w:val="1"/>
                <w:bCs w:val="1"/>
                <w:color w:val="auto"/>
              </w:rPr>
              <w:t>Cesare Orlandi, M.D.</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$313,497</w:t>
            </w:r>
          </w:p>
        </w:tc>
        <w:tc>
          <w:tcPr>
            <w:tcW w:w="25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6,713</w:t>
            </w:r>
          </w:p>
        </w:tc>
        <w:tc>
          <w:tcPr>
            <w:tcW w:w="25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6,713</w:t>
            </w:r>
          </w:p>
        </w:tc>
        <w:tc>
          <w:tcPr>
            <w:tcW w:w="0" w:type="dxa"/>
            <w:vAlign w:val="bottom"/>
          </w:tcPr>
          <w:p>
            <w:pPr>
              <w:spacing w:after="0"/>
              <w:rPr>
                <w:sz w:val="1"/>
                <w:szCs w:val="1"/>
                <w:color w:val="auto"/>
              </w:rPr>
            </w:pPr>
          </w:p>
        </w:tc>
      </w:tr>
      <w:tr>
        <w:trPr>
          <w:trHeight w:val="108"/>
        </w:trPr>
        <w:tc>
          <w:tcPr>
            <w:tcW w:w="3440" w:type="dxa"/>
            <w:vAlign w:val="bottom"/>
            <w:tcBorders>
              <w:left w:val="single" w:sz="8" w:color="A0DBF9"/>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2520" w:type="dxa"/>
            <w:vAlign w:val="bottom"/>
            <w:tcBorders>
              <w:bottom w:val="single" w:sz="8" w:color="A0DBF9"/>
              <w:right w:val="single" w:sz="8" w:color="A0DBF9"/>
            </w:tcBorders>
          </w:tcPr>
          <w:p>
            <w:pPr>
              <w:spacing w:after="0"/>
              <w:rPr>
                <w:sz w:val="9"/>
                <w:szCs w:val="9"/>
                <w:color w:val="auto"/>
              </w:rPr>
            </w:pPr>
          </w:p>
        </w:tc>
        <w:tc>
          <w:tcPr>
            <w:tcW w:w="254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80" w:hanging="424"/>
        <w:spacing w:after="0" w:line="253" w:lineRule="auto"/>
        <w:tabs>
          <w:tab w:leader="none" w:pos="540" w:val="left"/>
        </w:tabs>
        <w:numPr>
          <w:ilvl w:val="0"/>
          <w:numId w:val="44"/>
        </w:numPr>
        <w:rPr>
          <w:rFonts w:ascii="Arial" w:cs="Arial" w:eastAsia="Arial" w:hAnsi="Arial"/>
          <w:sz w:val="14"/>
          <w:szCs w:val="14"/>
          <w:color w:val="auto"/>
        </w:rPr>
      </w:pPr>
      <w:r>
        <w:rPr>
          <w:rFonts w:ascii="Arial" w:cs="Arial" w:eastAsia="Arial" w:hAnsi="Arial"/>
          <w:sz w:val="14"/>
          <w:szCs w:val="14"/>
          <w:color w:val="auto"/>
        </w:rPr>
        <w:t>For PSUs, the value shown reflects the target number of units granted, multiplied by the closing price of Lantheus common stock on the grant date. This is not the grant date fair value under ASC Topic 718 and thus may differ from amounts disclosed in other sections of this proxy statement.</w:t>
      </w:r>
    </w:p>
    <w:p>
      <w:pPr>
        <w:spacing w:after="0" w:line="28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Mix for 2019</w:t>
      </w:r>
    </w:p>
    <w:p>
      <w:pPr>
        <w:spacing w:after="0" w:line="121" w:lineRule="exact"/>
        <w:rPr>
          <w:sz w:val="20"/>
          <w:szCs w:val="20"/>
          <w:color w:val="auto"/>
        </w:rPr>
      </w:pPr>
    </w:p>
    <w:p>
      <w:pPr>
        <w:ind w:left="120" w:right="400" w:firstLine="440"/>
        <w:spacing w:after="0" w:line="279" w:lineRule="auto"/>
        <w:rPr>
          <w:sz w:val="20"/>
          <w:szCs w:val="20"/>
          <w:color w:val="auto"/>
        </w:rPr>
      </w:pPr>
      <w:r>
        <w:rPr>
          <w:rFonts w:ascii="Arial" w:cs="Arial" w:eastAsia="Arial" w:hAnsi="Arial"/>
          <w:sz w:val="17"/>
          <w:szCs w:val="17"/>
          <w:color w:val="auto"/>
        </w:rPr>
        <w:t>The table below illustrates the cash-paid and equity-granted (at target) components of the compensation for our NEOs for 2019. While the Compensation Committee does not specify a target mix of compensation, a significant portion of an NEO’s total compensation opportunity is set as variable compensation that aligns the NEO’s compensation with financial, strategic and stockholder performance. For 2019, 80% of our CEO’s compensation was variable compensation and 62% of our other NEO’s compensation was variable compensation: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134620</wp:posOffset>
            </wp:positionV>
            <wp:extent cx="4989195" cy="24771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89195" cy="24771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540" w:right="80" w:hanging="424"/>
        <w:spacing w:after="0" w:line="253" w:lineRule="auto"/>
        <w:tabs>
          <w:tab w:leader="none" w:pos="540" w:val="left"/>
        </w:tabs>
        <w:numPr>
          <w:ilvl w:val="0"/>
          <w:numId w:val="45"/>
        </w:numPr>
        <w:rPr>
          <w:rFonts w:ascii="Arial" w:cs="Arial" w:eastAsia="Arial" w:hAnsi="Arial"/>
          <w:sz w:val="14"/>
          <w:szCs w:val="14"/>
          <w:color w:val="auto"/>
        </w:rPr>
      </w:pPr>
      <w:r>
        <w:rPr>
          <w:rFonts w:ascii="Arial" w:cs="Arial" w:eastAsia="Arial" w:hAnsi="Arial"/>
          <w:sz w:val="14"/>
          <w:szCs w:val="14"/>
          <w:color w:val="auto"/>
        </w:rPr>
        <w:t>For PSUs, the value shown reflects the target number of units granted, multiplied by the closing price of Lantheus common stock on the grant date. This is not the grant date fair value under ASC Topic 718 and thus may differ from amounts disclosed in other sections of this proxy statement.</w:t>
      </w:r>
    </w:p>
    <w:p>
      <w:pPr>
        <w:spacing w:after="0" w:line="11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140"/>
          </w:cols>
          <w:pgMar w:left="320" w:top="459" w:right="4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Benefits</w:t>
      </w:r>
    </w:p>
    <w:p>
      <w:pPr>
        <w:spacing w:after="0" w:line="121" w:lineRule="exact"/>
        <w:rPr>
          <w:sz w:val="20"/>
          <w:szCs w:val="20"/>
          <w:color w:val="auto"/>
        </w:rPr>
      </w:pPr>
    </w:p>
    <w:p>
      <w:pPr>
        <w:ind w:left="120" w:right="100" w:firstLine="440"/>
        <w:spacing w:after="0" w:line="255" w:lineRule="auto"/>
        <w:rPr>
          <w:sz w:val="20"/>
          <w:szCs w:val="20"/>
          <w:color w:val="auto"/>
        </w:rPr>
      </w:pPr>
      <w:r>
        <w:rPr>
          <w:rFonts w:ascii="Arial" w:cs="Arial" w:eastAsia="Arial" w:hAnsi="Arial"/>
          <w:sz w:val="18"/>
          <w:szCs w:val="18"/>
          <w:color w:val="auto"/>
        </w:rPr>
        <w:t>In exchange for being bound by certain restrictive covenants and providing a release and waiver in favor of the Company, we provide our CEO and her direct reports with severance and “double trigger” change of control benefits in connection with certain qualifying terminations of employment. We believe that providing our NEOs with market-competitive employment protections in the event of certain employment terminations serves as an important retention tool and ensures that they remain dedicated, motivated and focused on achieving the best results for our stockholders. Additional details on these arrangements can be found under “</w:t>
      </w:r>
      <w:r>
        <w:rPr>
          <w:rFonts w:ascii="Arial" w:cs="Arial" w:eastAsia="Arial" w:hAnsi="Arial"/>
          <w:sz w:val="18"/>
          <w:szCs w:val="18"/>
          <w:i w:val="1"/>
          <w:iCs w:val="1"/>
          <w:color w:val="auto"/>
        </w:rPr>
        <w:t>Employment Agreements; Severance and Potential Payments, Upon Termination or 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w:t>
      </w:r>
    </w:p>
    <w:p>
      <w:pPr>
        <w:spacing w:after="0" w:line="192" w:lineRule="exact"/>
        <w:rPr>
          <w:sz w:val="20"/>
          <w:szCs w:val="20"/>
          <w:color w:val="auto"/>
        </w:rPr>
      </w:pPr>
    </w:p>
    <w:p>
      <w:pPr>
        <w:ind w:left="120" w:right="80" w:firstLine="440"/>
        <w:spacing w:after="0" w:line="257" w:lineRule="auto"/>
        <w:rPr>
          <w:sz w:val="20"/>
          <w:szCs w:val="20"/>
          <w:color w:val="auto"/>
        </w:rPr>
      </w:pPr>
      <w:r>
        <w:rPr>
          <w:rFonts w:ascii="Arial" w:cs="Arial" w:eastAsia="Arial" w:hAnsi="Arial"/>
          <w:sz w:val="18"/>
          <w:szCs w:val="18"/>
          <w:color w:val="auto"/>
        </w:rPr>
        <w:t>We generally reimburse relocation expenses for newly hired NEOs whom we require to relocate as a condition to their employment with us. We also have, and may in the future, pay local housing expenses and travel costs for a limited time for executives who maintain a primary residence outside of a reasonable daily commuting range to our headquarters prior to that executive’s relocation. We believe that these are typical benefits offered by comparable companies to executives who are asked to relocate and that if we did not offer such assistance we would be at a competitive disadvantage in trying to attract executives who would need to relocate in order to work for us.</w:t>
      </w:r>
    </w:p>
    <w:p>
      <w:pPr>
        <w:spacing w:after="0" w:line="188" w:lineRule="exact"/>
        <w:rPr>
          <w:sz w:val="20"/>
          <w:szCs w:val="20"/>
          <w:color w:val="auto"/>
        </w:rPr>
      </w:pPr>
    </w:p>
    <w:p>
      <w:pPr>
        <w:ind w:left="120" w:right="160" w:firstLine="440"/>
        <w:spacing w:after="0" w:line="342" w:lineRule="auto"/>
        <w:rPr>
          <w:sz w:val="20"/>
          <w:szCs w:val="20"/>
          <w:color w:val="auto"/>
        </w:rPr>
      </w:pPr>
      <w:r>
        <w:rPr>
          <w:rFonts w:ascii="Arial" w:cs="Arial" w:eastAsia="Arial" w:hAnsi="Arial"/>
          <w:sz w:val="16"/>
          <w:szCs w:val="16"/>
          <w:color w:val="auto"/>
        </w:rPr>
        <w:t>In connection with hire as Chief Financial Officer of the Company, Mr. Marshall received reimbursement for relocation expenses of $17,333 and $134,591 in 2018 and 2019, respectively, which amounts include $6,023 and $37,020, respectively, in tax gross up for those relocation expenses.</w:t>
      </w:r>
    </w:p>
    <w:p>
      <w:pPr>
        <w:spacing w:after="0" w:line="124" w:lineRule="exact"/>
        <w:rPr>
          <w:sz w:val="20"/>
          <w:szCs w:val="20"/>
          <w:color w:val="auto"/>
        </w:rPr>
      </w:pPr>
    </w:p>
    <w:p>
      <w:pPr>
        <w:ind w:left="120" w:right="660" w:firstLine="440"/>
        <w:spacing w:after="0" w:line="263" w:lineRule="auto"/>
        <w:rPr>
          <w:sz w:val="20"/>
          <w:szCs w:val="20"/>
          <w:color w:val="auto"/>
        </w:rPr>
      </w:pPr>
      <w:r>
        <w:rPr>
          <w:rFonts w:ascii="Arial" w:cs="Arial" w:eastAsia="Arial" w:hAnsi="Arial"/>
          <w:sz w:val="18"/>
          <w:szCs w:val="18"/>
          <w:color w:val="auto"/>
        </w:rPr>
        <w:t>We offer a 401(k) qualified defined contribution plan in which our employees, including our NEOs, are eligible to participate, with a 75% employer match of each participant’s contributions up to 6% of the participant’s eligible compensation. We do not offer any other qualified or non-qualified retirement plans.</w:t>
      </w:r>
    </w:p>
    <w:p>
      <w:pPr>
        <w:spacing w:after="0" w:line="184" w:lineRule="exact"/>
        <w:rPr>
          <w:sz w:val="20"/>
          <w:szCs w:val="20"/>
          <w:color w:val="auto"/>
        </w:rPr>
      </w:pPr>
    </w:p>
    <w:p>
      <w:pPr>
        <w:ind w:left="120" w:right="60" w:firstLine="440"/>
        <w:spacing w:after="0" w:line="277" w:lineRule="auto"/>
        <w:rPr>
          <w:sz w:val="20"/>
          <w:szCs w:val="20"/>
          <w:color w:val="auto"/>
        </w:rPr>
      </w:pPr>
      <w:r>
        <w:rPr>
          <w:rFonts w:ascii="Arial" w:cs="Arial" w:eastAsia="Arial" w:hAnsi="Arial"/>
          <w:sz w:val="18"/>
          <w:szCs w:val="18"/>
          <w:color w:val="auto"/>
        </w:rPr>
        <w:t>Our welfare and employee-benefit programs are the same for all our eligible employees, including our NEOs. Our NEOs do not receive additional employee benefits outside of those offered to our other employees.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Additional Actions Taken by the Compensation Committee for 2019</w:t>
      </w:r>
    </w:p>
    <w:p>
      <w:pPr>
        <w:spacing w:after="0" w:line="121" w:lineRule="exact"/>
        <w:rPr>
          <w:sz w:val="20"/>
          <w:szCs w:val="20"/>
          <w:color w:val="auto"/>
        </w:rPr>
      </w:pPr>
    </w:p>
    <w:p>
      <w:pPr>
        <w:ind w:left="120" w:right="360" w:firstLine="440"/>
        <w:spacing w:after="0" w:line="342" w:lineRule="auto"/>
        <w:rPr>
          <w:sz w:val="20"/>
          <w:szCs w:val="20"/>
          <w:color w:val="auto"/>
        </w:rPr>
      </w:pPr>
      <w:r>
        <w:rPr>
          <w:rFonts w:ascii="Arial" w:cs="Arial" w:eastAsia="Arial" w:hAnsi="Arial"/>
          <w:sz w:val="16"/>
          <w:szCs w:val="16"/>
          <w:color w:val="auto"/>
        </w:rPr>
        <w:t>In addition to the compensation-related activities described above, in February 2020, the Compensation Committee reviewed the performance status of the following PSAs that were previously granted in 2017 and 2018: to certain employees, including certain of our NEOs:</w:t>
      </w:r>
    </w:p>
    <w:p>
      <w:pPr>
        <w:spacing w:after="0" w:line="165" w:lineRule="exact"/>
        <w:rPr>
          <w:sz w:val="20"/>
          <w:szCs w:val="20"/>
          <w:color w:val="auto"/>
        </w:rPr>
      </w:pPr>
    </w:p>
    <w:tbl>
      <w:tblPr>
        <w:tblLayout w:type="fixed"/>
        <w:tblInd w:w="130" w:type="dxa"/>
        <w:tblCellMar>
          <w:top w:w="0" w:type="dxa"/>
          <w:left w:w="0" w:type="dxa"/>
          <w:bottom w:w="0" w:type="dxa"/>
          <w:right w:w="0" w:type="dxa"/>
        </w:tblCellMar>
      </w:tblPr>
      <w:tr>
        <w:trPr>
          <w:trHeight w:val="218"/>
        </w:trPr>
        <w:tc>
          <w:tcPr>
            <w:tcW w:w="900" w:type="dxa"/>
            <w:vAlign w:val="bottom"/>
            <w:tcBorders>
              <w:left w:val="single" w:sz="8" w:color="5EB5FC"/>
              <w:right w:val="single" w:sz="8" w:color="5EB5FC"/>
            </w:tcBorders>
            <w:shd w:val="clear" w:color="auto" w:fill="5EB5FC"/>
          </w:tcPr>
          <w:p>
            <w:pPr>
              <w:ind w:left="340"/>
              <w:spacing w:after="0"/>
              <w:rPr>
                <w:sz w:val="20"/>
                <w:szCs w:val="20"/>
                <w:color w:val="auto"/>
              </w:rPr>
            </w:pPr>
            <w:r>
              <w:rPr>
                <w:rFonts w:ascii="Arial" w:cs="Arial" w:eastAsia="Arial" w:hAnsi="Arial"/>
                <w:sz w:val="14"/>
                <w:szCs w:val="14"/>
                <w:b w:val="1"/>
                <w:bCs w:val="1"/>
                <w:color w:val="FFFFFF"/>
              </w:rPr>
              <w:t>Grant</w:t>
            </w:r>
          </w:p>
        </w:tc>
        <w:tc>
          <w:tcPr>
            <w:tcW w:w="15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Award Type</w:t>
            </w:r>
          </w:p>
        </w:tc>
        <w:tc>
          <w:tcPr>
            <w:tcW w:w="16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Cycle Complete</w:t>
            </w:r>
          </w:p>
        </w:tc>
        <w:tc>
          <w:tcPr>
            <w:tcW w:w="4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89"/>
              </w:rPr>
              <w:t>Design</w:t>
            </w: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Outcome</w:t>
            </w:r>
          </w:p>
        </w:tc>
        <w:tc>
          <w:tcPr>
            <w:tcW w:w="0" w:type="dxa"/>
            <w:vAlign w:val="bottom"/>
          </w:tcPr>
          <w:p>
            <w:pPr>
              <w:spacing w:after="0"/>
              <w:rPr>
                <w:sz w:val="1"/>
                <w:szCs w:val="1"/>
                <w:color w:val="auto"/>
              </w:rPr>
            </w:pPr>
          </w:p>
        </w:tc>
      </w:tr>
      <w:tr>
        <w:trPr>
          <w:trHeight w:val="93"/>
        </w:trPr>
        <w:tc>
          <w:tcPr>
            <w:tcW w:w="900" w:type="dxa"/>
            <w:vAlign w:val="bottom"/>
            <w:tcBorders>
              <w:left w:val="single" w:sz="8" w:color="5EB5FC"/>
              <w:bottom w:val="single" w:sz="8" w:color="A0DBF9"/>
              <w:right w:val="single" w:sz="8" w:color="5EB5FC"/>
            </w:tcBorders>
            <w:shd w:val="clear" w:color="auto" w:fill="5EB5FC"/>
          </w:tcPr>
          <w:p>
            <w:pPr>
              <w:spacing w:after="0"/>
              <w:rPr>
                <w:sz w:val="8"/>
                <w:szCs w:val="8"/>
                <w:color w:val="auto"/>
              </w:rPr>
            </w:pPr>
          </w:p>
        </w:tc>
        <w:tc>
          <w:tcPr>
            <w:tcW w:w="1580" w:type="dxa"/>
            <w:vAlign w:val="bottom"/>
            <w:tcBorders>
              <w:bottom w:val="single" w:sz="8" w:color="A0DBF9"/>
              <w:right w:val="single" w:sz="8" w:color="5EB5FC"/>
            </w:tcBorders>
            <w:shd w:val="clear" w:color="auto" w:fill="5EB5FC"/>
          </w:tcPr>
          <w:p>
            <w:pPr>
              <w:spacing w:after="0"/>
              <w:rPr>
                <w:sz w:val="8"/>
                <w:szCs w:val="8"/>
                <w:color w:val="auto"/>
              </w:rPr>
            </w:pPr>
          </w:p>
        </w:tc>
        <w:tc>
          <w:tcPr>
            <w:tcW w:w="1640" w:type="dxa"/>
            <w:vAlign w:val="bottom"/>
            <w:tcBorders>
              <w:bottom w:val="single" w:sz="8" w:color="A0DBF9"/>
              <w:right w:val="single" w:sz="8" w:color="5EB5FC"/>
            </w:tcBorders>
            <w:shd w:val="clear" w:color="auto" w:fill="5EB5FC"/>
          </w:tcPr>
          <w:p>
            <w:pPr>
              <w:spacing w:after="0"/>
              <w:rPr>
                <w:sz w:val="8"/>
                <w:szCs w:val="8"/>
                <w:color w:val="auto"/>
              </w:rPr>
            </w:pPr>
          </w:p>
        </w:tc>
        <w:tc>
          <w:tcPr>
            <w:tcW w:w="4840" w:type="dxa"/>
            <w:vAlign w:val="bottom"/>
            <w:tcBorders>
              <w:bottom w:val="single" w:sz="8" w:color="E2F4FC"/>
              <w:right w:val="single" w:sz="8" w:color="5EB5FC"/>
            </w:tcBorders>
            <w:shd w:val="clear" w:color="auto" w:fill="5EB5FC"/>
          </w:tcPr>
          <w:p>
            <w:pPr>
              <w:spacing w:after="0"/>
              <w:rPr>
                <w:sz w:val="8"/>
                <w:szCs w:val="8"/>
                <w:color w:val="auto"/>
              </w:rPr>
            </w:pPr>
          </w:p>
        </w:tc>
        <w:tc>
          <w:tcPr>
            <w:tcW w:w="2080" w:type="dxa"/>
            <w:vAlign w:val="bottom"/>
            <w:tcBorders>
              <w:bottom w:val="single" w:sz="8" w:color="A0DBF9"/>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900" w:type="dxa"/>
            <w:vAlign w:val="bottom"/>
            <w:tcBorders>
              <w:left w:val="single" w:sz="8" w:color="A0DBF9"/>
              <w:right w:val="single" w:sz="8" w:color="A0DBF9"/>
            </w:tcBorders>
            <w:shd w:val="clear" w:color="auto" w:fill="E2F4FC"/>
          </w:tcPr>
          <w:p>
            <w:pPr>
              <w:spacing w:after="0"/>
              <w:rPr>
                <w:sz w:val="19"/>
                <w:szCs w:val="19"/>
                <w:color w:val="auto"/>
              </w:rPr>
            </w:pPr>
          </w:p>
        </w:tc>
        <w:tc>
          <w:tcPr>
            <w:tcW w:w="1580" w:type="dxa"/>
            <w:vAlign w:val="bottom"/>
            <w:tcBorders>
              <w:right w:val="single" w:sz="8" w:color="A0DBF9"/>
            </w:tcBorders>
            <w:shd w:val="clear" w:color="auto" w:fill="E2F4FC"/>
          </w:tcPr>
          <w:p>
            <w:pPr>
              <w:spacing w:after="0"/>
              <w:rPr>
                <w:sz w:val="19"/>
                <w:szCs w:val="19"/>
                <w:color w:val="auto"/>
              </w:rPr>
            </w:pPr>
          </w:p>
        </w:tc>
        <w:tc>
          <w:tcPr>
            <w:tcW w:w="1640" w:type="dxa"/>
            <w:vAlign w:val="bottom"/>
            <w:tcBorders>
              <w:right w:val="single" w:sz="8" w:color="A0DBF9"/>
            </w:tcBorders>
            <w:shd w:val="clear" w:color="auto" w:fill="E2F4FC"/>
          </w:tcPr>
          <w:p>
            <w:pPr>
              <w:spacing w:after="0"/>
              <w:rPr>
                <w:sz w:val="19"/>
                <w:szCs w:val="19"/>
                <w:color w:val="auto"/>
              </w:rPr>
            </w:pPr>
          </w:p>
        </w:tc>
        <w:tc>
          <w:tcPr>
            <w:tcW w:w="48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1"/>
              </w:rPr>
              <w:t>Total Revenue and Adjusted EBITDA performance against</w:t>
            </w:r>
          </w:p>
        </w:tc>
        <w:tc>
          <w:tcPr>
            <w:tcW w:w="208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0"/>
              </w:rPr>
              <w:t>104.4% of target</w:t>
            </w:r>
          </w:p>
        </w:tc>
        <w:tc>
          <w:tcPr>
            <w:tcW w:w="0" w:type="dxa"/>
            <w:vAlign w:val="bottom"/>
          </w:tcPr>
          <w:p>
            <w:pPr>
              <w:spacing w:after="0"/>
              <w:rPr>
                <w:sz w:val="1"/>
                <w:szCs w:val="1"/>
                <w:color w:val="auto"/>
              </w:rPr>
            </w:pPr>
          </w:p>
        </w:tc>
      </w:tr>
      <w:tr>
        <w:trPr>
          <w:trHeight w:val="178"/>
        </w:trPr>
        <w:tc>
          <w:tcPr>
            <w:tcW w:w="900" w:type="dxa"/>
            <w:vAlign w:val="bottom"/>
            <w:tcBorders>
              <w:left w:val="single" w:sz="8" w:color="A0DBF9"/>
              <w:right w:val="single" w:sz="8" w:color="A0DBF9"/>
            </w:tcBorders>
            <w:shd w:val="clear" w:color="auto" w:fill="E2F4FC"/>
          </w:tcPr>
          <w:p>
            <w:pPr>
              <w:ind w:left="340"/>
              <w:spacing w:after="0" w:line="178" w:lineRule="exact"/>
              <w:rPr>
                <w:sz w:val="20"/>
                <w:szCs w:val="20"/>
                <w:color w:val="auto"/>
              </w:rPr>
            </w:pPr>
            <w:r>
              <w:rPr>
                <w:rFonts w:ascii="Arial" w:cs="Arial" w:eastAsia="Arial" w:hAnsi="Arial"/>
                <w:sz w:val="18"/>
                <w:szCs w:val="18"/>
                <w:color w:val="auto"/>
              </w:rPr>
              <w:t>2017</w:t>
            </w:r>
          </w:p>
        </w:tc>
        <w:tc>
          <w:tcPr>
            <w:tcW w:w="1580" w:type="dxa"/>
            <w:vAlign w:val="bottom"/>
            <w:tcBorders>
              <w:right w:val="single" w:sz="8" w:color="A0DBF9"/>
            </w:tcBorders>
            <w:shd w:val="clear" w:color="auto" w:fill="E2F4FC"/>
          </w:tcPr>
          <w:p>
            <w:pPr>
              <w:jc w:val="center"/>
              <w:spacing w:after="0" w:line="178" w:lineRule="exact"/>
              <w:rPr>
                <w:sz w:val="20"/>
                <w:szCs w:val="20"/>
                <w:color w:val="auto"/>
              </w:rPr>
            </w:pPr>
            <w:r>
              <w:rPr>
                <w:rFonts w:ascii="Arial" w:cs="Arial" w:eastAsia="Arial" w:hAnsi="Arial"/>
                <w:sz w:val="18"/>
                <w:szCs w:val="18"/>
                <w:color w:val="auto"/>
                <w:w w:val="94"/>
              </w:rPr>
              <w:t>PSA</w:t>
            </w:r>
          </w:p>
        </w:tc>
        <w:tc>
          <w:tcPr>
            <w:tcW w:w="1640" w:type="dxa"/>
            <w:vAlign w:val="bottom"/>
            <w:tcBorders>
              <w:right w:val="single" w:sz="8" w:color="A0DBF9"/>
            </w:tcBorders>
            <w:shd w:val="clear" w:color="auto" w:fill="E2F4FC"/>
          </w:tcPr>
          <w:p>
            <w:pPr>
              <w:jc w:val="center"/>
              <w:spacing w:after="0" w:line="178" w:lineRule="exact"/>
              <w:rPr>
                <w:sz w:val="20"/>
                <w:szCs w:val="20"/>
                <w:color w:val="auto"/>
              </w:rPr>
            </w:pPr>
            <w:r>
              <w:rPr>
                <w:rFonts w:ascii="Arial" w:cs="Arial" w:eastAsia="Arial" w:hAnsi="Arial"/>
                <w:sz w:val="18"/>
                <w:szCs w:val="18"/>
                <w:color w:val="auto"/>
                <w:w w:val="92"/>
              </w:rPr>
              <w:t>End of 2019</w:t>
            </w:r>
          </w:p>
        </w:tc>
        <w:tc>
          <w:tcPr>
            <w:tcW w:w="4840" w:type="dxa"/>
            <w:vAlign w:val="bottom"/>
            <w:tcBorders>
              <w:right w:val="single" w:sz="8" w:color="A0DBF9"/>
            </w:tcBorders>
            <w:shd w:val="clear" w:color="auto" w:fill="E2F4FC"/>
          </w:tcPr>
          <w:p>
            <w:pPr>
              <w:jc w:val="center"/>
              <w:spacing w:after="0" w:line="178" w:lineRule="exact"/>
              <w:rPr>
                <w:sz w:val="20"/>
                <w:szCs w:val="20"/>
                <w:color w:val="auto"/>
              </w:rPr>
            </w:pPr>
            <w:r>
              <w:rPr>
                <w:rFonts w:ascii="Arial" w:cs="Arial" w:eastAsia="Arial" w:hAnsi="Arial"/>
                <w:sz w:val="18"/>
                <w:szCs w:val="18"/>
                <w:color w:val="auto"/>
                <w:w w:val="89"/>
              </w:rPr>
              <w:t>annual goals set forth in the Company’s strategic plan that was</w:t>
            </w:r>
          </w:p>
        </w:tc>
        <w:tc>
          <w:tcPr>
            <w:tcW w:w="2080" w:type="dxa"/>
            <w:vAlign w:val="bottom"/>
            <w:tcBorders>
              <w:right w:val="single" w:sz="8" w:color="A0DBF9"/>
            </w:tcBorders>
            <w:vMerge w:val="continue"/>
            <w:shd w:val="clear" w:color="auto" w:fill="E2F4FC"/>
          </w:tcPr>
          <w:p>
            <w:pPr>
              <w:spacing w:after="0"/>
              <w:rPr>
                <w:sz w:val="15"/>
                <w:szCs w:val="15"/>
                <w:color w:val="auto"/>
              </w:rPr>
            </w:pPr>
          </w:p>
        </w:tc>
        <w:tc>
          <w:tcPr>
            <w:tcW w:w="0" w:type="dxa"/>
            <w:vAlign w:val="bottom"/>
          </w:tcPr>
          <w:p>
            <w:pPr>
              <w:spacing w:after="0"/>
              <w:rPr>
                <w:sz w:val="1"/>
                <w:szCs w:val="1"/>
                <w:color w:val="auto"/>
              </w:rPr>
            </w:pPr>
          </w:p>
        </w:tc>
      </w:tr>
      <w:tr>
        <w:trPr>
          <w:trHeight w:val="268"/>
        </w:trPr>
        <w:tc>
          <w:tcPr>
            <w:tcW w:w="900" w:type="dxa"/>
            <w:vAlign w:val="bottom"/>
            <w:tcBorders>
              <w:left w:val="single" w:sz="8" w:color="A0DBF9"/>
              <w:right w:val="single" w:sz="8" w:color="A0DBF9"/>
            </w:tcBorders>
            <w:shd w:val="clear" w:color="auto" w:fill="E2F4FC"/>
          </w:tcPr>
          <w:p>
            <w:pPr>
              <w:spacing w:after="0"/>
              <w:rPr>
                <w:sz w:val="23"/>
                <w:szCs w:val="23"/>
                <w:color w:val="auto"/>
              </w:rPr>
            </w:pPr>
          </w:p>
        </w:tc>
        <w:tc>
          <w:tcPr>
            <w:tcW w:w="1580" w:type="dxa"/>
            <w:vAlign w:val="bottom"/>
            <w:tcBorders>
              <w:right w:val="single" w:sz="8" w:color="A0DBF9"/>
            </w:tcBorders>
            <w:shd w:val="clear" w:color="auto" w:fill="E2F4FC"/>
          </w:tcPr>
          <w:p>
            <w:pPr>
              <w:spacing w:after="0"/>
              <w:rPr>
                <w:sz w:val="23"/>
                <w:szCs w:val="23"/>
                <w:color w:val="auto"/>
              </w:rPr>
            </w:pPr>
          </w:p>
        </w:tc>
        <w:tc>
          <w:tcPr>
            <w:tcW w:w="1640" w:type="dxa"/>
            <w:vAlign w:val="bottom"/>
            <w:tcBorders>
              <w:right w:val="single" w:sz="8" w:color="A0DBF9"/>
            </w:tcBorders>
            <w:shd w:val="clear" w:color="auto" w:fill="E2F4FC"/>
          </w:tcPr>
          <w:p>
            <w:pPr>
              <w:spacing w:after="0"/>
              <w:rPr>
                <w:sz w:val="23"/>
                <w:szCs w:val="23"/>
                <w:color w:val="auto"/>
              </w:rPr>
            </w:pPr>
          </w:p>
        </w:tc>
        <w:tc>
          <w:tcPr>
            <w:tcW w:w="484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approved by the Board prior to the grant date.</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achievement</w:t>
            </w:r>
          </w:p>
        </w:tc>
        <w:tc>
          <w:tcPr>
            <w:tcW w:w="0" w:type="dxa"/>
            <w:vAlign w:val="bottom"/>
          </w:tcPr>
          <w:p>
            <w:pPr>
              <w:spacing w:after="0"/>
              <w:rPr>
                <w:sz w:val="1"/>
                <w:szCs w:val="1"/>
                <w:color w:val="auto"/>
              </w:rPr>
            </w:pPr>
          </w:p>
        </w:tc>
      </w:tr>
      <w:tr>
        <w:trPr>
          <w:trHeight w:val="189"/>
        </w:trPr>
        <w:tc>
          <w:tcPr>
            <w:tcW w:w="900" w:type="dxa"/>
            <w:vAlign w:val="bottom"/>
            <w:tcBorders>
              <w:left w:val="single" w:sz="8" w:color="A0DBF9"/>
              <w:bottom w:val="single" w:sz="8" w:color="A0DBF9"/>
              <w:right w:val="single" w:sz="8" w:color="A0DBF9"/>
            </w:tcBorders>
            <w:shd w:val="clear" w:color="auto" w:fill="E2F4FC"/>
          </w:tcPr>
          <w:p>
            <w:pPr>
              <w:spacing w:after="0"/>
              <w:rPr>
                <w:sz w:val="16"/>
                <w:szCs w:val="16"/>
                <w:color w:val="auto"/>
              </w:rPr>
            </w:pPr>
          </w:p>
        </w:tc>
        <w:tc>
          <w:tcPr>
            <w:tcW w:w="1580" w:type="dxa"/>
            <w:vAlign w:val="bottom"/>
            <w:tcBorders>
              <w:bottom w:val="single" w:sz="8" w:color="A0DBF9"/>
              <w:right w:val="single" w:sz="8" w:color="A0DBF9"/>
            </w:tcBorders>
            <w:shd w:val="clear" w:color="auto" w:fill="E2F4FC"/>
          </w:tcPr>
          <w:p>
            <w:pPr>
              <w:spacing w:after="0"/>
              <w:rPr>
                <w:sz w:val="16"/>
                <w:szCs w:val="16"/>
                <w:color w:val="auto"/>
              </w:rPr>
            </w:pPr>
          </w:p>
        </w:tc>
        <w:tc>
          <w:tcPr>
            <w:tcW w:w="1640" w:type="dxa"/>
            <w:vAlign w:val="bottom"/>
            <w:tcBorders>
              <w:bottom w:val="single" w:sz="8" w:color="A0DBF9"/>
              <w:right w:val="single" w:sz="8" w:color="A0DBF9"/>
            </w:tcBorders>
            <w:shd w:val="clear" w:color="auto" w:fill="E2F4FC"/>
          </w:tcPr>
          <w:p>
            <w:pPr>
              <w:spacing w:after="0"/>
              <w:rPr>
                <w:sz w:val="16"/>
                <w:szCs w:val="16"/>
                <w:color w:val="auto"/>
              </w:rPr>
            </w:pPr>
          </w:p>
        </w:tc>
        <w:tc>
          <w:tcPr>
            <w:tcW w:w="4840" w:type="dxa"/>
            <w:vAlign w:val="bottom"/>
            <w:tcBorders>
              <w:bottom w:val="single" w:sz="8" w:color="A0DBF9"/>
              <w:right w:val="single" w:sz="8" w:color="A0DBF9"/>
            </w:tcBorders>
            <w:shd w:val="clear" w:color="auto" w:fill="E2F4FC"/>
          </w:tcPr>
          <w:p>
            <w:pPr>
              <w:spacing w:after="0"/>
              <w:rPr>
                <w:sz w:val="16"/>
                <w:szCs w:val="16"/>
                <w:color w:val="auto"/>
              </w:rPr>
            </w:pPr>
          </w:p>
        </w:tc>
        <w:tc>
          <w:tcPr>
            <w:tcW w:w="2080" w:type="dxa"/>
            <w:vAlign w:val="bottom"/>
            <w:tcBorders>
              <w:bottom w:val="single" w:sz="8" w:color="A0DBF9"/>
              <w:right w:val="single" w:sz="8" w:color="A0DBF9"/>
            </w:tcBorders>
            <w:shd w:val="clear" w:color="auto" w:fill="E2F4FC"/>
          </w:tcPr>
          <w:p>
            <w:pPr>
              <w:spacing w:after="0"/>
              <w:rPr>
                <w:sz w:val="16"/>
                <w:szCs w:val="16"/>
                <w:color w:val="auto"/>
              </w:rPr>
            </w:pPr>
          </w:p>
        </w:tc>
        <w:tc>
          <w:tcPr>
            <w:tcW w:w="0" w:type="dxa"/>
            <w:vAlign w:val="bottom"/>
          </w:tcPr>
          <w:p>
            <w:pPr>
              <w:spacing w:after="0"/>
              <w:rPr>
                <w:sz w:val="1"/>
                <w:szCs w:val="1"/>
                <w:color w:val="auto"/>
              </w:rPr>
            </w:pPr>
          </w:p>
        </w:tc>
      </w:tr>
      <w:tr>
        <w:trPr>
          <w:trHeight w:val="276"/>
        </w:trPr>
        <w:tc>
          <w:tcPr>
            <w:tcW w:w="900" w:type="dxa"/>
            <w:vAlign w:val="bottom"/>
            <w:tcBorders>
              <w:left w:val="single" w:sz="8" w:color="A0DBF9"/>
              <w:right w:val="single" w:sz="8" w:color="A0DBF9"/>
            </w:tcBorders>
            <w:vMerge w:val="restart"/>
          </w:tcPr>
          <w:p>
            <w:pPr>
              <w:ind w:left="340"/>
              <w:spacing w:after="0"/>
              <w:rPr>
                <w:sz w:val="20"/>
                <w:szCs w:val="20"/>
                <w:color w:val="auto"/>
              </w:rPr>
            </w:pPr>
            <w:r>
              <w:rPr>
                <w:rFonts w:ascii="Arial" w:cs="Arial" w:eastAsia="Arial" w:hAnsi="Arial"/>
                <w:sz w:val="18"/>
                <w:szCs w:val="18"/>
                <w:color w:val="auto"/>
              </w:rPr>
              <w:t>2018</w:t>
            </w:r>
          </w:p>
        </w:tc>
        <w:tc>
          <w:tcPr>
            <w:tcW w:w="158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4"/>
              </w:rPr>
              <w:t>PSA</w:t>
            </w:r>
          </w:p>
        </w:tc>
        <w:tc>
          <w:tcPr>
            <w:tcW w:w="16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2"/>
              </w:rPr>
              <w:t>End of 2020</w:t>
            </w:r>
          </w:p>
        </w:tc>
        <w:tc>
          <w:tcPr>
            <w:tcW w:w="484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rTSR performance against</w:t>
            </w:r>
          </w:p>
        </w:tc>
        <w:tc>
          <w:tcPr>
            <w:tcW w:w="208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89"/>
              </w:rPr>
              <w:t>To be determined</w:t>
            </w:r>
          </w:p>
        </w:tc>
        <w:tc>
          <w:tcPr>
            <w:tcW w:w="0" w:type="dxa"/>
            <w:vAlign w:val="bottom"/>
          </w:tcPr>
          <w:p>
            <w:pPr>
              <w:spacing w:after="0"/>
              <w:rPr>
                <w:sz w:val="1"/>
                <w:szCs w:val="1"/>
                <w:color w:val="auto"/>
              </w:rPr>
            </w:pPr>
          </w:p>
        </w:tc>
      </w:tr>
      <w:tr>
        <w:trPr>
          <w:trHeight w:val="149"/>
        </w:trPr>
        <w:tc>
          <w:tcPr>
            <w:tcW w:w="900" w:type="dxa"/>
            <w:vAlign w:val="bottom"/>
            <w:tcBorders>
              <w:left w:val="single" w:sz="8" w:color="A0DBF9"/>
              <w:right w:val="single" w:sz="8" w:color="A0DBF9"/>
            </w:tcBorders>
            <w:vMerge w:val="continue"/>
          </w:tcPr>
          <w:p>
            <w:pPr>
              <w:spacing w:after="0"/>
              <w:rPr>
                <w:sz w:val="12"/>
                <w:szCs w:val="12"/>
                <w:color w:val="auto"/>
              </w:rPr>
            </w:pPr>
          </w:p>
        </w:tc>
        <w:tc>
          <w:tcPr>
            <w:tcW w:w="1580" w:type="dxa"/>
            <w:vAlign w:val="bottom"/>
            <w:tcBorders>
              <w:right w:val="single" w:sz="8" w:color="A0DBF9"/>
            </w:tcBorders>
            <w:vMerge w:val="continue"/>
          </w:tcPr>
          <w:p>
            <w:pPr>
              <w:spacing w:after="0"/>
              <w:rPr>
                <w:sz w:val="12"/>
                <w:szCs w:val="12"/>
                <w:color w:val="auto"/>
              </w:rPr>
            </w:pPr>
          </w:p>
        </w:tc>
        <w:tc>
          <w:tcPr>
            <w:tcW w:w="1640" w:type="dxa"/>
            <w:vAlign w:val="bottom"/>
            <w:tcBorders>
              <w:right w:val="single" w:sz="8" w:color="A0DBF9"/>
            </w:tcBorders>
            <w:vMerge w:val="continue"/>
          </w:tcPr>
          <w:p>
            <w:pPr>
              <w:spacing w:after="0"/>
              <w:rPr>
                <w:sz w:val="12"/>
                <w:szCs w:val="12"/>
                <w:color w:val="auto"/>
              </w:rPr>
            </w:pPr>
          </w:p>
        </w:tc>
        <w:tc>
          <w:tcPr>
            <w:tcW w:w="48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0"/>
              </w:rPr>
              <w:t>the S&amp;P SmallCap Healthcare Index</w:t>
            </w:r>
          </w:p>
        </w:tc>
        <w:tc>
          <w:tcPr>
            <w:tcW w:w="2080" w:type="dxa"/>
            <w:vAlign w:val="bottom"/>
            <w:tcBorders>
              <w:right w:val="single" w:sz="8" w:color="A0DBF9"/>
            </w:tcBorders>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900" w:type="dxa"/>
            <w:vAlign w:val="bottom"/>
            <w:tcBorders>
              <w:left w:val="single" w:sz="8" w:color="A0DBF9"/>
              <w:right w:val="single" w:sz="8" w:color="A0DBF9"/>
            </w:tcBorders>
          </w:tcPr>
          <w:p>
            <w:pPr>
              <w:spacing w:after="0"/>
              <w:rPr>
                <w:sz w:val="7"/>
                <w:szCs w:val="7"/>
                <w:color w:val="auto"/>
              </w:rPr>
            </w:pPr>
          </w:p>
        </w:tc>
        <w:tc>
          <w:tcPr>
            <w:tcW w:w="1580" w:type="dxa"/>
            <w:vAlign w:val="bottom"/>
            <w:tcBorders>
              <w:right w:val="single" w:sz="8" w:color="A0DBF9"/>
            </w:tcBorders>
          </w:tcPr>
          <w:p>
            <w:pPr>
              <w:spacing w:after="0"/>
              <w:rPr>
                <w:sz w:val="7"/>
                <w:szCs w:val="7"/>
                <w:color w:val="auto"/>
              </w:rPr>
            </w:pPr>
          </w:p>
        </w:tc>
        <w:tc>
          <w:tcPr>
            <w:tcW w:w="1640" w:type="dxa"/>
            <w:vAlign w:val="bottom"/>
            <w:tcBorders>
              <w:right w:val="single" w:sz="8" w:color="A0DBF9"/>
            </w:tcBorders>
          </w:tcPr>
          <w:p>
            <w:pPr>
              <w:spacing w:after="0"/>
              <w:rPr>
                <w:sz w:val="7"/>
                <w:szCs w:val="7"/>
                <w:color w:val="auto"/>
              </w:rPr>
            </w:pPr>
          </w:p>
        </w:tc>
        <w:tc>
          <w:tcPr>
            <w:tcW w:w="4840" w:type="dxa"/>
            <w:vAlign w:val="bottom"/>
            <w:tcBorders>
              <w:right w:val="single" w:sz="8" w:color="A0DBF9"/>
            </w:tcBorders>
            <w:vMerge w:val="continue"/>
          </w:tcPr>
          <w:p>
            <w:pPr>
              <w:spacing w:after="0"/>
              <w:rPr>
                <w:sz w:val="7"/>
                <w:szCs w:val="7"/>
                <w:color w:val="auto"/>
              </w:rPr>
            </w:pPr>
          </w:p>
        </w:tc>
        <w:tc>
          <w:tcPr>
            <w:tcW w:w="2080" w:type="dxa"/>
            <w:vAlign w:val="bottom"/>
            <w:tcBorders>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900" w:type="dxa"/>
            <w:vAlign w:val="bottom"/>
            <w:tcBorders>
              <w:left w:val="single" w:sz="8" w:color="A0DBF9"/>
              <w:bottom w:val="single" w:sz="8" w:color="A0DBF9"/>
              <w:right w:val="single" w:sz="8" w:color="A0DBF9"/>
            </w:tcBorders>
          </w:tcPr>
          <w:p>
            <w:pPr>
              <w:spacing w:after="0"/>
              <w:rPr>
                <w:sz w:val="16"/>
                <w:szCs w:val="16"/>
                <w:color w:val="auto"/>
              </w:rPr>
            </w:pPr>
          </w:p>
        </w:tc>
        <w:tc>
          <w:tcPr>
            <w:tcW w:w="1580" w:type="dxa"/>
            <w:vAlign w:val="bottom"/>
            <w:tcBorders>
              <w:bottom w:val="single" w:sz="8" w:color="A0DBF9"/>
              <w:right w:val="single" w:sz="8" w:color="A0DBF9"/>
            </w:tcBorders>
          </w:tcPr>
          <w:p>
            <w:pPr>
              <w:spacing w:after="0"/>
              <w:rPr>
                <w:sz w:val="16"/>
                <w:szCs w:val="16"/>
                <w:color w:val="auto"/>
              </w:rPr>
            </w:pPr>
          </w:p>
        </w:tc>
        <w:tc>
          <w:tcPr>
            <w:tcW w:w="1640" w:type="dxa"/>
            <w:vAlign w:val="bottom"/>
            <w:tcBorders>
              <w:bottom w:val="single" w:sz="8" w:color="A0DBF9"/>
              <w:right w:val="single" w:sz="8" w:color="A0DBF9"/>
            </w:tcBorders>
          </w:tcPr>
          <w:p>
            <w:pPr>
              <w:spacing w:after="0"/>
              <w:rPr>
                <w:sz w:val="16"/>
                <w:szCs w:val="16"/>
                <w:color w:val="auto"/>
              </w:rPr>
            </w:pPr>
          </w:p>
        </w:tc>
        <w:tc>
          <w:tcPr>
            <w:tcW w:w="4840" w:type="dxa"/>
            <w:vAlign w:val="bottom"/>
            <w:tcBorders>
              <w:bottom w:val="single" w:sz="8" w:color="A0DBF9"/>
              <w:right w:val="single" w:sz="8" w:color="A0DBF9"/>
            </w:tcBorders>
          </w:tcPr>
          <w:p>
            <w:pPr>
              <w:spacing w:after="0"/>
              <w:rPr>
                <w:sz w:val="16"/>
                <w:szCs w:val="16"/>
                <w:color w:val="auto"/>
              </w:rPr>
            </w:pPr>
          </w:p>
        </w:tc>
        <w:tc>
          <w:tcPr>
            <w:tcW w:w="2080" w:type="dxa"/>
            <w:vAlign w:val="bottom"/>
            <w:tcBorders>
              <w:bottom w:val="single" w:sz="8" w:color="A0DBF9"/>
              <w:right w:val="single" w:sz="8" w:color="A0DBF9"/>
            </w:tcBorders>
          </w:tcPr>
          <w:p>
            <w:pPr>
              <w:spacing w:after="0"/>
              <w:rPr>
                <w:sz w:val="16"/>
                <w:szCs w:val="16"/>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40" w:firstLine="440"/>
        <w:spacing w:after="0" w:line="255" w:lineRule="auto"/>
        <w:rPr>
          <w:sz w:val="20"/>
          <w:szCs w:val="20"/>
          <w:color w:val="auto"/>
        </w:rPr>
      </w:pPr>
      <w:r>
        <w:rPr>
          <w:rFonts w:ascii="Arial" w:cs="Arial" w:eastAsia="Arial" w:hAnsi="Arial"/>
          <w:sz w:val="18"/>
          <w:szCs w:val="18"/>
          <w:color w:val="auto"/>
        </w:rPr>
        <w:t>In connection with that review, the Compensation Committee determined the performance results relating to the 2017 PSAs. One-sixth of these PSAs was eligible to be earned and vest based on the level of the Company’s achievement of each of six separate performance goals (i.e., Total Revenue performance in each of 2017, 2018 and 2019, and Adjusted EBITDA performance in each of 2017, 2018 and 2019), with 90% achievement of target performance resulting in a threshold of 50% of the target Shares awarded being earned, and 110% achievement of target performance resulting in a maximum of 120% of the target Shares awarded being earned. Results were interpolated in between threshold and target and target and maximum. These grants had an overall cap of 120%</w:t>
      </w:r>
    </w:p>
    <w:p>
      <w:pPr>
        <w:spacing w:after="0" w:line="12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40"/>
          </w:cols>
          <w:pgMar w:left="320" w:top="459" w:right="4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301" w:lineRule="auto"/>
        <w:rPr>
          <w:sz w:val="20"/>
          <w:szCs w:val="20"/>
          <w:color w:val="auto"/>
        </w:rPr>
      </w:pPr>
      <w:r>
        <w:rPr>
          <w:rFonts w:ascii="Arial" w:cs="Arial" w:eastAsia="Arial" w:hAnsi="Arial"/>
          <w:sz w:val="16"/>
          <w:szCs w:val="16"/>
          <w:color w:val="auto"/>
        </w:rPr>
        <w:t>of the target number of Shares that were eligible to be earned and vest. The level of achievement for each of the six metrics ( i.e., Total Revenue performance in each of 2017, 2018 and 2019, and Adjusted EBITDA performance in each of 2017, 2018 and 2019) was calculated independently, and vesting with respect to any one of these performance goals had no effect on any of the other performance goals. The Compensation Committee determined that, across all six tranches, an aggregate of 104.4% of the target number of Shares under 2017 PSAs had been earned, calculated as follows:</w:t>
      </w:r>
    </w:p>
    <w:p>
      <w:pPr>
        <w:spacing w:after="0" w:line="198" w:lineRule="exact"/>
        <w:rPr>
          <w:sz w:val="20"/>
          <w:szCs w:val="20"/>
          <w:color w:val="auto"/>
        </w:rPr>
      </w:pPr>
    </w:p>
    <w:tbl>
      <w:tblPr>
        <w:tblLayout w:type="fixed"/>
        <w:tblInd w:w="130" w:type="dxa"/>
        <w:tblCellMar>
          <w:top w:w="0" w:type="dxa"/>
          <w:left w:w="0" w:type="dxa"/>
          <w:bottom w:w="0" w:type="dxa"/>
          <w:right w:w="0" w:type="dxa"/>
        </w:tblCellMar>
      </w:tblPr>
      <w:tr>
        <w:trPr>
          <w:trHeight w:val="54"/>
        </w:trPr>
        <w:tc>
          <w:tcPr>
            <w:tcW w:w="1100" w:type="dxa"/>
            <w:vAlign w:val="bottom"/>
            <w:tcBorders>
              <w:left w:val="single" w:sz="8" w:color="5EB5FC"/>
              <w:right w:val="single" w:sz="8" w:color="5EB5FC"/>
            </w:tcBorders>
            <w:shd w:val="clear" w:color="auto" w:fill="5EB5FC"/>
          </w:tcPr>
          <w:p>
            <w:pPr>
              <w:spacing w:after="0"/>
              <w:rPr>
                <w:sz w:val="4"/>
                <w:szCs w:val="4"/>
                <w:color w:val="auto"/>
              </w:rPr>
            </w:pPr>
          </w:p>
        </w:tc>
        <w:tc>
          <w:tcPr>
            <w:tcW w:w="100" w:type="dxa"/>
            <w:vAlign w:val="bottom"/>
            <w:shd w:val="clear" w:color="auto" w:fill="5EB5FC"/>
          </w:tcPr>
          <w:p>
            <w:pPr>
              <w:spacing w:after="0"/>
              <w:rPr>
                <w:sz w:val="4"/>
                <w:szCs w:val="4"/>
                <w:color w:val="auto"/>
              </w:rPr>
            </w:pPr>
          </w:p>
        </w:tc>
        <w:tc>
          <w:tcPr>
            <w:tcW w:w="94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940" w:type="dxa"/>
            <w:vAlign w:val="bottom"/>
            <w:tcBorders>
              <w:right w:val="single" w:sz="8" w:color="5EB5FC"/>
            </w:tcBorders>
            <w:shd w:val="clear" w:color="auto" w:fill="5EB5FC"/>
          </w:tcPr>
          <w:p>
            <w:pPr>
              <w:spacing w:after="0"/>
              <w:rPr>
                <w:sz w:val="4"/>
                <w:szCs w:val="4"/>
                <w:color w:val="auto"/>
              </w:rPr>
            </w:pPr>
          </w:p>
        </w:tc>
        <w:tc>
          <w:tcPr>
            <w:tcW w:w="720" w:type="dxa"/>
            <w:vAlign w:val="bottom"/>
            <w:tcBorders>
              <w:right w:val="single" w:sz="8" w:color="5EB5FC"/>
            </w:tcBorders>
            <w:shd w:val="clear" w:color="auto" w:fill="5EB5FC"/>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1100" w:type="dxa"/>
            <w:vAlign w:val="bottom"/>
            <w:tcBorders>
              <w:left w:val="single" w:sz="8" w:color="5EB5FC"/>
              <w:right w:val="single" w:sz="8" w:color="5EB5FC"/>
            </w:tcBorders>
            <w:shd w:val="clear" w:color="auto" w:fill="5EB5FC"/>
          </w:tcPr>
          <w:p>
            <w:pPr>
              <w:spacing w:after="0"/>
              <w:rPr>
                <w:sz w:val="12"/>
                <w:szCs w:val="12"/>
                <w:color w:val="auto"/>
              </w:rPr>
            </w:pPr>
          </w:p>
        </w:tc>
        <w:tc>
          <w:tcPr>
            <w:tcW w:w="100" w:type="dxa"/>
            <w:vAlign w:val="bottom"/>
            <w:shd w:val="clear" w:color="auto" w:fill="5EB5FC"/>
          </w:tcPr>
          <w:p>
            <w:pPr>
              <w:spacing w:after="0"/>
              <w:rPr>
                <w:sz w:val="12"/>
                <w:szCs w:val="12"/>
                <w:color w:val="auto"/>
              </w:rPr>
            </w:pPr>
          </w:p>
        </w:tc>
        <w:tc>
          <w:tcPr>
            <w:tcW w:w="94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jc w:val="center"/>
              <w:ind w:left="1"/>
              <w:spacing w:after="0" w:line="149" w:lineRule="exact"/>
              <w:rPr>
                <w:sz w:val="20"/>
                <w:szCs w:val="20"/>
                <w:color w:val="auto"/>
              </w:rPr>
            </w:pPr>
            <w:r>
              <w:rPr>
                <w:rFonts w:ascii="Arial" w:cs="Arial" w:eastAsia="Arial" w:hAnsi="Arial"/>
                <w:sz w:val="14"/>
                <w:szCs w:val="14"/>
                <w:b w:val="1"/>
                <w:bCs w:val="1"/>
                <w:color w:val="FFFFFF"/>
                <w:w w:val="89"/>
              </w:rPr>
              <w:t>2017</w:t>
            </w: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jc w:val="center"/>
              <w:ind w:left="1"/>
              <w:spacing w:after="0" w:line="149" w:lineRule="exact"/>
              <w:rPr>
                <w:sz w:val="20"/>
                <w:szCs w:val="20"/>
                <w:color w:val="auto"/>
              </w:rPr>
            </w:pPr>
            <w:r>
              <w:rPr>
                <w:rFonts w:ascii="Arial" w:cs="Arial" w:eastAsia="Arial" w:hAnsi="Arial"/>
                <w:sz w:val="14"/>
                <w:szCs w:val="14"/>
                <w:b w:val="1"/>
                <w:bCs w:val="1"/>
                <w:color w:val="FFFFFF"/>
                <w:w w:val="89"/>
              </w:rPr>
              <w:t>2018</w:t>
            </w:r>
          </w:p>
        </w:tc>
        <w:tc>
          <w:tcPr>
            <w:tcW w:w="104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spacing w:after="0"/>
              <w:rPr>
                <w:sz w:val="12"/>
                <w:szCs w:val="12"/>
                <w:color w:val="auto"/>
              </w:rPr>
            </w:pPr>
          </w:p>
        </w:tc>
        <w:tc>
          <w:tcPr>
            <w:tcW w:w="94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89"/>
              </w:rPr>
              <w:t>2019</w:t>
            </w:r>
          </w:p>
        </w:tc>
        <w:tc>
          <w:tcPr>
            <w:tcW w:w="720" w:type="dxa"/>
            <w:vAlign w:val="bottom"/>
            <w:tcBorders>
              <w:right w:val="single" w:sz="8" w:color="5EB5FC"/>
            </w:tcBorders>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100" w:type="dxa"/>
            <w:vAlign w:val="bottom"/>
            <w:tcBorders>
              <w:left w:val="single" w:sz="8" w:color="5EB5FC"/>
              <w:right w:val="single" w:sz="8" w:color="5EB5FC"/>
            </w:tcBorders>
            <w:vMerge w:val="restart"/>
            <w:shd w:val="clear" w:color="auto" w:fill="5EB5FC"/>
          </w:tcPr>
          <w:p>
            <w:pPr>
              <w:jc w:val="center"/>
              <w:ind w:left="54"/>
              <w:spacing w:after="0"/>
              <w:rPr>
                <w:sz w:val="20"/>
                <w:szCs w:val="20"/>
                <w:color w:val="auto"/>
              </w:rPr>
            </w:pPr>
            <w:r>
              <w:rPr>
                <w:rFonts w:ascii="Arial" w:cs="Arial" w:eastAsia="Arial" w:hAnsi="Arial"/>
                <w:sz w:val="14"/>
                <w:szCs w:val="14"/>
                <w:b w:val="1"/>
                <w:bCs w:val="1"/>
                <w:color w:val="FFFFFF"/>
                <w:w w:val="96"/>
              </w:rPr>
              <w:t>Metric</w:t>
            </w:r>
          </w:p>
        </w:tc>
        <w:tc>
          <w:tcPr>
            <w:tcW w:w="100" w:type="dxa"/>
            <w:vAlign w:val="bottom"/>
            <w:shd w:val="clear" w:color="auto" w:fill="5EB5FC"/>
          </w:tcPr>
          <w:p>
            <w:pPr>
              <w:spacing w:after="0"/>
              <w:rPr>
                <w:sz w:val="16"/>
                <w:szCs w:val="16"/>
                <w:color w:val="auto"/>
              </w:rPr>
            </w:pPr>
          </w:p>
        </w:tc>
        <w:tc>
          <w:tcPr>
            <w:tcW w:w="94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Weighting</w:t>
            </w:r>
          </w:p>
        </w:tc>
        <w:tc>
          <w:tcPr>
            <w:tcW w:w="1020" w:type="dxa"/>
            <w:vAlign w:val="bottom"/>
            <w:tcBorders>
              <w:right w:val="single" w:sz="8" w:color="5EB5FC"/>
            </w:tcBorders>
            <w:vMerge w:val="restart"/>
            <w:shd w:val="clear" w:color="auto" w:fill="5EB5FC"/>
          </w:tcPr>
          <w:p>
            <w:pPr>
              <w:ind w:left="340"/>
              <w:spacing w:after="0"/>
              <w:rPr>
                <w:sz w:val="20"/>
                <w:szCs w:val="20"/>
                <w:color w:val="auto"/>
              </w:rPr>
            </w:pPr>
            <w:r>
              <w:rPr>
                <w:rFonts w:ascii="Arial" w:cs="Arial" w:eastAsia="Arial" w:hAnsi="Arial"/>
                <w:sz w:val="14"/>
                <w:szCs w:val="14"/>
                <w:b w:val="1"/>
                <w:bCs w:val="1"/>
                <w:color w:val="FFFFFF"/>
              </w:rPr>
              <w:t>Target</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Achieve-</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Achieve-</w:t>
            </w:r>
          </w:p>
        </w:tc>
        <w:tc>
          <w:tcPr>
            <w:tcW w:w="1040" w:type="dxa"/>
            <w:vAlign w:val="bottom"/>
            <w:tcBorders>
              <w:right w:val="single" w:sz="8" w:color="5EB5FC"/>
            </w:tcBorders>
            <w:vMerge w:val="restart"/>
            <w:shd w:val="clear" w:color="auto" w:fill="5EB5FC"/>
          </w:tcPr>
          <w:p>
            <w:pPr>
              <w:ind w:left="360"/>
              <w:spacing w:after="0"/>
              <w:rPr>
                <w:sz w:val="20"/>
                <w:szCs w:val="20"/>
                <w:color w:val="auto"/>
              </w:rPr>
            </w:pPr>
            <w:r>
              <w:rPr>
                <w:rFonts w:ascii="Arial" w:cs="Arial" w:eastAsia="Arial" w:hAnsi="Arial"/>
                <w:sz w:val="14"/>
                <w:szCs w:val="14"/>
                <w:b w:val="1"/>
                <w:bCs w:val="1"/>
                <w:color w:val="FFFFFF"/>
              </w:rPr>
              <w:t>Target</w:t>
            </w:r>
          </w:p>
        </w:tc>
        <w:tc>
          <w:tcPr>
            <w:tcW w:w="104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89"/>
              </w:rPr>
              <w:t>Achieve-</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Achieve-</w:t>
            </w:r>
          </w:p>
        </w:tc>
        <w:tc>
          <w:tcPr>
            <w:tcW w:w="1040" w:type="dxa"/>
            <w:vAlign w:val="bottom"/>
            <w:tcBorders>
              <w:right w:val="single" w:sz="8" w:color="5EB5FC"/>
            </w:tcBorders>
            <w:vMerge w:val="restart"/>
            <w:shd w:val="clear" w:color="auto" w:fill="5EB5FC"/>
          </w:tcPr>
          <w:p>
            <w:pPr>
              <w:ind w:left="340"/>
              <w:spacing w:after="0"/>
              <w:rPr>
                <w:sz w:val="20"/>
                <w:szCs w:val="20"/>
                <w:color w:val="auto"/>
              </w:rPr>
            </w:pPr>
            <w:r>
              <w:rPr>
                <w:rFonts w:ascii="Arial" w:cs="Arial" w:eastAsia="Arial" w:hAnsi="Arial"/>
                <w:sz w:val="14"/>
                <w:szCs w:val="14"/>
                <w:b w:val="1"/>
                <w:bCs w:val="1"/>
                <w:color w:val="FFFFFF"/>
              </w:rPr>
              <w:t>Target</w:t>
            </w:r>
          </w:p>
        </w:tc>
        <w:tc>
          <w:tcPr>
            <w:tcW w:w="94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2"/>
              </w:rPr>
              <w:t>Achieve-</w:t>
            </w:r>
          </w:p>
        </w:tc>
        <w:tc>
          <w:tcPr>
            <w:tcW w:w="7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Achieve-</w:t>
            </w:r>
          </w:p>
        </w:tc>
        <w:tc>
          <w:tcPr>
            <w:tcW w:w="0" w:type="dxa"/>
            <w:vAlign w:val="bottom"/>
          </w:tcPr>
          <w:p>
            <w:pPr>
              <w:spacing w:after="0"/>
              <w:rPr>
                <w:sz w:val="1"/>
                <w:szCs w:val="1"/>
                <w:color w:val="auto"/>
              </w:rPr>
            </w:pPr>
          </w:p>
        </w:tc>
      </w:tr>
      <w:tr>
        <w:trPr>
          <w:trHeight w:val="176"/>
        </w:trPr>
        <w:tc>
          <w:tcPr>
            <w:tcW w:w="1100" w:type="dxa"/>
            <w:vAlign w:val="bottom"/>
            <w:tcBorders>
              <w:left w:val="single" w:sz="8" w:color="5EB5FC"/>
              <w:right w:val="single" w:sz="8" w:color="5EB5FC"/>
            </w:tcBorders>
            <w:vMerge w:val="continue"/>
            <w:shd w:val="clear" w:color="auto" w:fill="5EB5FC"/>
          </w:tcPr>
          <w:p>
            <w:pPr>
              <w:spacing w:after="0"/>
              <w:rPr>
                <w:sz w:val="15"/>
                <w:szCs w:val="15"/>
                <w:color w:val="auto"/>
              </w:rPr>
            </w:pPr>
          </w:p>
        </w:tc>
        <w:tc>
          <w:tcPr>
            <w:tcW w:w="100" w:type="dxa"/>
            <w:vAlign w:val="bottom"/>
            <w:shd w:val="clear" w:color="auto" w:fill="5EB5FC"/>
          </w:tcPr>
          <w:p>
            <w:pPr>
              <w:spacing w:after="0"/>
              <w:rPr>
                <w:sz w:val="15"/>
                <w:szCs w:val="15"/>
                <w:color w:val="auto"/>
              </w:rPr>
            </w:pPr>
          </w:p>
        </w:tc>
        <w:tc>
          <w:tcPr>
            <w:tcW w:w="940" w:type="dxa"/>
            <w:vAlign w:val="bottom"/>
            <w:tcBorders>
              <w:right w:val="single" w:sz="8" w:color="5EB5FC"/>
            </w:tcBorders>
            <w:vMerge w:val="continue"/>
            <w:shd w:val="clear" w:color="auto" w:fill="5EB5FC"/>
          </w:tcPr>
          <w:p>
            <w:pPr>
              <w:spacing w:after="0"/>
              <w:rPr>
                <w:sz w:val="15"/>
                <w:szCs w:val="15"/>
                <w:color w:val="auto"/>
              </w:rPr>
            </w:pPr>
          </w:p>
        </w:tc>
        <w:tc>
          <w:tcPr>
            <w:tcW w:w="1020" w:type="dxa"/>
            <w:vAlign w:val="bottom"/>
            <w:tcBorders>
              <w:right w:val="single" w:sz="8" w:color="5EB5FC"/>
            </w:tcBorders>
            <w:vMerge w:val="continue"/>
            <w:shd w:val="clear" w:color="auto" w:fill="5EB5FC"/>
          </w:tcPr>
          <w:p>
            <w:pPr>
              <w:spacing w:after="0"/>
              <w:rPr>
                <w:sz w:val="15"/>
                <w:szCs w:val="15"/>
                <w:color w:val="auto"/>
              </w:rPr>
            </w:pPr>
          </w:p>
        </w:tc>
        <w:tc>
          <w:tcPr>
            <w:tcW w:w="104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5"/>
              </w:rPr>
              <w:t>ment</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ment (%)</w:t>
            </w:r>
          </w:p>
        </w:tc>
        <w:tc>
          <w:tcPr>
            <w:tcW w:w="1040" w:type="dxa"/>
            <w:vAlign w:val="bottom"/>
            <w:tcBorders>
              <w:right w:val="single" w:sz="8" w:color="5EB5FC"/>
            </w:tcBorders>
            <w:vMerge w:val="continue"/>
            <w:shd w:val="clear" w:color="auto" w:fill="5EB5FC"/>
          </w:tcPr>
          <w:p>
            <w:pPr>
              <w:spacing w:after="0"/>
              <w:rPr>
                <w:sz w:val="15"/>
                <w:szCs w:val="15"/>
                <w:color w:val="auto"/>
              </w:rPr>
            </w:pPr>
          </w:p>
        </w:tc>
        <w:tc>
          <w:tcPr>
            <w:tcW w:w="104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5"/>
              </w:rPr>
              <w:t>ment</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ment (%)</w:t>
            </w:r>
          </w:p>
        </w:tc>
        <w:tc>
          <w:tcPr>
            <w:tcW w:w="1040" w:type="dxa"/>
            <w:vAlign w:val="bottom"/>
            <w:tcBorders>
              <w:right w:val="single" w:sz="8" w:color="5EB5FC"/>
            </w:tcBorders>
            <w:vMerge w:val="continue"/>
            <w:shd w:val="clear" w:color="auto" w:fill="5EB5FC"/>
          </w:tcPr>
          <w:p>
            <w:pPr>
              <w:spacing w:after="0"/>
              <w:rPr>
                <w:sz w:val="15"/>
                <w:szCs w:val="15"/>
                <w:color w:val="auto"/>
              </w:rPr>
            </w:pPr>
          </w:p>
        </w:tc>
        <w:tc>
          <w:tcPr>
            <w:tcW w:w="9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ment</w:t>
            </w:r>
          </w:p>
        </w:tc>
        <w:tc>
          <w:tcPr>
            <w:tcW w:w="7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rPr>
              <w:t>ment (%)</w:t>
            </w:r>
          </w:p>
        </w:tc>
        <w:tc>
          <w:tcPr>
            <w:tcW w:w="0" w:type="dxa"/>
            <w:vAlign w:val="bottom"/>
          </w:tcPr>
          <w:p>
            <w:pPr>
              <w:spacing w:after="0"/>
              <w:rPr>
                <w:sz w:val="1"/>
                <w:szCs w:val="1"/>
                <w:color w:val="auto"/>
              </w:rPr>
            </w:pPr>
          </w:p>
        </w:tc>
      </w:tr>
      <w:tr>
        <w:trPr>
          <w:trHeight w:val="202"/>
        </w:trPr>
        <w:tc>
          <w:tcPr>
            <w:tcW w:w="1100" w:type="dxa"/>
            <w:vAlign w:val="bottom"/>
            <w:tcBorders>
              <w:left w:val="single" w:sz="8" w:color="A0DBF9"/>
              <w:right w:val="single" w:sz="8" w:color="A0DBF9"/>
            </w:tcBorders>
          </w:tcPr>
          <w:p>
            <w:pPr>
              <w:jc w:val="center"/>
              <w:ind w:left="54"/>
              <w:spacing w:after="0" w:line="201" w:lineRule="exact"/>
              <w:rPr>
                <w:sz w:val="20"/>
                <w:szCs w:val="20"/>
                <w:color w:val="auto"/>
              </w:rPr>
            </w:pPr>
            <w:r>
              <w:rPr>
                <w:rFonts w:ascii="Arial" w:cs="Arial" w:eastAsia="Arial" w:hAnsi="Arial"/>
                <w:sz w:val="18"/>
                <w:szCs w:val="18"/>
                <w:color w:val="auto"/>
                <w:w w:val="89"/>
              </w:rPr>
              <w:t>Total</w:t>
            </w:r>
          </w:p>
        </w:tc>
        <w:tc>
          <w:tcPr>
            <w:tcW w:w="1040" w:type="dxa"/>
            <w:vAlign w:val="bottom"/>
            <w:tcBorders>
              <w:right w:val="single" w:sz="8" w:color="A0DBF9"/>
            </w:tcBorders>
            <w:gridSpan w:val="2"/>
            <w:vMerge w:val="restart"/>
          </w:tcPr>
          <w:p>
            <w:pPr>
              <w:jc w:val="center"/>
              <w:spacing w:after="0"/>
              <w:rPr>
                <w:sz w:val="20"/>
                <w:szCs w:val="20"/>
                <w:color w:val="auto"/>
              </w:rPr>
            </w:pPr>
            <w:r>
              <w:rPr>
                <w:rFonts w:ascii="Arial" w:cs="Arial" w:eastAsia="Arial" w:hAnsi="Arial"/>
                <w:sz w:val="18"/>
                <w:szCs w:val="18"/>
                <w:color w:val="auto"/>
                <w:w w:val="88"/>
              </w:rPr>
              <w:t>50%</w:t>
            </w:r>
          </w:p>
        </w:tc>
        <w:tc>
          <w:tcPr>
            <w:tcW w:w="102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4"/>
              </w:rPr>
              <w:t>$318.3M</w:t>
            </w:r>
          </w:p>
        </w:tc>
        <w:tc>
          <w:tcPr>
            <w:tcW w:w="10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4"/>
              </w:rPr>
              <w:t>$331.4M</w:t>
            </w:r>
          </w:p>
        </w:tc>
        <w:tc>
          <w:tcPr>
            <w:tcW w:w="102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88"/>
              </w:rPr>
              <w:t>108.2%</w:t>
            </w:r>
          </w:p>
        </w:tc>
        <w:tc>
          <w:tcPr>
            <w:tcW w:w="10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1"/>
              </w:rPr>
              <w:t>$341.7M</w:t>
            </w:r>
          </w:p>
        </w:tc>
        <w:tc>
          <w:tcPr>
            <w:tcW w:w="1040" w:type="dxa"/>
            <w:vAlign w:val="bottom"/>
            <w:tcBorders>
              <w:right w:val="single" w:sz="8" w:color="A0DBF9"/>
            </w:tcBorders>
            <w:vMerge w:val="restart"/>
          </w:tcPr>
          <w:p>
            <w:pPr>
              <w:jc w:val="center"/>
              <w:ind w:left="1"/>
              <w:spacing w:after="0"/>
              <w:rPr>
                <w:sz w:val="20"/>
                <w:szCs w:val="20"/>
                <w:color w:val="auto"/>
              </w:rPr>
            </w:pPr>
            <w:r>
              <w:rPr>
                <w:rFonts w:ascii="Arial" w:cs="Arial" w:eastAsia="Arial" w:hAnsi="Arial"/>
                <w:sz w:val="18"/>
                <w:szCs w:val="18"/>
                <w:color w:val="auto"/>
                <w:w w:val="91"/>
              </w:rPr>
              <w:t>$343.4M</w:t>
            </w:r>
          </w:p>
        </w:tc>
        <w:tc>
          <w:tcPr>
            <w:tcW w:w="10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1"/>
              </w:rPr>
              <w:t>101.0%</w:t>
            </w:r>
          </w:p>
        </w:tc>
        <w:tc>
          <w:tcPr>
            <w:tcW w:w="1040" w:type="dxa"/>
            <w:vAlign w:val="bottom"/>
            <w:tcBorders>
              <w:right w:val="single" w:sz="8" w:color="A0DBF9"/>
            </w:tcBorders>
            <w:vMerge w:val="restart"/>
          </w:tcPr>
          <w:p>
            <w:pPr>
              <w:jc w:val="center"/>
              <w:spacing w:after="0"/>
              <w:rPr>
                <w:sz w:val="20"/>
                <w:szCs w:val="20"/>
                <w:color w:val="auto"/>
              </w:rPr>
            </w:pPr>
            <w:r>
              <w:rPr>
                <w:rFonts w:ascii="Arial" w:cs="Arial" w:eastAsia="Arial" w:hAnsi="Arial"/>
                <w:sz w:val="18"/>
                <w:szCs w:val="18"/>
                <w:color w:val="auto"/>
                <w:w w:val="94"/>
              </w:rPr>
              <w:t>$375.0M</w:t>
            </w:r>
          </w:p>
        </w:tc>
        <w:tc>
          <w:tcPr>
            <w:tcW w:w="940" w:type="dxa"/>
            <w:vAlign w:val="bottom"/>
            <w:tcBorders>
              <w:right w:val="single" w:sz="8" w:color="A0DBF9"/>
            </w:tcBorders>
            <w:vMerge w:val="restart"/>
          </w:tcPr>
          <w:p>
            <w:pPr>
              <w:jc w:val="center"/>
              <w:ind w:left="1"/>
              <w:spacing w:after="0"/>
              <w:rPr>
                <w:sz w:val="20"/>
                <w:szCs w:val="20"/>
                <w:color w:val="auto"/>
              </w:rPr>
            </w:pPr>
            <w:r>
              <w:rPr>
                <w:rFonts w:ascii="Arial" w:cs="Arial" w:eastAsia="Arial" w:hAnsi="Arial"/>
                <w:sz w:val="18"/>
                <w:szCs w:val="18"/>
                <w:color w:val="auto"/>
                <w:w w:val="94"/>
              </w:rPr>
              <w:t>$347.3M</w:t>
            </w:r>
          </w:p>
        </w:tc>
        <w:tc>
          <w:tcPr>
            <w:tcW w:w="720" w:type="dxa"/>
            <w:vAlign w:val="bottom"/>
            <w:tcBorders>
              <w:right w:val="single" w:sz="8" w:color="A0DBF9"/>
            </w:tcBorders>
            <w:vMerge w:val="restart"/>
          </w:tcPr>
          <w:p>
            <w:pPr>
              <w:jc w:val="right"/>
              <w:ind w:right="59"/>
              <w:spacing w:after="0"/>
              <w:rPr>
                <w:sz w:val="20"/>
                <w:szCs w:val="20"/>
                <w:color w:val="auto"/>
              </w:rPr>
            </w:pPr>
            <w:r>
              <w:rPr>
                <w:rFonts w:ascii="Arial" w:cs="Arial" w:eastAsia="Arial" w:hAnsi="Arial"/>
                <w:sz w:val="18"/>
                <w:szCs w:val="18"/>
                <w:color w:val="auto"/>
              </w:rPr>
              <w:t>63.1%</w:t>
            </w:r>
          </w:p>
        </w:tc>
        <w:tc>
          <w:tcPr>
            <w:tcW w:w="0" w:type="dxa"/>
            <w:vAlign w:val="bottom"/>
          </w:tcPr>
          <w:p>
            <w:pPr>
              <w:spacing w:after="0"/>
              <w:rPr>
                <w:sz w:val="1"/>
                <w:szCs w:val="1"/>
                <w:color w:val="auto"/>
              </w:rPr>
            </w:pPr>
          </w:p>
        </w:tc>
      </w:tr>
      <w:tr>
        <w:trPr>
          <w:trHeight w:val="122"/>
        </w:trPr>
        <w:tc>
          <w:tcPr>
            <w:tcW w:w="1100" w:type="dxa"/>
            <w:vAlign w:val="bottom"/>
            <w:tcBorders>
              <w:left w:val="single" w:sz="8" w:color="A0DBF9"/>
              <w:right w:val="single" w:sz="8" w:color="A0DBF9"/>
            </w:tcBorders>
            <w:vMerge w:val="restart"/>
          </w:tcPr>
          <w:p>
            <w:pPr>
              <w:jc w:val="center"/>
              <w:ind w:left="54"/>
              <w:spacing w:after="0"/>
              <w:rPr>
                <w:sz w:val="20"/>
                <w:szCs w:val="20"/>
                <w:color w:val="auto"/>
              </w:rPr>
            </w:pPr>
            <w:r>
              <w:rPr>
                <w:rFonts w:ascii="Arial" w:cs="Arial" w:eastAsia="Arial" w:hAnsi="Arial"/>
                <w:sz w:val="18"/>
                <w:szCs w:val="18"/>
                <w:color w:val="auto"/>
                <w:w w:val="88"/>
              </w:rPr>
              <w:t>Revenue</w:t>
            </w:r>
          </w:p>
        </w:tc>
        <w:tc>
          <w:tcPr>
            <w:tcW w:w="1040" w:type="dxa"/>
            <w:vAlign w:val="bottom"/>
            <w:tcBorders>
              <w:right w:val="single" w:sz="8" w:color="A0DBF9"/>
            </w:tcBorders>
            <w:gridSpan w:val="2"/>
            <w:vMerge w:val="continue"/>
          </w:tcPr>
          <w:p>
            <w:pPr>
              <w:spacing w:after="0"/>
              <w:rPr>
                <w:sz w:val="10"/>
                <w:szCs w:val="10"/>
                <w:color w:val="auto"/>
              </w:rPr>
            </w:pPr>
          </w:p>
        </w:tc>
        <w:tc>
          <w:tcPr>
            <w:tcW w:w="1020" w:type="dxa"/>
            <w:vAlign w:val="bottom"/>
            <w:tcBorders>
              <w:right w:val="single" w:sz="8" w:color="A0DBF9"/>
            </w:tcBorders>
            <w:vMerge w:val="continue"/>
          </w:tcPr>
          <w:p>
            <w:pPr>
              <w:spacing w:after="0"/>
              <w:rPr>
                <w:sz w:val="10"/>
                <w:szCs w:val="10"/>
                <w:color w:val="auto"/>
              </w:rPr>
            </w:pPr>
          </w:p>
        </w:tc>
        <w:tc>
          <w:tcPr>
            <w:tcW w:w="1040" w:type="dxa"/>
            <w:vAlign w:val="bottom"/>
            <w:tcBorders>
              <w:right w:val="single" w:sz="8" w:color="A0DBF9"/>
            </w:tcBorders>
            <w:vMerge w:val="continue"/>
          </w:tcPr>
          <w:p>
            <w:pPr>
              <w:spacing w:after="0"/>
              <w:rPr>
                <w:sz w:val="10"/>
                <w:szCs w:val="10"/>
                <w:color w:val="auto"/>
              </w:rPr>
            </w:pPr>
          </w:p>
        </w:tc>
        <w:tc>
          <w:tcPr>
            <w:tcW w:w="1020" w:type="dxa"/>
            <w:vAlign w:val="bottom"/>
            <w:tcBorders>
              <w:right w:val="single" w:sz="8" w:color="A0DBF9"/>
            </w:tcBorders>
            <w:vMerge w:val="continue"/>
          </w:tcPr>
          <w:p>
            <w:pPr>
              <w:spacing w:after="0"/>
              <w:rPr>
                <w:sz w:val="10"/>
                <w:szCs w:val="10"/>
                <w:color w:val="auto"/>
              </w:rPr>
            </w:pPr>
          </w:p>
        </w:tc>
        <w:tc>
          <w:tcPr>
            <w:tcW w:w="1040" w:type="dxa"/>
            <w:vAlign w:val="bottom"/>
            <w:tcBorders>
              <w:right w:val="single" w:sz="8" w:color="A0DBF9"/>
            </w:tcBorders>
            <w:vMerge w:val="continue"/>
          </w:tcPr>
          <w:p>
            <w:pPr>
              <w:spacing w:after="0"/>
              <w:rPr>
                <w:sz w:val="10"/>
                <w:szCs w:val="10"/>
                <w:color w:val="auto"/>
              </w:rPr>
            </w:pPr>
          </w:p>
        </w:tc>
        <w:tc>
          <w:tcPr>
            <w:tcW w:w="1040" w:type="dxa"/>
            <w:vAlign w:val="bottom"/>
            <w:tcBorders>
              <w:right w:val="single" w:sz="8" w:color="A0DBF9"/>
            </w:tcBorders>
            <w:vMerge w:val="continue"/>
          </w:tcPr>
          <w:p>
            <w:pPr>
              <w:spacing w:after="0"/>
              <w:rPr>
                <w:sz w:val="10"/>
                <w:szCs w:val="10"/>
                <w:color w:val="auto"/>
              </w:rPr>
            </w:pPr>
          </w:p>
        </w:tc>
        <w:tc>
          <w:tcPr>
            <w:tcW w:w="1040" w:type="dxa"/>
            <w:vAlign w:val="bottom"/>
            <w:tcBorders>
              <w:right w:val="single" w:sz="8" w:color="A0DBF9"/>
            </w:tcBorders>
            <w:vMerge w:val="continue"/>
          </w:tcPr>
          <w:p>
            <w:pPr>
              <w:spacing w:after="0"/>
              <w:rPr>
                <w:sz w:val="10"/>
                <w:szCs w:val="10"/>
                <w:color w:val="auto"/>
              </w:rPr>
            </w:pPr>
          </w:p>
        </w:tc>
        <w:tc>
          <w:tcPr>
            <w:tcW w:w="1040" w:type="dxa"/>
            <w:vAlign w:val="bottom"/>
            <w:tcBorders>
              <w:right w:val="single" w:sz="8" w:color="A0DBF9"/>
            </w:tcBorders>
            <w:vMerge w:val="continue"/>
          </w:tcPr>
          <w:p>
            <w:pPr>
              <w:spacing w:after="0"/>
              <w:rPr>
                <w:sz w:val="10"/>
                <w:szCs w:val="10"/>
                <w:color w:val="auto"/>
              </w:rPr>
            </w:pPr>
          </w:p>
        </w:tc>
        <w:tc>
          <w:tcPr>
            <w:tcW w:w="940" w:type="dxa"/>
            <w:vAlign w:val="bottom"/>
            <w:tcBorders>
              <w:right w:val="single" w:sz="8" w:color="A0DBF9"/>
            </w:tcBorders>
            <w:vMerge w:val="continue"/>
          </w:tcPr>
          <w:p>
            <w:pPr>
              <w:spacing w:after="0"/>
              <w:rPr>
                <w:sz w:val="10"/>
                <w:szCs w:val="10"/>
                <w:color w:val="auto"/>
              </w:rPr>
            </w:pPr>
          </w:p>
        </w:tc>
        <w:tc>
          <w:tcPr>
            <w:tcW w:w="720" w:type="dxa"/>
            <w:vAlign w:val="bottom"/>
            <w:tcBorders>
              <w:right w:val="single" w:sz="8" w:color="A0DBF9"/>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0DBF9"/>
              <w:bottom w:val="single" w:sz="8" w:color="A0DBF9"/>
              <w:right w:val="single" w:sz="8" w:color="A0DBF9"/>
            </w:tcBorders>
            <w:vMerge w:val="continue"/>
          </w:tcPr>
          <w:p>
            <w:pPr>
              <w:spacing w:after="0"/>
              <w:rPr>
                <w:sz w:val="9"/>
                <w:szCs w:val="9"/>
                <w:color w:val="auto"/>
              </w:rPr>
            </w:pPr>
          </w:p>
        </w:tc>
        <w:tc>
          <w:tcPr>
            <w:tcW w:w="100" w:type="dxa"/>
            <w:vAlign w:val="bottom"/>
            <w:tcBorders>
              <w:bottom w:val="single" w:sz="8" w:color="A0DBF9"/>
            </w:tcBorders>
          </w:tcPr>
          <w:p>
            <w:pPr>
              <w:spacing w:after="0"/>
              <w:rPr>
                <w:sz w:val="9"/>
                <w:szCs w:val="9"/>
                <w:color w:val="auto"/>
              </w:rPr>
            </w:pPr>
          </w:p>
        </w:tc>
        <w:tc>
          <w:tcPr>
            <w:tcW w:w="940" w:type="dxa"/>
            <w:vAlign w:val="bottom"/>
            <w:tcBorders>
              <w:bottom w:val="single" w:sz="8" w:color="A0DBF9"/>
              <w:right w:val="single" w:sz="8" w:color="A0DBF9"/>
            </w:tcBorders>
          </w:tcPr>
          <w:p>
            <w:pPr>
              <w:spacing w:after="0"/>
              <w:rPr>
                <w:sz w:val="9"/>
                <w:szCs w:val="9"/>
                <w:color w:val="auto"/>
              </w:rPr>
            </w:pPr>
          </w:p>
        </w:tc>
        <w:tc>
          <w:tcPr>
            <w:tcW w:w="1020" w:type="dxa"/>
            <w:vAlign w:val="bottom"/>
            <w:tcBorders>
              <w:bottom w:val="single" w:sz="8" w:color="A0DBF9"/>
              <w:right w:val="single" w:sz="8" w:color="A0DBF9"/>
            </w:tcBorders>
          </w:tcPr>
          <w:p>
            <w:pPr>
              <w:spacing w:after="0"/>
              <w:rPr>
                <w:sz w:val="9"/>
                <w:szCs w:val="9"/>
                <w:color w:val="auto"/>
              </w:rPr>
            </w:pPr>
          </w:p>
        </w:tc>
        <w:tc>
          <w:tcPr>
            <w:tcW w:w="1040" w:type="dxa"/>
            <w:vAlign w:val="bottom"/>
            <w:tcBorders>
              <w:bottom w:val="single" w:sz="8" w:color="A0DBF9"/>
              <w:right w:val="single" w:sz="8" w:color="A0DBF9"/>
            </w:tcBorders>
          </w:tcPr>
          <w:p>
            <w:pPr>
              <w:spacing w:after="0"/>
              <w:rPr>
                <w:sz w:val="9"/>
                <w:szCs w:val="9"/>
                <w:color w:val="auto"/>
              </w:rPr>
            </w:pPr>
          </w:p>
        </w:tc>
        <w:tc>
          <w:tcPr>
            <w:tcW w:w="1020" w:type="dxa"/>
            <w:vAlign w:val="bottom"/>
            <w:tcBorders>
              <w:bottom w:val="single" w:sz="8" w:color="A0DBF9"/>
              <w:right w:val="single" w:sz="8" w:color="A0DBF9"/>
            </w:tcBorders>
          </w:tcPr>
          <w:p>
            <w:pPr>
              <w:spacing w:after="0"/>
              <w:rPr>
                <w:sz w:val="9"/>
                <w:szCs w:val="9"/>
                <w:color w:val="auto"/>
              </w:rPr>
            </w:pPr>
          </w:p>
        </w:tc>
        <w:tc>
          <w:tcPr>
            <w:tcW w:w="1040" w:type="dxa"/>
            <w:vAlign w:val="bottom"/>
            <w:tcBorders>
              <w:bottom w:val="single" w:sz="8" w:color="A0DBF9"/>
              <w:right w:val="single" w:sz="8" w:color="A0DBF9"/>
            </w:tcBorders>
          </w:tcPr>
          <w:p>
            <w:pPr>
              <w:spacing w:after="0"/>
              <w:rPr>
                <w:sz w:val="9"/>
                <w:szCs w:val="9"/>
                <w:color w:val="auto"/>
              </w:rPr>
            </w:pPr>
          </w:p>
        </w:tc>
        <w:tc>
          <w:tcPr>
            <w:tcW w:w="1040" w:type="dxa"/>
            <w:vAlign w:val="bottom"/>
            <w:tcBorders>
              <w:bottom w:val="single" w:sz="8" w:color="A0DBF9"/>
              <w:right w:val="single" w:sz="8" w:color="A0DBF9"/>
            </w:tcBorders>
          </w:tcPr>
          <w:p>
            <w:pPr>
              <w:spacing w:after="0"/>
              <w:rPr>
                <w:sz w:val="9"/>
                <w:szCs w:val="9"/>
                <w:color w:val="auto"/>
              </w:rPr>
            </w:pPr>
          </w:p>
        </w:tc>
        <w:tc>
          <w:tcPr>
            <w:tcW w:w="1040" w:type="dxa"/>
            <w:vAlign w:val="bottom"/>
            <w:tcBorders>
              <w:bottom w:val="single" w:sz="8" w:color="A0DBF9"/>
              <w:right w:val="single" w:sz="8" w:color="A0DBF9"/>
            </w:tcBorders>
          </w:tcPr>
          <w:p>
            <w:pPr>
              <w:spacing w:after="0"/>
              <w:rPr>
                <w:sz w:val="9"/>
                <w:szCs w:val="9"/>
                <w:color w:val="auto"/>
              </w:rPr>
            </w:pPr>
          </w:p>
        </w:tc>
        <w:tc>
          <w:tcPr>
            <w:tcW w:w="1040" w:type="dxa"/>
            <w:vAlign w:val="bottom"/>
            <w:tcBorders>
              <w:bottom w:val="single" w:sz="8" w:color="A0DBF9"/>
              <w:right w:val="single" w:sz="8" w:color="A0DBF9"/>
            </w:tcBorders>
          </w:tcPr>
          <w:p>
            <w:pPr>
              <w:spacing w:after="0"/>
              <w:rPr>
                <w:sz w:val="9"/>
                <w:szCs w:val="9"/>
                <w:color w:val="auto"/>
              </w:rPr>
            </w:pPr>
          </w:p>
        </w:tc>
        <w:tc>
          <w:tcPr>
            <w:tcW w:w="940" w:type="dxa"/>
            <w:vAlign w:val="bottom"/>
            <w:tcBorders>
              <w:bottom w:val="single" w:sz="8" w:color="A0DBF9"/>
              <w:right w:val="single" w:sz="8" w:color="A0DBF9"/>
            </w:tcBorders>
          </w:tcPr>
          <w:p>
            <w:pPr>
              <w:spacing w:after="0"/>
              <w:rPr>
                <w:sz w:val="9"/>
                <w:szCs w:val="9"/>
                <w:color w:val="auto"/>
              </w:rPr>
            </w:pPr>
          </w:p>
        </w:tc>
        <w:tc>
          <w:tcPr>
            <w:tcW w:w="72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r>
        <w:trPr>
          <w:trHeight w:val="195"/>
        </w:trPr>
        <w:tc>
          <w:tcPr>
            <w:tcW w:w="1100" w:type="dxa"/>
            <w:vAlign w:val="bottom"/>
            <w:tcBorders>
              <w:left w:val="single" w:sz="8" w:color="A0DBF9"/>
              <w:right w:val="single" w:sz="8" w:color="A0DBF9"/>
            </w:tcBorders>
            <w:shd w:val="clear" w:color="auto" w:fill="E2F4FC"/>
          </w:tcPr>
          <w:p>
            <w:pPr>
              <w:jc w:val="center"/>
              <w:ind w:left="54"/>
              <w:spacing w:after="0" w:line="195" w:lineRule="exact"/>
              <w:rPr>
                <w:sz w:val="20"/>
                <w:szCs w:val="20"/>
                <w:color w:val="auto"/>
              </w:rPr>
            </w:pPr>
            <w:r>
              <w:rPr>
                <w:rFonts w:ascii="Arial" w:cs="Arial" w:eastAsia="Arial" w:hAnsi="Arial"/>
                <w:sz w:val="18"/>
                <w:szCs w:val="18"/>
                <w:color w:val="auto"/>
                <w:w w:val="91"/>
              </w:rPr>
              <w:t>Adjusted</w:t>
            </w:r>
          </w:p>
        </w:tc>
        <w:tc>
          <w:tcPr>
            <w:tcW w:w="1040" w:type="dxa"/>
            <w:vAlign w:val="bottom"/>
            <w:tcBorders>
              <w:right w:val="single" w:sz="8" w:color="A0DBF9"/>
            </w:tcBorders>
            <w:gridSpan w:val="2"/>
            <w:vMerge w:val="restart"/>
            <w:shd w:val="clear" w:color="auto" w:fill="E2F4FC"/>
          </w:tcPr>
          <w:p>
            <w:pPr>
              <w:jc w:val="center"/>
              <w:spacing w:after="0"/>
              <w:rPr>
                <w:sz w:val="20"/>
                <w:szCs w:val="20"/>
                <w:color w:val="auto"/>
              </w:rPr>
            </w:pPr>
            <w:r>
              <w:rPr>
                <w:rFonts w:ascii="Arial" w:cs="Arial" w:eastAsia="Arial" w:hAnsi="Arial"/>
                <w:sz w:val="18"/>
                <w:szCs w:val="18"/>
                <w:color w:val="auto"/>
                <w:w w:val="88"/>
              </w:rPr>
              <w:t>50%</w:t>
            </w:r>
          </w:p>
        </w:tc>
        <w:tc>
          <w:tcPr>
            <w:tcW w:w="102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3"/>
              </w:rPr>
              <w:t>$80.7M</w:t>
            </w:r>
          </w:p>
        </w:tc>
        <w:tc>
          <w:tcPr>
            <w:tcW w:w="1040" w:type="dxa"/>
            <w:vAlign w:val="bottom"/>
            <w:tcBorders>
              <w:right w:val="single" w:sz="8" w:color="A0DBF9"/>
            </w:tcBorders>
            <w:vMerge w:val="restart"/>
            <w:shd w:val="clear" w:color="auto" w:fill="E2F4FC"/>
          </w:tcPr>
          <w:p>
            <w:pPr>
              <w:jc w:val="center"/>
              <w:ind w:left="1"/>
              <w:spacing w:after="0"/>
              <w:rPr>
                <w:sz w:val="20"/>
                <w:szCs w:val="20"/>
                <w:color w:val="auto"/>
              </w:rPr>
            </w:pPr>
            <w:r>
              <w:rPr>
                <w:rFonts w:ascii="Arial" w:cs="Arial" w:eastAsia="Arial" w:hAnsi="Arial"/>
                <w:sz w:val="18"/>
                <w:szCs w:val="18"/>
                <w:color w:val="auto"/>
                <w:w w:val="93"/>
              </w:rPr>
              <w:t>$89.8M</w:t>
            </w:r>
          </w:p>
        </w:tc>
        <w:tc>
          <w:tcPr>
            <w:tcW w:w="102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88"/>
              </w:rPr>
              <w:t>120.0%</w:t>
            </w:r>
          </w:p>
        </w:tc>
        <w:tc>
          <w:tcPr>
            <w:tcW w:w="104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3"/>
              </w:rPr>
              <w:t>$81.7M</w:t>
            </w:r>
          </w:p>
        </w:tc>
        <w:tc>
          <w:tcPr>
            <w:tcW w:w="1040" w:type="dxa"/>
            <w:vAlign w:val="bottom"/>
            <w:tcBorders>
              <w:right w:val="single" w:sz="8" w:color="A0DBF9"/>
            </w:tcBorders>
            <w:vMerge w:val="restart"/>
            <w:shd w:val="clear" w:color="auto" w:fill="E2F4FC"/>
          </w:tcPr>
          <w:p>
            <w:pPr>
              <w:jc w:val="center"/>
              <w:ind w:left="1"/>
              <w:spacing w:after="0"/>
              <w:rPr>
                <w:sz w:val="20"/>
                <w:szCs w:val="20"/>
                <w:color w:val="auto"/>
              </w:rPr>
            </w:pPr>
            <w:r>
              <w:rPr>
                <w:rFonts w:ascii="Arial" w:cs="Arial" w:eastAsia="Arial" w:hAnsi="Arial"/>
                <w:sz w:val="18"/>
                <w:szCs w:val="18"/>
                <w:color w:val="auto"/>
                <w:w w:val="93"/>
              </w:rPr>
              <w:t>$93.4M</w:t>
            </w:r>
          </w:p>
        </w:tc>
        <w:tc>
          <w:tcPr>
            <w:tcW w:w="104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1"/>
              </w:rPr>
              <w:t>120.0%</w:t>
            </w:r>
          </w:p>
        </w:tc>
        <w:tc>
          <w:tcPr>
            <w:tcW w:w="104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3"/>
              </w:rPr>
              <w:t>$88.1M</w:t>
            </w:r>
          </w:p>
        </w:tc>
        <w:tc>
          <w:tcPr>
            <w:tcW w:w="940" w:type="dxa"/>
            <w:vAlign w:val="bottom"/>
            <w:tcBorders>
              <w:right w:val="single" w:sz="8" w:color="A0DBF9"/>
            </w:tcBorders>
            <w:vMerge w:val="restart"/>
            <w:shd w:val="clear" w:color="auto" w:fill="E2F4FC"/>
          </w:tcPr>
          <w:p>
            <w:pPr>
              <w:jc w:val="center"/>
              <w:spacing w:after="0"/>
              <w:rPr>
                <w:sz w:val="20"/>
                <w:szCs w:val="20"/>
                <w:color w:val="auto"/>
              </w:rPr>
            </w:pPr>
            <w:r>
              <w:rPr>
                <w:rFonts w:ascii="Arial" w:cs="Arial" w:eastAsia="Arial" w:hAnsi="Arial"/>
                <w:sz w:val="18"/>
                <w:szCs w:val="18"/>
                <w:color w:val="auto"/>
                <w:w w:val="93"/>
              </w:rPr>
              <w:t>$94.2M</w:t>
            </w:r>
          </w:p>
        </w:tc>
        <w:tc>
          <w:tcPr>
            <w:tcW w:w="720" w:type="dxa"/>
            <w:vAlign w:val="bottom"/>
            <w:tcBorders>
              <w:right w:val="single" w:sz="8" w:color="A0DBF9"/>
            </w:tcBorders>
            <w:vMerge w:val="restart"/>
            <w:shd w:val="clear" w:color="auto" w:fill="E2F4FC"/>
          </w:tcPr>
          <w:p>
            <w:pPr>
              <w:jc w:val="right"/>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122"/>
        </w:trPr>
        <w:tc>
          <w:tcPr>
            <w:tcW w:w="1100" w:type="dxa"/>
            <w:vAlign w:val="bottom"/>
            <w:tcBorders>
              <w:left w:val="single" w:sz="8" w:color="A0DBF9"/>
              <w:right w:val="single" w:sz="8" w:color="A0DBF9"/>
            </w:tcBorders>
            <w:vMerge w:val="restart"/>
            <w:shd w:val="clear" w:color="auto" w:fill="E2F4FC"/>
          </w:tcPr>
          <w:p>
            <w:pPr>
              <w:jc w:val="center"/>
              <w:ind w:left="74"/>
              <w:spacing w:after="0"/>
              <w:rPr>
                <w:sz w:val="20"/>
                <w:szCs w:val="20"/>
                <w:color w:val="auto"/>
              </w:rPr>
            </w:pPr>
            <w:r>
              <w:rPr>
                <w:rFonts w:ascii="Arial" w:cs="Arial" w:eastAsia="Arial" w:hAnsi="Arial"/>
                <w:sz w:val="18"/>
                <w:szCs w:val="18"/>
                <w:color w:val="auto"/>
              </w:rPr>
              <w:t>EBITDA</w:t>
            </w:r>
          </w:p>
        </w:tc>
        <w:tc>
          <w:tcPr>
            <w:tcW w:w="1040" w:type="dxa"/>
            <w:vAlign w:val="bottom"/>
            <w:tcBorders>
              <w:right w:val="single" w:sz="8" w:color="A0DBF9"/>
            </w:tcBorders>
            <w:gridSpan w:val="2"/>
            <w:vMerge w:val="continue"/>
            <w:shd w:val="clear" w:color="auto" w:fill="E2F4FC"/>
          </w:tcPr>
          <w:p>
            <w:pPr>
              <w:spacing w:after="0"/>
              <w:rPr>
                <w:sz w:val="10"/>
                <w:szCs w:val="10"/>
                <w:color w:val="auto"/>
              </w:rPr>
            </w:pPr>
          </w:p>
        </w:tc>
        <w:tc>
          <w:tcPr>
            <w:tcW w:w="1020" w:type="dxa"/>
            <w:vAlign w:val="bottom"/>
            <w:tcBorders>
              <w:right w:val="single" w:sz="8" w:color="A0DBF9"/>
            </w:tcBorders>
            <w:vMerge w:val="continue"/>
            <w:shd w:val="clear" w:color="auto" w:fill="E2F4FC"/>
          </w:tcPr>
          <w:p>
            <w:pPr>
              <w:spacing w:after="0"/>
              <w:rPr>
                <w:sz w:val="10"/>
                <w:szCs w:val="10"/>
                <w:color w:val="auto"/>
              </w:rPr>
            </w:pPr>
          </w:p>
        </w:tc>
        <w:tc>
          <w:tcPr>
            <w:tcW w:w="1040" w:type="dxa"/>
            <w:vAlign w:val="bottom"/>
            <w:tcBorders>
              <w:right w:val="single" w:sz="8" w:color="A0DBF9"/>
            </w:tcBorders>
            <w:vMerge w:val="continue"/>
            <w:shd w:val="clear" w:color="auto" w:fill="E2F4FC"/>
          </w:tcPr>
          <w:p>
            <w:pPr>
              <w:spacing w:after="0"/>
              <w:rPr>
                <w:sz w:val="10"/>
                <w:szCs w:val="10"/>
                <w:color w:val="auto"/>
              </w:rPr>
            </w:pPr>
          </w:p>
        </w:tc>
        <w:tc>
          <w:tcPr>
            <w:tcW w:w="1020" w:type="dxa"/>
            <w:vAlign w:val="bottom"/>
            <w:tcBorders>
              <w:right w:val="single" w:sz="8" w:color="A0DBF9"/>
            </w:tcBorders>
            <w:vMerge w:val="continue"/>
            <w:shd w:val="clear" w:color="auto" w:fill="E2F4FC"/>
          </w:tcPr>
          <w:p>
            <w:pPr>
              <w:spacing w:after="0"/>
              <w:rPr>
                <w:sz w:val="10"/>
                <w:szCs w:val="10"/>
                <w:color w:val="auto"/>
              </w:rPr>
            </w:pPr>
          </w:p>
        </w:tc>
        <w:tc>
          <w:tcPr>
            <w:tcW w:w="1040" w:type="dxa"/>
            <w:vAlign w:val="bottom"/>
            <w:tcBorders>
              <w:right w:val="single" w:sz="8" w:color="A0DBF9"/>
            </w:tcBorders>
            <w:vMerge w:val="continue"/>
            <w:shd w:val="clear" w:color="auto" w:fill="E2F4FC"/>
          </w:tcPr>
          <w:p>
            <w:pPr>
              <w:spacing w:after="0"/>
              <w:rPr>
                <w:sz w:val="10"/>
                <w:szCs w:val="10"/>
                <w:color w:val="auto"/>
              </w:rPr>
            </w:pPr>
          </w:p>
        </w:tc>
        <w:tc>
          <w:tcPr>
            <w:tcW w:w="1040" w:type="dxa"/>
            <w:vAlign w:val="bottom"/>
            <w:tcBorders>
              <w:right w:val="single" w:sz="8" w:color="A0DBF9"/>
            </w:tcBorders>
            <w:vMerge w:val="continue"/>
            <w:shd w:val="clear" w:color="auto" w:fill="E2F4FC"/>
          </w:tcPr>
          <w:p>
            <w:pPr>
              <w:spacing w:after="0"/>
              <w:rPr>
                <w:sz w:val="10"/>
                <w:szCs w:val="10"/>
                <w:color w:val="auto"/>
              </w:rPr>
            </w:pPr>
          </w:p>
        </w:tc>
        <w:tc>
          <w:tcPr>
            <w:tcW w:w="1040" w:type="dxa"/>
            <w:vAlign w:val="bottom"/>
            <w:tcBorders>
              <w:right w:val="single" w:sz="8" w:color="A0DBF9"/>
            </w:tcBorders>
            <w:vMerge w:val="continue"/>
            <w:shd w:val="clear" w:color="auto" w:fill="E2F4FC"/>
          </w:tcPr>
          <w:p>
            <w:pPr>
              <w:spacing w:after="0"/>
              <w:rPr>
                <w:sz w:val="10"/>
                <w:szCs w:val="10"/>
                <w:color w:val="auto"/>
              </w:rPr>
            </w:pPr>
          </w:p>
        </w:tc>
        <w:tc>
          <w:tcPr>
            <w:tcW w:w="1040" w:type="dxa"/>
            <w:vAlign w:val="bottom"/>
            <w:tcBorders>
              <w:right w:val="single" w:sz="8" w:color="A0DBF9"/>
            </w:tcBorders>
            <w:vMerge w:val="continue"/>
            <w:shd w:val="clear" w:color="auto" w:fill="E2F4FC"/>
          </w:tcPr>
          <w:p>
            <w:pPr>
              <w:spacing w:after="0"/>
              <w:rPr>
                <w:sz w:val="10"/>
                <w:szCs w:val="10"/>
                <w:color w:val="auto"/>
              </w:rPr>
            </w:pPr>
          </w:p>
        </w:tc>
        <w:tc>
          <w:tcPr>
            <w:tcW w:w="940" w:type="dxa"/>
            <w:vAlign w:val="bottom"/>
            <w:tcBorders>
              <w:right w:val="single" w:sz="8" w:color="A0DBF9"/>
            </w:tcBorders>
            <w:vMerge w:val="continue"/>
            <w:shd w:val="clear" w:color="auto" w:fill="E2F4FC"/>
          </w:tcPr>
          <w:p>
            <w:pPr>
              <w:spacing w:after="0"/>
              <w:rPr>
                <w:sz w:val="10"/>
                <w:szCs w:val="10"/>
                <w:color w:val="auto"/>
              </w:rPr>
            </w:pPr>
          </w:p>
        </w:tc>
        <w:tc>
          <w:tcPr>
            <w:tcW w:w="720" w:type="dxa"/>
            <w:vAlign w:val="bottom"/>
            <w:tcBorders>
              <w:right w:val="single" w:sz="8" w:color="A0DBF9"/>
            </w:tcBorders>
            <w:vMerge w:val="continue"/>
            <w:shd w:val="clear" w:color="auto" w:fill="E2F4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100" w:type="dxa"/>
            <w:vAlign w:val="bottom"/>
            <w:tcBorders>
              <w:left w:val="single" w:sz="8" w:color="A0DBF9"/>
              <w:bottom w:val="single" w:sz="8" w:color="A0DBF9"/>
              <w:right w:val="single" w:sz="8" w:color="A0DBF9"/>
            </w:tcBorders>
            <w:vMerge w:val="continue"/>
            <w:shd w:val="clear" w:color="auto" w:fill="E2F4FC"/>
          </w:tcPr>
          <w:p>
            <w:pPr>
              <w:spacing w:after="0"/>
              <w:rPr>
                <w:sz w:val="9"/>
                <w:szCs w:val="9"/>
                <w:color w:val="auto"/>
              </w:rPr>
            </w:pPr>
          </w:p>
        </w:tc>
        <w:tc>
          <w:tcPr>
            <w:tcW w:w="100" w:type="dxa"/>
            <w:vAlign w:val="bottom"/>
            <w:tcBorders>
              <w:bottom w:val="single" w:sz="8" w:color="A0DBF9"/>
            </w:tcBorders>
            <w:shd w:val="clear" w:color="auto" w:fill="E2F4FC"/>
          </w:tcPr>
          <w:p>
            <w:pPr>
              <w:spacing w:after="0"/>
              <w:rPr>
                <w:sz w:val="9"/>
                <w:szCs w:val="9"/>
                <w:color w:val="auto"/>
              </w:rPr>
            </w:pPr>
          </w:p>
        </w:tc>
        <w:tc>
          <w:tcPr>
            <w:tcW w:w="940" w:type="dxa"/>
            <w:vAlign w:val="bottom"/>
            <w:tcBorders>
              <w:bottom w:val="single" w:sz="8" w:color="A0DBF9"/>
              <w:right w:val="single" w:sz="8" w:color="A0DBF9"/>
            </w:tcBorders>
            <w:shd w:val="clear" w:color="auto" w:fill="E2F4FC"/>
          </w:tcPr>
          <w:p>
            <w:pPr>
              <w:spacing w:after="0"/>
              <w:rPr>
                <w:sz w:val="9"/>
                <w:szCs w:val="9"/>
                <w:color w:val="auto"/>
              </w:rPr>
            </w:pPr>
          </w:p>
        </w:tc>
        <w:tc>
          <w:tcPr>
            <w:tcW w:w="1020" w:type="dxa"/>
            <w:vAlign w:val="bottom"/>
            <w:tcBorders>
              <w:bottom w:val="single" w:sz="8" w:color="A0DBF9"/>
              <w:right w:val="single" w:sz="8" w:color="A0DBF9"/>
            </w:tcBorders>
            <w:shd w:val="clear" w:color="auto" w:fill="E2F4FC"/>
          </w:tcPr>
          <w:p>
            <w:pPr>
              <w:spacing w:after="0"/>
              <w:rPr>
                <w:sz w:val="9"/>
                <w:szCs w:val="9"/>
                <w:color w:val="auto"/>
              </w:rPr>
            </w:pPr>
          </w:p>
        </w:tc>
        <w:tc>
          <w:tcPr>
            <w:tcW w:w="1040" w:type="dxa"/>
            <w:vAlign w:val="bottom"/>
            <w:tcBorders>
              <w:bottom w:val="single" w:sz="8" w:color="A0DBF9"/>
              <w:right w:val="single" w:sz="8" w:color="A0DBF9"/>
            </w:tcBorders>
            <w:shd w:val="clear" w:color="auto" w:fill="E2F4FC"/>
          </w:tcPr>
          <w:p>
            <w:pPr>
              <w:spacing w:after="0"/>
              <w:rPr>
                <w:sz w:val="9"/>
                <w:szCs w:val="9"/>
                <w:color w:val="auto"/>
              </w:rPr>
            </w:pPr>
          </w:p>
        </w:tc>
        <w:tc>
          <w:tcPr>
            <w:tcW w:w="1020" w:type="dxa"/>
            <w:vAlign w:val="bottom"/>
            <w:tcBorders>
              <w:bottom w:val="single" w:sz="8" w:color="A0DBF9"/>
              <w:right w:val="single" w:sz="8" w:color="A0DBF9"/>
            </w:tcBorders>
            <w:shd w:val="clear" w:color="auto" w:fill="E2F4FC"/>
          </w:tcPr>
          <w:p>
            <w:pPr>
              <w:spacing w:after="0"/>
              <w:rPr>
                <w:sz w:val="9"/>
                <w:szCs w:val="9"/>
                <w:color w:val="auto"/>
              </w:rPr>
            </w:pPr>
          </w:p>
        </w:tc>
        <w:tc>
          <w:tcPr>
            <w:tcW w:w="1040" w:type="dxa"/>
            <w:vAlign w:val="bottom"/>
            <w:tcBorders>
              <w:bottom w:val="single" w:sz="8" w:color="A0DBF9"/>
              <w:right w:val="single" w:sz="8" w:color="A0DBF9"/>
            </w:tcBorders>
            <w:shd w:val="clear" w:color="auto" w:fill="E2F4FC"/>
          </w:tcPr>
          <w:p>
            <w:pPr>
              <w:spacing w:after="0"/>
              <w:rPr>
                <w:sz w:val="9"/>
                <w:szCs w:val="9"/>
                <w:color w:val="auto"/>
              </w:rPr>
            </w:pPr>
          </w:p>
        </w:tc>
        <w:tc>
          <w:tcPr>
            <w:tcW w:w="1040" w:type="dxa"/>
            <w:vAlign w:val="bottom"/>
            <w:tcBorders>
              <w:bottom w:val="single" w:sz="8" w:color="A0DBF9"/>
              <w:right w:val="single" w:sz="8" w:color="A0DBF9"/>
            </w:tcBorders>
            <w:shd w:val="clear" w:color="auto" w:fill="E2F4FC"/>
          </w:tcPr>
          <w:p>
            <w:pPr>
              <w:spacing w:after="0"/>
              <w:rPr>
                <w:sz w:val="9"/>
                <w:szCs w:val="9"/>
                <w:color w:val="auto"/>
              </w:rPr>
            </w:pPr>
          </w:p>
        </w:tc>
        <w:tc>
          <w:tcPr>
            <w:tcW w:w="1040" w:type="dxa"/>
            <w:vAlign w:val="bottom"/>
            <w:tcBorders>
              <w:bottom w:val="single" w:sz="8" w:color="A0DBF9"/>
              <w:right w:val="single" w:sz="8" w:color="A0DBF9"/>
            </w:tcBorders>
            <w:shd w:val="clear" w:color="auto" w:fill="E2F4FC"/>
          </w:tcPr>
          <w:p>
            <w:pPr>
              <w:spacing w:after="0"/>
              <w:rPr>
                <w:sz w:val="9"/>
                <w:szCs w:val="9"/>
                <w:color w:val="auto"/>
              </w:rPr>
            </w:pPr>
          </w:p>
        </w:tc>
        <w:tc>
          <w:tcPr>
            <w:tcW w:w="1040" w:type="dxa"/>
            <w:vAlign w:val="bottom"/>
            <w:tcBorders>
              <w:bottom w:val="single" w:sz="8" w:color="A0DBF9"/>
              <w:right w:val="single" w:sz="8" w:color="A0DBF9"/>
            </w:tcBorders>
            <w:shd w:val="clear" w:color="auto" w:fill="E2F4FC"/>
          </w:tcPr>
          <w:p>
            <w:pPr>
              <w:spacing w:after="0"/>
              <w:rPr>
                <w:sz w:val="9"/>
                <w:szCs w:val="9"/>
                <w:color w:val="auto"/>
              </w:rPr>
            </w:pPr>
          </w:p>
        </w:tc>
        <w:tc>
          <w:tcPr>
            <w:tcW w:w="940" w:type="dxa"/>
            <w:vAlign w:val="bottom"/>
            <w:tcBorders>
              <w:bottom w:val="single" w:sz="8" w:color="A0DBF9"/>
              <w:right w:val="single" w:sz="8" w:color="A0DBF9"/>
            </w:tcBorders>
            <w:shd w:val="clear" w:color="auto" w:fill="E2F4FC"/>
          </w:tcPr>
          <w:p>
            <w:pPr>
              <w:spacing w:after="0"/>
              <w:rPr>
                <w:sz w:val="9"/>
                <w:szCs w:val="9"/>
                <w:color w:val="auto"/>
              </w:rPr>
            </w:pPr>
          </w:p>
        </w:tc>
        <w:tc>
          <w:tcPr>
            <w:tcW w:w="72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20" w:right="380" w:firstLine="440"/>
        <w:spacing w:after="0" w:line="277" w:lineRule="auto"/>
        <w:rPr>
          <w:sz w:val="20"/>
          <w:szCs w:val="20"/>
          <w:color w:val="auto"/>
        </w:rPr>
      </w:pPr>
      <w:r>
        <w:rPr>
          <w:rFonts w:ascii="Arial" w:cs="Arial" w:eastAsia="Arial" w:hAnsi="Arial"/>
          <w:sz w:val="18"/>
          <w:szCs w:val="18"/>
          <w:color w:val="auto"/>
        </w:rPr>
        <w:t>For purposes of the 2017 PSA grant, the performance metrics are derived from the Company’s audited financial statements and are defined as follows:</w:t>
      </w:r>
    </w:p>
    <w:p>
      <w:pPr>
        <w:spacing w:after="0" w:line="76"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by “</w:t>
      </w:r>
      <w:r>
        <w:rPr>
          <w:rFonts w:ascii="Arial" w:cs="Arial" w:eastAsia="Arial" w:hAnsi="Arial"/>
          <w:sz w:val="17"/>
          <w:szCs w:val="17"/>
          <w:b w:val="1"/>
          <w:bCs w:val="1"/>
          <w:i w:val="1"/>
          <w:iCs w:val="1"/>
          <w:color w:val="auto"/>
        </w:rPr>
        <w:t>Total Revenue</w:t>
      </w:r>
      <w:r>
        <w:rPr>
          <w:rFonts w:ascii="Arial" w:cs="Arial" w:eastAsia="Arial" w:hAnsi="Arial"/>
          <w:sz w:val="17"/>
          <w:szCs w:val="17"/>
          <w:color w:val="auto"/>
        </w:rPr>
        <w:t>,” we mean Total Revenue determined in accordance with Generally Accepted Accounting Practices (GAAP); and</w:t>
      </w:r>
    </w:p>
    <w:p>
      <w:pPr>
        <w:spacing w:after="0" w:line="142" w:lineRule="exact"/>
        <w:rPr>
          <w:rFonts w:ascii="Arial" w:cs="Arial" w:eastAsia="Arial" w:hAnsi="Arial"/>
          <w:sz w:val="17"/>
          <w:szCs w:val="17"/>
          <w:color w:val="auto"/>
        </w:rPr>
      </w:pPr>
    </w:p>
    <w:p>
      <w:pPr>
        <w:ind w:left="1080" w:right="20" w:hanging="424"/>
        <w:spacing w:after="0" w:line="277"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by “</w:t>
      </w:r>
      <w:r>
        <w:rPr>
          <w:rFonts w:ascii="Arial" w:cs="Arial" w:eastAsia="Arial" w:hAnsi="Arial"/>
          <w:sz w:val="18"/>
          <w:szCs w:val="18"/>
          <w:b w:val="1"/>
          <w:bCs w:val="1"/>
          <w:i w:val="1"/>
          <w:iCs w:val="1"/>
          <w:color w:val="auto"/>
        </w:rPr>
        <w:t>Adjusted EBITDA</w:t>
      </w:r>
      <w:r>
        <w:rPr>
          <w:rFonts w:ascii="Arial" w:cs="Arial" w:eastAsia="Arial" w:hAnsi="Arial"/>
          <w:sz w:val="18"/>
          <w:szCs w:val="18"/>
          <w:color w:val="auto"/>
        </w:rPr>
        <w:t>,” we mean Adjusted EBITDA as reported in our public earnings releases filed with the SEC, less certain severance, recruitment and asset write-off expenses.</w:t>
      </w:r>
    </w:p>
    <w:p>
      <w:pPr>
        <w:spacing w:after="0" w:line="192" w:lineRule="exact"/>
        <w:rPr>
          <w:sz w:val="20"/>
          <w:szCs w:val="20"/>
          <w:color w:val="auto"/>
        </w:rPr>
      </w:pPr>
    </w:p>
    <w:tbl>
      <w:tblPr>
        <w:tblLayout w:type="fixed"/>
        <w:tblInd w:w="130" w:type="dxa"/>
        <w:tblCellMar>
          <w:top w:w="0" w:type="dxa"/>
          <w:left w:w="0" w:type="dxa"/>
          <w:bottom w:w="0" w:type="dxa"/>
          <w:right w:w="0" w:type="dxa"/>
        </w:tblCellMar>
      </w:tblPr>
      <w:tr>
        <w:trPr>
          <w:trHeight w:val="351"/>
        </w:trPr>
        <w:tc>
          <w:tcPr>
            <w:tcW w:w="2780" w:type="dxa"/>
            <w:vAlign w:val="bottom"/>
            <w:tcBorders>
              <w:top w:val="single" w:sz="8" w:color="auto"/>
              <w:left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Executive Summary</w:t>
            </w:r>
          </w:p>
        </w:tc>
        <w:tc>
          <w:tcPr>
            <w:tcW w:w="2660" w:type="dxa"/>
            <w:vAlign w:val="bottom"/>
            <w:tcBorders>
              <w:top w:val="single" w:sz="8" w:color="auto"/>
              <w:right w:val="single" w:sz="8" w:color="auto"/>
            </w:tcBorders>
          </w:tcPr>
          <w:p>
            <w:pPr>
              <w:ind w:left="480"/>
              <w:spacing w:after="0"/>
              <w:rPr>
                <w:sz w:val="20"/>
                <w:szCs w:val="20"/>
                <w:color w:val="auto"/>
              </w:rPr>
            </w:pPr>
            <w:r>
              <w:rPr>
                <w:rFonts w:ascii="Arial" w:cs="Arial" w:eastAsia="Arial" w:hAnsi="Arial"/>
                <w:sz w:val="18"/>
                <w:szCs w:val="18"/>
                <w:b w:val="1"/>
                <w:bCs w:val="1"/>
                <w:color w:val="auto"/>
              </w:rPr>
              <w:t>Philosophy &amp; Program</w:t>
            </w:r>
          </w:p>
        </w:tc>
        <w:tc>
          <w:tcPr>
            <w:tcW w:w="1860" w:type="dxa"/>
            <w:vAlign w:val="bottom"/>
            <w:tcBorders>
              <w:top w:val="single" w:sz="8" w:color="auto"/>
              <w:right w:val="single" w:sz="8" w:color="auto"/>
            </w:tcBorders>
          </w:tcPr>
          <w:p>
            <w:pPr>
              <w:ind w:left="680"/>
              <w:spacing w:after="0"/>
              <w:rPr>
                <w:sz w:val="20"/>
                <w:szCs w:val="20"/>
                <w:color w:val="auto"/>
              </w:rPr>
            </w:pPr>
            <w:r>
              <w:rPr>
                <w:rFonts w:ascii="Arial" w:cs="Arial" w:eastAsia="Arial" w:hAnsi="Arial"/>
                <w:sz w:val="18"/>
                <w:szCs w:val="18"/>
                <w:b w:val="1"/>
                <w:bCs w:val="1"/>
                <w:color w:val="auto"/>
              </w:rPr>
              <w:t>Process</w:t>
            </w:r>
          </w:p>
        </w:tc>
        <w:tc>
          <w:tcPr>
            <w:tcW w:w="1840" w:type="dxa"/>
            <w:vAlign w:val="bottom"/>
            <w:tcBorders>
              <w:top w:val="single" w:sz="8" w:color="auto"/>
            </w:tcBorders>
          </w:tcPr>
          <w:p>
            <w:pPr>
              <w:ind w:left="620"/>
              <w:spacing w:after="0"/>
              <w:rPr>
                <w:sz w:val="20"/>
                <w:szCs w:val="20"/>
                <w:color w:val="auto"/>
              </w:rPr>
            </w:pPr>
            <w:r>
              <w:rPr>
                <w:rFonts w:ascii="Arial" w:cs="Arial" w:eastAsia="Arial" w:hAnsi="Arial"/>
                <w:sz w:val="18"/>
                <w:szCs w:val="18"/>
                <w:b w:val="1"/>
                <w:bCs w:val="1"/>
                <w:color w:val="auto"/>
              </w:rPr>
              <w:t>Decisions</w:t>
            </w:r>
          </w:p>
        </w:tc>
        <w:tc>
          <w:tcPr>
            <w:tcW w:w="1880" w:type="dxa"/>
            <w:vAlign w:val="bottom"/>
            <w:tcBorders>
              <w:top w:val="single" w:sz="8" w:color="auto"/>
            </w:tcBorders>
            <w:shd w:val="clear" w:color="auto" w:fill="000000"/>
          </w:tcPr>
          <w:p>
            <w:pPr>
              <w:ind w:left="740"/>
              <w:spacing w:after="0"/>
              <w:rPr>
                <w:sz w:val="20"/>
                <w:szCs w:val="20"/>
                <w:color w:val="auto"/>
              </w:rPr>
            </w:pPr>
            <w:r>
              <w:rPr>
                <w:rFonts w:ascii="Arial" w:cs="Arial" w:eastAsia="Arial" w:hAnsi="Arial"/>
                <w:sz w:val="18"/>
                <w:szCs w:val="18"/>
                <w:b w:val="1"/>
                <w:bCs w:val="1"/>
                <w:color w:val="FFFFFF"/>
              </w:rPr>
              <w:t>Other</w:t>
            </w:r>
          </w:p>
        </w:tc>
      </w:tr>
      <w:tr>
        <w:trPr>
          <w:trHeight w:val="162"/>
        </w:trPr>
        <w:tc>
          <w:tcPr>
            <w:tcW w:w="2780" w:type="dxa"/>
            <w:vAlign w:val="bottom"/>
            <w:tcBorders>
              <w:left w:val="single" w:sz="8" w:color="auto"/>
              <w:bottom w:val="single" w:sz="8" w:color="auto"/>
              <w:right w:val="single" w:sz="8" w:color="auto"/>
            </w:tcBorders>
          </w:tcPr>
          <w:p>
            <w:pPr>
              <w:spacing w:after="0"/>
              <w:rPr>
                <w:sz w:val="14"/>
                <w:szCs w:val="14"/>
                <w:color w:val="auto"/>
              </w:rPr>
            </w:pPr>
          </w:p>
        </w:tc>
        <w:tc>
          <w:tcPr>
            <w:tcW w:w="2660" w:type="dxa"/>
            <w:vAlign w:val="bottom"/>
            <w:tcBorders>
              <w:bottom w:val="single" w:sz="8" w:color="auto"/>
              <w:right w:val="single" w:sz="8" w:color="auto"/>
            </w:tcBorders>
          </w:tcPr>
          <w:p>
            <w:pPr>
              <w:spacing w:after="0"/>
              <w:rPr>
                <w:sz w:val="14"/>
                <w:szCs w:val="14"/>
                <w:color w:val="auto"/>
              </w:rPr>
            </w:pPr>
          </w:p>
        </w:tc>
        <w:tc>
          <w:tcPr>
            <w:tcW w:w="1860" w:type="dxa"/>
            <w:vAlign w:val="bottom"/>
            <w:tcBorders>
              <w:bottom w:val="single" w:sz="8" w:color="auto"/>
              <w:right w:val="single" w:sz="8" w:color="auto"/>
            </w:tcBorders>
          </w:tcPr>
          <w:p>
            <w:pPr>
              <w:spacing w:after="0"/>
              <w:rPr>
                <w:sz w:val="14"/>
                <w:szCs w:val="14"/>
                <w:color w:val="auto"/>
              </w:rPr>
            </w:pPr>
          </w:p>
        </w:tc>
        <w:tc>
          <w:tcPr>
            <w:tcW w:w="1840" w:type="dxa"/>
            <w:vAlign w:val="bottom"/>
            <w:tcBorders>
              <w:bottom w:val="single" w:sz="8" w:color="auto"/>
            </w:tcBorders>
          </w:tcPr>
          <w:p>
            <w:pPr>
              <w:spacing w:after="0"/>
              <w:rPr>
                <w:sz w:val="14"/>
                <w:szCs w:val="14"/>
                <w:color w:val="auto"/>
              </w:rPr>
            </w:pPr>
          </w:p>
        </w:tc>
        <w:tc>
          <w:tcPr>
            <w:tcW w:w="1880" w:type="dxa"/>
            <w:vAlign w:val="bottom"/>
            <w:tcBorders>
              <w:bottom w:val="single" w:sz="8" w:color="auto"/>
            </w:tcBorders>
            <w:shd w:val="clear" w:color="auto" w:fill="000000"/>
          </w:tcPr>
          <w:p>
            <w:pPr>
              <w:spacing w:after="0"/>
              <w:rPr>
                <w:sz w:val="14"/>
                <w:szCs w:val="14"/>
                <w:color w:val="auto"/>
              </w:rPr>
            </w:pPr>
          </w:p>
        </w:tc>
      </w:tr>
    </w:tbl>
    <w:p>
      <w:pPr>
        <w:spacing w:after="0" w:line="19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Risk Assessment</w:t>
      </w:r>
    </w:p>
    <w:p>
      <w:pPr>
        <w:spacing w:after="0" w:line="121" w:lineRule="exact"/>
        <w:rPr>
          <w:sz w:val="20"/>
          <w:szCs w:val="20"/>
          <w:color w:val="auto"/>
        </w:rPr>
      </w:pPr>
    </w:p>
    <w:p>
      <w:pPr>
        <w:ind w:left="120" w:right="80" w:firstLine="440"/>
        <w:spacing w:after="0" w:line="311" w:lineRule="auto"/>
        <w:rPr>
          <w:sz w:val="20"/>
          <w:szCs w:val="20"/>
          <w:color w:val="auto"/>
        </w:rPr>
      </w:pPr>
      <w:r>
        <w:rPr>
          <w:rFonts w:ascii="Arial" w:cs="Arial" w:eastAsia="Arial" w:hAnsi="Arial"/>
          <w:sz w:val="16"/>
          <w:szCs w:val="16"/>
          <w:color w:val="auto"/>
        </w:rPr>
        <w:t>Each year, with the assistance of Pearl Meyer, our management and the Compensation Committee review our compensation practices and policies from a risk management perspective. We have reviewed our programs and determined that there are no practices or policies that are likely to lead to excessive risk-taking or have a material adverse effect on the Company. Further, we identified the following practices that serve to mitigate risk:</w:t>
      </w:r>
    </w:p>
    <w:p>
      <w:pPr>
        <w:spacing w:after="0" w:line="54" w:lineRule="exact"/>
        <w:rPr>
          <w:sz w:val="20"/>
          <w:szCs w:val="20"/>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provide a balance of fixed and performance-based compensation;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Payouts under our short-term incentive plan are based on the achievement of multiple challenging goals;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long-term incentive grants vest over time, generally in three years;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make use of several different incentive compensation goals;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Our Compensation Committee has discretion to reduce bonus awards should the objective formula yield an inappropriate result;</w:t>
      </w:r>
    </w:p>
    <w:p>
      <w:pPr>
        <w:spacing w:after="0" w:line="142" w:lineRule="exact"/>
        <w:rPr>
          <w:rFonts w:ascii="Arial" w:cs="Arial" w:eastAsia="Arial" w:hAnsi="Arial"/>
          <w:sz w:val="17"/>
          <w:szCs w:val="17"/>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may claw-back compensation under certain scenarios;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Share Ownership and Retention Guidelines for our senior vice presidents and above level employees;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 prohibition on hedging and pledging of our Company stock;</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an independent Compensation Committee;</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engage and seek the advice of independent compensation consultants;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proper administrative and oversight controls;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We have an established Compensation Committee calendar for governance purposes.</w:t>
      </w:r>
    </w:p>
    <w:p>
      <w:pPr>
        <w:spacing w:after="0" w:line="15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140"/>
          </w:cols>
          <w:pgMar w:left="320" w:top="459" w:right="4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Impact of Accounting and Tax on the Form of Compensation</w:t>
      </w:r>
    </w:p>
    <w:p>
      <w:pPr>
        <w:spacing w:after="0" w:line="121" w:lineRule="exact"/>
        <w:rPr>
          <w:sz w:val="20"/>
          <w:szCs w:val="20"/>
          <w:color w:val="auto"/>
        </w:rPr>
      </w:pPr>
    </w:p>
    <w:p>
      <w:pPr>
        <w:jc w:val="both"/>
        <w:ind w:left="120" w:right="40" w:firstLine="440"/>
        <w:spacing w:after="0" w:line="263" w:lineRule="auto"/>
        <w:rPr>
          <w:sz w:val="20"/>
          <w:szCs w:val="20"/>
          <w:color w:val="auto"/>
        </w:rPr>
      </w:pPr>
      <w:r>
        <w:rPr>
          <w:rFonts w:ascii="Arial" w:cs="Arial" w:eastAsia="Arial" w:hAnsi="Arial"/>
          <w:sz w:val="18"/>
          <w:szCs w:val="18"/>
          <w:color w:val="auto"/>
        </w:rPr>
        <w:t>The Compensation Committee and Management consider the accounting and, when appropriate, individual and corporate tax consequences of the compensation plans. The Compensation Committee has considered the impact of the expense, which will be recognized by the Company in accordance with FASB ASC TOPIC 718, on the Company’s use of long-term equity incentives.</w:t>
      </w:r>
    </w:p>
    <w:p>
      <w:pPr>
        <w:spacing w:after="0" w:line="184" w:lineRule="exact"/>
        <w:rPr>
          <w:sz w:val="20"/>
          <w:szCs w:val="20"/>
          <w:color w:val="auto"/>
        </w:rPr>
      </w:pPr>
    </w:p>
    <w:p>
      <w:pPr>
        <w:ind w:left="120" w:firstLine="440"/>
        <w:spacing w:after="0" w:line="255" w:lineRule="auto"/>
        <w:rPr>
          <w:sz w:val="20"/>
          <w:szCs w:val="20"/>
          <w:color w:val="auto"/>
        </w:rPr>
      </w:pPr>
      <w:r>
        <w:rPr>
          <w:rFonts w:ascii="Arial" w:cs="Arial" w:eastAsia="Arial" w:hAnsi="Arial"/>
          <w:sz w:val="18"/>
          <w:szCs w:val="18"/>
          <w:color w:val="auto"/>
        </w:rPr>
        <w:t>Section 162(m) of the Internal Revenue Code generally limits deductibility by the Company of non-exempt taxable compensation paid to NEOs to a maximum of $1 million per annum. The Compensation Committee takes into consideration the potential deductibility of the compensation as one of the factors to be considered when establishing our executive compensation program. However, the Compensation Committee believes that its primary responsibility is to provide an executive compensation program that attracts, motivates and retains the level of successful, qualified executive leadership talent necessary to achieve our long-term goals. Accordingly, the Committee has paid and may, in its judgment, compensation that limited as to tax deductibility, in whole or in part.</w:t>
      </w:r>
    </w:p>
    <w:p>
      <w:pPr>
        <w:spacing w:after="0" w:line="296"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Compensation Committee Report</w:t>
      </w:r>
    </w:p>
    <w:p>
      <w:pPr>
        <w:spacing w:after="0" w:line="121" w:lineRule="exact"/>
        <w:rPr>
          <w:sz w:val="20"/>
          <w:szCs w:val="20"/>
          <w:color w:val="auto"/>
        </w:rPr>
      </w:pPr>
    </w:p>
    <w:p>
      <w:pPr>
        <w:ind w:left="120" w:right="60" w:firstLine="440"/>
        <w:spacing w:after="0" w:line="311" w:lineRule="auto"/>
        <w:rPr>
          <w:sz w:val="20"/>
          <w:szCs w:val="20"/>
          <w:color w:val="auto"/>
        </w:rPr>
      </w:pPr>
      <w:r>
        <w:rPr>
          <w:rFonts w:ascii="Arial" w:cs="Arial" w:eastAsia="Arial" w:hAnsi="Arial"/>
          <w:sz w:val="16"/>
          <w:szCs w:val="16"/>
          <w:color w:val="auto"/>
        </w:rPr>
        <w:t>The Compensation Committee has reviewed and discussed with management the Compensation Discussion and Analysis section of this proxy statement, as required by Item 402(b) of the SEC’s Regulation S-K and the Compensation Committee’s Charter. Based on its review and discussion, the Compensation Committee has recommended to the Board that the Compensation Discussion and Analysis be included in this proxy statement.</w:t>
      </w:r>
    </w:p>
    <w:p>
      <w:pPr>
        <w:spacing w:after="0" w:line="14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Julie McHugh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James Clemmer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Ken Pucel</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Derace Schaffer</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100"/>
          </w:cols>
          <w:pgMar w:left="320" w:top="459" w:right="47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Summary Compensation Table for Fiscal Years 2019, 2018 and 2017</w:t>
      </w:r>
    </w:p>
    <w:p>
      <w:pPr>
        <w:spacing w:after="0" w:line="229"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The following table sets forth certain information with respect to compensation of our named executive officers for the years ended December 31, 2019, and if applicable, 2018 and 2017:</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54"/>
        </w:trPr>
        <w:tc>
          <w:tcPr>
            <w:tcW w:w="4520" w:type="dxa"/>
            <w:vAlign w:val="bottom"/>
            <w:tcBorders>
              <w:left w:val="single" w:sz="8" w:color="5EB5FC"/>
              <w:right w:val="single" w:sz="8" w:color="5EB5FC"/>
            </w:tcBorders>
            <w:shd w:val="clear" w:color="auto" w:fill="5EB5FC"/>
          </w:tcPr>
          <w:p>
            <w:pPr>
              <w:spacing w:after="0"/>
              <w:rPr>
                <w:sz w:val="4"/>
                <w:szCs w:val="4"/>
                <w:color w:val="auto"/>
              </w:rPr>
            </w:pPr>
          </w:p>
        </w:tc>
        <w:tc>
          <w:tcPr>
            <w:tcW w:w="1080" w:type="dxa"/>
            <w:vAlign w:val="bottom"/>
            <w:tcBorders>
              <w:right w:val="single" w:sz="8" w:color="5EB5FC"/>
            </w:tcBorders>
            <w:shd w:val="clear" w:color="auto" w:fill="5EB5FC"/>
          </w:tcPr>
          <w:p>
            <w:pPr>
              <w:spacing w:after="0"/>
              <w:rPr>
                <w:sz w:val="4"/>
                <w:szCs w:val="4"/>
                <w:color w:val="auto"/>
              </w:rPr>
            </w:pPr>
          </w:p>
        </w:tc>
        <w:tc>
          <w:tcPr>
            <w:tcW w:w="1080" w:type="dxa"/>
            <w:vAlign w:val="bottom"/>
            <w:tcBorders>
              <w:right w:val="single" w:sz="8" w:color="5EB5FC"/>
            </w:tcBorders>
            <w:shd w:val="clear" w:color="auto" w:fill="5EB5FC"/>
          </w:tcPr>
          <w:p>
            <w:pPr>
              <w:spacing w:after="0"/>
              <w:rPr>
                <w:sz w:val="4"/>
                <w:szCs w:val="4"/>
                <w:color w:val="auto"/>
              </w:rPr>
            </w:pPr>
          </w:p>
        </w:tc>
        <w:tc>
          <w:tcPr>
            <w:tcW w:w="1080" w:type="dxa"/>
            <w:vAlign w:val="bottom"/>
            <w:tcBorders>
              <w:right w:val="single" w:sz="8" w:color="5EB5FC"/>
            </w:tcBorders>
            <w:shd w:val="clear" w:color="auto" w:fill="5EB5FC"/>
          </w:tcPr>
          <w:p>
            <w:pPr>
              <w:spacing w:after="0"/>
              <w:rPr>
                <w:sz w:val="4"/>
                <w:szCs w:val="4"/>
                <w:color w:val="auto"/>
              </w:rPr>
            </w:pPr>
          </w:p>
        </w:tc>
        <w:tc>
          <w:tcPr>
            <w:tcW w:w="1080" w:type="dxa"/>
            <w:vAlign w:val="bottom"/>
            <w:tcBorders>
              <w:right w:val="single" w:sz="8" w:color="5EB5FC"/>
            </w:tcBorders>
            <w:shd w:val="clear" w:color="auto" w:fill="5EB5FC"/>
          </w:tcPr>
          <w:p>
            <w:pPr>
              <w:spacing w:after="0"/>
              <w:rPr>
                <w:sz w:val="4"/>
                <w:szCs w:val="4"/>
                <w:color w:val="auto"/>
              </w:rPr>
            </w:pPr>
          </w:p>
        </w:tc>
        <w:tc>
          <w:tcPr>
            <w:tcW w:w="1100" w:type="dxa"/>
            <w:vAlign w:val="bottom"/>
            <w:tcBorders>
              <w:right w:val="single" w:sz="8" w:color="5EB5FC"/>
            </w:tcBorders>
            <w:shd w:val="clear" w:color="auto" w:fill="5EB5FC"/>
          </w:tcPr>
          <w:p>
            <w:pPr>
              <w:spacing w:after="0"/>
              <w:rPr>
                <w:sz w:val="4"/>
                <w:szCs w:val="4"/>
                <w:color w:val="auto"/>
              </w:rPr>
            </w:pPr>
          </w:p>
        </w:tc>
        <w:tc>
          <w:tcPr>
            <w:tcW w:w="1100" w:type="dxa"/>
            <w:vAlign w:val="bottom"/>
            <w:tcBorders>
              <w:right w:val="single" w:sz="8" w:color="5EB5FC"/>
            </w:tcBorders>
            <w:shd w:val="clear" w:color="auto" w:fill="5EB5FC"/>
          </w:tcPr>
          <w:p>
            <w:pPr>
              <w:spacing w:after="0"/>
              <w:rPr>
                <w:sz w:val="4"/>
                <w:szCs w:val="4"/>
                <w:color w:val="auto"/>
              </w:rPr>
            </w:pPr>
          </w:p>
        </w:tc>
        <w:tc>
          <w:tcPr>
            <w:tcW w:w="0" w:type="dxa"/>
            <w:vAlign w:val="bottom"/>
          </w:tcPr>
          <w:p>
            <w:pPr>
              <w:spacing w:after="0"/>
              <w:rPr>
                <w:sz w:val="1"/>
                <w:szCs w:val="1"/>
                <w:color w:val="auto"/>
              </w:rPr>
            </w:pPr>
          </w:p>
        </w:tc>
      </w:tr>
      <w:tr>
        <w:trPr>
          <w:trHeight w:val="126"/>
        </w:trPr>
        <w:tc>
          <w:tcPr>
            <w:tcW w:w="4520" w:type="dxa"/>
            <w:vAlign w:val="bottom"/>
            <w:tcBorders>
              <w:left w:val="single" w:sz="8" w:color="5EB5FC"/>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jc w:val="center"/>
              <w:spacing w:after="0" w:line="126" w:lineRule="exact"/>
              <w:rPr>
                <w:sz w:val="20"/>
                <w:szCs w:val="20"/>
                <w:color w:val="auto"/>
              </w:rPr>
            </w:pPr>
            <w:r>
              <w:rPr>
                <w:rFonts w:ascii="Arial" w:cs="Arial" w:eastAsia="Arial" w:hAnsi="Arial"/>
                <w:sz w:val="14"/>
                <w:szCs w:val="14"/>
                <w:b w:val="1"/>
                <w:bCs w:val="1"/>
                <w:color w:val="FFFFFF"/>
                <w:w w:val="96"/>
              </w:rPr>
              <w:t>Non-Equity</w:t>
            </w:r>
          </w:p>
        </w:tc>
        <w:tc>
          <w:tcPr>
            <w:tcW w:w="1100" w:type="dxa"/>
            <w:vAlign w:val="bottom"/>
            <w:tcBorders>
              <w:right w:val="single" w:sz="8" w:color="5EB5FC"/>
            </w:tcBorders>
            <w:shd w:val="clear" w:color="auto" w:fill="5EB5FC"/>
          </w:tcPr>
          <w:p>
            <w:pPr>
              <w:spacing w:after="0"/>
              <w:rPr>
                <w:sz w:val="10"/>
                <w:szCs w:val="10"/>
                <w:color w:val="auto"/>
              </w:rPr>
            </w:pPr>
          </w:p>
        </w:tc>
        <w:tc>
          <w:tcPr>
            <w:tcW w:w="1100" w:type="dxa"/>
            <w:vAlign w:val="bottom"/>
            <w:tcBorders>
              <w:right w:val="single" w:sz="8" w:color="5EB5FC"/>
            </w:tcBorders>
            <w:shd w:val="clear" w:color="auto" w:fill="5EB5FC"/>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520" w:type="dxa"/>
            <w:vAlign w:val="bottom"/>
            <w:tcBorders>
              <w:left w:val="single" w:sz="8" w:color="5EB5FC"/>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2"/>
              </w:rPr>
              <w:t>Incentive</w:t>
            </w:r>
          </w:p>
        </w:tc>
        <w:tc>
          <w:tcPr>
            <w:tcW w:w="1100" w:type="dxa"/>
            <w:vAlign w:val="bottom"/>
            <w:tcBorders>
              <w:right w:val="single" w:sz="8" w:color="5EB5FC"/>
            </w:tcBorders>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520" w:type="dxa"/>
            <w:vAlign w:val="bottom"/>
            <w:tcBorders>
              <w:left w:val="single" w:sz="8" w:color="5EB5FC"/>
              <w:right w:val="single" w:sz="8" w:color="5EB5FC"/>
            </w:tcBorders>
            <w:shd w:val="clear" w:color="auto" w:fill="5EB5FC"/>
          </w:tcPr>
          <w:p>
            <w:pPr>
              <w:spacing w:after="0"/>
              <w:rPr>
                <w:sz w:val="13"/>
                <w:szCs w:val="13"/>
                <w:color w:val="auto"/>
              </w:rPr>
            </w:pPr>
          </w:p>
        </w:tc>
        <w:tc>
          <w:tcPr>
            <w:tcW w:w="1080" w:type="dxa"/>
            <w:vAlign w:val="bottom"/>
            <w:tcBorders>
              <w:right w:val="single" w:sz="8" w:color="5EB5FC"/>
            </w:tcBorders>
            <w:shd w:val="clear" w:color="auto" w:fill="5EB5FC"/>
          </w:tcPr>
          <w:p>
            <w:pPr>
              <w:spacing w:after="0"/>
              <w:rPr>
                <w:sz w:val="13"/>
                <w:szCs w:val="13"/>
                <w:color w:val="auto"/>
              </w:rPr>
            </w:pPr>
          </w:p>
        </w:tc>
        <w:tc>
          <w:tcPr>
            <w:tcW w:w="1080" w:type="dxa"/>
            <w:vAlign w:val="bottom"/>
            <w:tcBorders>
              <w:right w:val="single" w:sz="8" w:color="5EB5FC"/>
            </w:tcBorders>
            <w:shd w:val="clear" w:color="auto" w:fill="5EB5FC"/>
          </w:tcPr>
          <w:p>
            <w:pPr>
              <w:spacing w:after="0"/>
              <w:rPr>
                <w:sz w:val="13"/>
                <w:szCs w:val="13"/>
                <w:color w:val="auto"/>
              </w:rPr>
            </w:pP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Stock</w:t>
            </w:r>
          </w:p>
        </w:tc>
        <w:tc>
          <w:tcPr>
            <w:tcW w:w="1080" w:type="dxa"/>
            <w:vAlign w:val="bottom"/>
            <w:tcBorders>
              <w:right w:val="single" w:sz="8" w:color="5EB5FC"/>
            </w:tcBorders>
            <w:shd w:val="clear" w:color="auto" w:fill="5EB5FC"/>
          </w:tcPr>
          <w:p>
            <w:pPr>
              <w:jc w:val="center"/>
              <w:spacing w:after="0" w:line="158" w:lineRule="exact"/>
              <w:rPr>
                <w:sz w:val="20"/>
                <w:szCs w:val="20"/>
                <w:color w:val="auto"/>
              </w:rPr>
            </w:pPr>
            <w:r>
              <w:rPr>
                <w:rFonts w:ascii="Arial" w:cs="Arial" w:eastAsia="Arial" w:hAnsi="Arial"/>
                <w:sz w:val="14"/>
                <w:szCs w:val="14"/>
                <w:b w:val="1"/>
                <w:bCs w:val="1"/>
                <w:color w:val="FFFFFF"/>
                <w:w w:val="94"/>
              </w:rPr>
              <w:t>Plan</w:t>
            </w:r>
          </w:p>
        </w:tc>
        <w:tc>
          <w:tcPr>
            <w:tcW w:w="1100" w:type="dxa"/>
            <w:vAlign w:val="bottom"/>
            <w:tcBorders>
              <w:right w:val="single" w:sz="8" w:color="5EB5FC"/>
            </w:tcBorders>
            <w:shd w:val="clear" w:color="auto" w:fill="5EB5FC"/>
          </w:tcPr>
          <w:p>
            <w:pPr>
              <w:jc w:val="center"/>
              <w:spacing w:after="0" w:line="158" w:lineRule="exact"/>
              <w:rPr>
                <w:sz w:val="20"/>
                <w:szCs w:val="20"/>
                <w:color w:val="auto"/>
              </w:rPr>
            </w:pPr>
            <w:r>
              <w:rPr>
                <w:rFonts w:ascii="Arial" w:cs="Arial" w:eastAsia="Arial" w:hAnsi="Arial"/>
                <w:sz w:val="14"/>
                <w:szCs w:val="14"/>
                <w:b w:val="1"/>
                <w:bCs w:val="1"/>
                <w:color w:val="FFFFFF"/>
                <w:w w:val="98"/>
              </w:rPr>
              <w:t>All Other</w:t>
            </w:r>
          </w:p>
        </w:tc>
        <w:tc>
          <w:tcPr>
            <w:tcW w:w="1100" w:type="dxa"/>
            <w:vAlign w:val="bottom"/>
            <w:tcBorders>
              <w:right w:val="single" w:sz="8" w:color="5EB5FC"/>
            </w:tcBorders>
            <w:shd w:val="clear" w:color="auto" w:fill="5EB5FC"/>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4520" w:type="dxa"/>
            <w:vAlign w:val="bottom"/>
            <w:tcBorders>
              <w:left w:val="single" w:sz="8" w:color="5EB5FC"/>
              <w:right w:val="single" w:sz="8" w:color="5EB5FC"/>
            </w:tcBorders>
            <w:vMerge w:val="restart"/>
            <w:shd w:val="clear" w:color="auto" w:fill="5EB5FC"/>
          </w:tcPr>
          <w:p>
            <w:pPr>
              <w:ind w:left="2140"/>
              <w:spacing w:after="0"/>
              <w:rPr>
                <w:sz w:val="20"/>
                <w:szCs w:val="20"/>
                <w:color w:val="auto"/>
              </w:rPr>
            </w:pPr>
            <w:r>
              <w:rPr>
                <w:rFonts w:ascii="Arial" w:cs="Arial" w:eastAsia="Arial" w:hAnsi="Arial"/>
                <w:sz w:val="14"/>
                <w:szCs w:val="14"/>
                <w:b w:val="1"/>
                <w:bCs w:val="1"/>
                <w:color w:val="FFFFFF"/>
              </w:rPr>
              <w:t>Name</w:t>
            </w: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vMerge w:val="restart"/>
            <w:shd w:val="clear" w:color="auto" w:fill="5EB5FC"/>
          </w:tcPr>
          <w:p>
            <w:pPr>
              <w:ind w:left="380"/>
              <w:spacing w:after="0"/>
              <w:rPr>
                <w:sz w:val="20"/>
                <w:szCs w:val="20"/>
                <w:color w:val="auto"/>
              </w:rPr>
            </w:pPr>
            <w:r>
              <w:rPr>
                <w:rFonts w:ascii="Arial" w:cs="Arial" w:eastAsia="Arial" w:hAnsi="Arial"/>
                <w:sz w:val="14"/>
                <w:szCs w:val="14"/>
                <w:b w:val="1"/>
                <w:bCs w:val="1"/>
                <w:color w:val="FFFFFF"/>
              </w:rPr>
              <w:t>Salary</w:t>
            </w:r>
          </w:p>
        </w:tc>
        <w:tc>
          <w:tcPr>
            <w:tcW w:w="1080" w:type="dxa"/>
            <w:vAlign w:val="bottom"/>
            <w:tcBorders>
              <w:right w:val="single" w:sz="8" w:color="5EB5FC"/>
            </w:tcBorders>
            <w:vMerge w:val="continue"/>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89"/>
              </w:rPr>
              <w:t>Compensa</w:t>
            </w:r>
          </w:p>
        </w:tc>
        <w:tc>
          <w:tcPr>
            <w:tcW w:w="110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89"/>
              </w:rPr>
              <w:t>Compensa</w:t>
            </w: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0" w:type="dxa"/>
            <w:vAlign w:val="bottom"/>
          </w:tcPr>
          <w:p>
            <w:pPr>
              <w:spacing w:after="0"/>
              <w:rPr>
                <w:sz w:val="1"/>
                <w:szCs w:val="1"/>
                <w:color w:val="auto"/>
              </w:rPr>
            </w:pPr>
          </w:p>
        </w:tc>
      </w:tr>
      <w:tr>
        <w:trPr>
          <w:trHeight w:val="148"/>
        </w:trPr>
        <w:tc>
          <w:tcPr>
            <w:tcW w:w="4520" w:type="dxa"/>
            <w:vAlign w:val="bottom"/>
            <w:tcBorders>
              <w:left w:val="single" w:sz="8" w:color="5EB5FC"/>
              <w:right w:val="single" w:sz="8" w:color="5EB5FC"/>
            </w:tcBorders>
            <w:vMerge w:val="continue"/>
            <w:shd w:val="clear" w:color="auto" w:fill="5EB5FC"/>
          </w:tcPr>
          <w:p>
            <w:pPr>
              <w:spacing w:after="0"/>
              <w:rPr>
                <w:sz w:val="12"/>
                <w:szCs w:val="12"/>
                <w:color w:val="auto"/>
              </w:rPr>
            </w:pP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Year</w:t>
            </w:r>
          </w:p>
        </w:tc>
        <w:tc>
          <w:tcPr>
            <w:tcW w:w="1080" w:type="dxa"/>
            <w:vAlign w:val="bottom"/>
            <w:tcBorders>
              <w:right w:val="single" w:sz="8" w:color="5EB5FC"/>
            </w:tcBorders>
            <w:vMerge w:val="continue"/>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1"/>
              </w:rPr>
              <w:t>Awards</w:t>
            </w:r>
            <w:r>
              <w:rPr>
                <w:rFonts w:ascii="Arial" w:cs="Arial" w:eastAsia="Arial" w:hAnsi="Arial"/>
                <w:sz w:val="12"/>
                <w:szCs w:val="12"/>
                <w:b w:val="1"/>
                <w:bCs w:val="1"/>
                <w:color w:val="FFFFFF"/>
                <w:w w:val="91"/>
              </w:rPr>
              <w:t>(1)</w:t>
            </w:r>
          </w:p>
        </w:tc>
        <w:tc>
          <w:tcPr>
            <w:tcW w:w="108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9"/>
              </w:rPr>
              <w:t>tion</w:t>
            </w:r>
            <w:r>
              <w:rPr>
                <w:rFonts w:ascii="Arial" w:cs="Arial" w:eastAsia="Arial" w:hAnsi="Arial"/>
                <w:sz w:val="12"/>
                <w:szCs w:val="12"/>
                <w:b w:val="1"/>
                <w:bCs w:val="1"/>
                <w:color w:val="FFFFFF"/>
                <w:w w:val="99"/>
              </w:rPr>
              <w:t>(2)</w:t>
            </w:r>
          </w:p>
        </w:tc>
        <w:tc>
          <w:tcPr>
            <w:tcW w:w="110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tion</w:t>
            </w:r>
            <w:r>
              <w:rPr>
                <w:rFonts w:ascii="Arial" w:cs="Arial" w:eastAsia="Arial" w:hAnsi="Arial"/>
                <w:sz w:val="12"/>
                <w:szCs w:val="12"/>
                <w:b w:val="1"/>
                <w:bCs w:val="1"/>
                <w:color w:val="FFFFFF"/>
                <w:w w:val="94"/>
              </w:rPr>
              <w:t>(3)</w:t>
            </w:r>
          </w:p>
        </w:tc>
        <w:tc>
          <w:tcPr>
            <w:tcW w:w="1100" w:type="dxa"/>
            <w:vAlign w:val="bottom"/>
            <w:tcBorders>
              <w:right w:val="single" w:sz="8" w:color="5EB5FC"/>
            </w:tcBorders>
            <w:vMerge w:val="continue"/>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4520" w:type="dxa"/>
            <w:vAlign w:val="bottom"/>
            <w:tcBorders>
              <w:left w:val="single" w:sz="8" w:color="5EB5FC"/>
              <w:right w:val="single" w:sz="8" w:color="5EB5FC"/>
            </w:tcBorders>
            <w:shd w:val="clear" w:color="auto" w:fill="5EB5FC"/>
          </w:tcPr>
          <w:p>
            <w:pPr>
              <w:ind w:left="1780"/>
              <w:spacing w:after="0"/>
              <w:rPr>
                <w:sz w:val="20"/>
                <w:szCs w:val="20"/>
                <w:color w:val="auto"/>
              </w:rPr>
            </w:pPr>
            <w:r>
              <w:rPr>
                <w:rFonts w:ascii="Arial" w:cs="Arial" w:eastAsia="Arial" w:hAnsi="Arial"/>
                <w:sz w:val="14"/>
                <w:szCs w:val="14"/>
                <w:b w:val="1"/>
                <w:bCs w:val="1"/>
                <w:color w:val="FFFFFF"/>
              </w:rPr>
              <w:t>Principal Position</w:t>
            </w:r>
          </w:p>
        </w:tc>
        <w:tc>
          <w:tcPr>
            <w:tcW w:w="1080" w:type="dxa"/>
            <w:vAlign w:val="bottom"/>
            <w:tcBorders>
              <w:right w:val="single" w:sz="8" w:color="5EB5FC"/>
            </w:tcBorders>
            <w:vMerge w:val="continue"/>
            <w:shd w:val="clear" w:color="auto" w:fill="5EB5FC"/>
          </w:tcPr>
          <w:p>
            <w:pPr>
              <w:spacing w:after="0"/>
              <w:rPr>
                <w:sz w:val="16"/>
                <w:szCs w:val="16"/>
                <w:color w:val="auto"/>
              </w:rPr>
            </w:pPr>
          </w:p>
        </w:tc>
        <w:tc>
          <w:tcPr>
            <w:tcW w:w="1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tcBorders>
              <w:right w:val="single" w:sz="8" w:color="5EB5FC"/>
            </w:tcBorders>
            <w:shd w:val="clear" w:color="auto" w:fill="5EB5FC"/>
          </w:tcPr>
          <w:p>
            <w:pPr>
              <w:jc w:val="right"/>
              <w:ind w:right="372"/>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66"/>
        </w:trPr>
        <w:tc>
          <w:tcPr>
            <w:tcW w:w="4520" w:type="dxa"/>
            <w:vAlign w:val="bottom"/>
            <w:tcBorders>
              <w:left w:val="single" w:sz="8" w:color="5EB5FC"/>
              <w:right w:val="single" w:sz="8" w:color="5EB5FC"/>
            </w:tcBorders>
            <w:shd w:val="clear" w:color="auto" w:fill="5EB5FC"/>
          </w:tcPr>
          <w:p>
            <w:pPr>
              <w:spacing w:after="0"/>
              <w:rPr>
                <w:sz w:val="5"/>
                <w:szCs w:val="5"/>
                <w:color w:val="auto"/>
              </w:rPr>
            </w:pPr>
          </w:p>
        </w:tc>
        <w:tc>
          <w:tcPr>
            <w:tcW w:w="1080" w:type="dxa"/>
            <w:vAlign w:val="bottom"/>
            <w:tcBorders>
              <w:right w:val="single" w:sz="8" w:color="5EB5FC"/>
            </w:tcBorders>
            <w:shd w:val="clear" w:color="auto" w:fill="5EB5FC"/>
          </w:tcPr>
          <w:p>
            <w:pPr>
              <w:spacing w:after="0"/>
              <w:rPr>
                <w:sz w:val="5"/>
                <w:szCs w:val="5"/>
                <w:color w:val="auto"/>
              </w:rPr>
            </w:pPr>
          </w:p>
        </w:tc>
        <w:tc>
          <w:tcPr>
            <w:tcW w:w="1080" w:type="dxa"/>
            <w:vAlign w:val="bottom"/>
            <w:tcBorders>
              <w:right w:val="single" w:sz="8" w:color="5EB5FC"/>
            </w:tcBorders>
            <w:shd w:val="clear" w:color="auto" w:fill="5EB5FC"/>
          </w:tcPr>
          <w:p>
            <w:pPr>
              <w:spacing w:after="0"/>
              <w:rPr>
                <w:sz w:val="5"/>
                <w:szCs w:val="5"/>
                <w:color w:val="auto"/>
              </w:rPr>
            </w:pPr>
          </w:p>
        </w:tc>
        <w:tc>
          <w:tcPr>
            <w:tcW w:w="1080" w:type="dxa"/>
            <w:vAlign w:val="bottom"/>
            <w:tcBorders>
              <w:right w:val="single" w:sz="8" w:color="5EB5FC"/>
            </w:tcBorders>
            <w:shd w:val="clear" w:color="auto" w:fill="5EB5FC"/>
          </w:tcPr>
          <w:p>
            <w:pPr>
              <w:spacing w:after="0"/>
              <w:rPr>
                <w:sz w:val="5"/>
                <w:szCs w:val="5"/>
                <w:color w:val="auto"/>
              </w:rPr>
            </w:pPr>
          </w:p>
        </w:tc>
        <w:tc>
          <w:tcPr>
            <w:tcW w:w="1080" w:type="dxa"/>
            <w:vAlign w:val="bottom"/>
            <w:tcBorders>
              <w:right w:val="single" w:sz="8" w:color="5EB5FC"/>
            </w:tcBorders>
            <w:shd w:val="clear" w:color="auto" w:fill="5EB5FC"/>
          </w:tcPr>
          <w:p>
            <w:pPr>
              <w:spacing w:after="0"/>
              <w:rPr>
                <w:sz w:val="5"/>
                <w:szCs w:val="5"/>
                <w:color w:val="auto"/>
              </w:rPr>
            </w:pPr>
          </w:p>
        </w:tc>
        <w:tc>
          <w:tcPr>
            <w:tcW w:w="1100" w:type="dxa"/>
            <w:vAlign w:val="bottom"/>
            <w:tcBorders>
              <w:right w:val="single" w:sz="8" w:color="5EB5FC"/>
            </w:tcBorders>
            <w:shd w:val="clear" w:color="auto" w:fill="5EB5FC"/>
          </w:tcPr>
          <w:p>
            <w:pPr>
              <w:spacing w:after="0"/>
              <w:rPr>
                <w:sz w:val="5"/>
                <w:szCs w:val="5"/>
                <w:color w:val="auto"/>
              </w:rPr>
            </w:pPr>
          </w:p>
        </w:tc>
        <w:tc>
          <w:tcPr>
            <w:tcW w:w="1100" w:type="dxa"/>
            <w:vAlign w:val="bottom"/>
            <w:tcBorders>
              <w:right w:val="single" w:sz="8" w:color="5EB5FC"/>
            </w:tcBorders>
            <w:shd w:val="clear" w:color="auto" w:fill="5EB5FC"/>
          </w:tcPr>
          <w:p>
            <w:pPr>
              <w:spacing w:after="0"/>
              <w:rPr>
                <w:sz w:val="5"/>
                <w:szCs w:val="5"/>
                <w:color w:val="auto"/>
              </w:rPr>
            </w:pPr>
          </w:p>
        </w:tc>
        <w:tc>
          <w:tcPr>
            <w:tcW w:w="0" w:type="dxa"/>
            <w:vAlign w:val="bottom"/>
          </w:tcPr>
          <w:p>
            <w:pPr>
              <w:spacing w:after="0"/>
              <w:rPr>
                <w:sz w:val="1"/>
                <w:szCs w:val="1"/>
                <w:color w:val="auto"/>
              </w:rPr>
            </w:pPr>
          </w:p>
        </w:tc>
      </w:tr>
      <w:tr>
        <w:trPr>
          <w:trHeight w:val="270"/>
        </w:trPr>
        <w:tc>
          <w:tcPr>
            <w:tcW w:w="45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$711,539</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$2,789,235</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$807,534</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$12,600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$4,320,908</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President and Chief Executive Officer</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2018</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$665,577</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$2,318,481</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$917,500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$12,375</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$3,913,933</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$629,230</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$1,891,274</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$1,173,360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$12,150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$3,706,014</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J. Marshall, Jr.</w:t>
            </w:r>
            <w:r>
              <w:rPr>
                <w:rFonts w:ascii="Arial" w:cs="Arial" w:eastAsia="Arial" w:hAnsi="Arial"/>
                <w:sz w:val="15"/>
                <w:szCs w:val="15"/>
                <w:b w:val="1"/>
                <w:bCs w:val="1"/>
                <w:color w:val="auto"/>
              </w:rPr>
              <w:t>(4)</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$416,838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$630,992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$252,973</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$134,591</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$1,435,394</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Chief Financial Officer</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$101,250</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$599,988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$256,163</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$17,333</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$974,734</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r>
              <w:rPr>
                <w:rFonts w:ascii="Arial" w:cs="Arial" w:eastAsia="Arial" w:hAnsi="Arial"/>
                <w:sz w:val="15"/>
                <w:szCs w:val="15"/>
                <w:b w:val="1"/>
                <w:bCs w:val="1"/>
                <w:color w:val="auto"/>
              </w:rPr>
              <w:t>(5)</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$352,000</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$511,032</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$169,256</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$12,600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$1,044,888</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Chief Operations Officer</w:t>
            </w:r>
          </w:p>
        </w:tc>
        <w:tc>
          <w:tcPr>
            <w:tcW w:w="1080" w:type="dxa"/>
            <w:vAlign w:val="bottom"/>
            <w:tcBorders>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spacing w:after="0"/>
              <w:rPr>
                <w:sz w:val="21"/>
                <w:szCs w:val="21"/>
                <w:color w:val="auto"/>
              </w:rPr>
            </w:pPr>
          </w:p>
        </w:tc>
        <w:tc>
          <w:tcPr>
            <w:tcW w:w="1100" w:type="dxa"/>
            <w:vAlign w:val="bottom"/>
            <w:tcBorders>
              <w:right w:val="single" w:sz="8" w:color="A0DBF9"/>
            </w:tcBorders>
            <w:shd w:val="clear" w:color="auto" w:fill="E2F4FC"/>
          </w:tcPr>
          <w:p>
            <w:pPr>
              <w:spacing w:after="0"/>
              <w:rPr>
                <w:sz w:val="21"/>
                <w:szCs w:val="21"/>
                <w:color w:val="auto"/>
              </w:rPr>
            </w:pPr>
          </w:p>
        </w:tc>
        <w:tc>
          <w:tcPr>
            <w:tcW w:w="1100" w:type="dxa"/>
            <w:vAlign w:val="bottom"/>
            <w:tcBorders>
              <w:right w:val="single" w:sz="8" w:color="A0DBF9"/>
            </w:tcBorders>
            <w:shd w:val="clear" w:color="auto" w:fill="E2F4FC"/>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$418,897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$634,092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$231,111</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$12,600</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$1,296,700</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520" w:type="dxa"/>
            <w:vAlign w:val="bottom"/>
            <w:tcBorders>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Senior Vice President, Law and Public Policy and</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$403,632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$481,367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$300,883</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$12,375</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$1,198,257</w:t>
            </w:r>
          </w:p>
        </w:tc>
        <w:tc>
          <w:tcPr>
            <w:tcW w:w="0" w:type="dxa"/>
            <w:vAlign w:val="bottom"/>
          </w:tcPr>
          <w:p>
            <w:pPr>
              <w:spacing w:after="0"/>
              <w:rPr>
                <w:sz w:val="1"/>
                <w:szCs w:val="1"/>
                <w:color w:val="auto"/>
              </w:rPr>
            </w:pPr>
          </w:p>
        </w:tc>
      </w:tr>
      <w:tr>
        <w:trPr>
          <w:trHeight w:val="230"/>
        </w:trPr>
        <w:tc>
          <w:tcPr>
            <w:tcW w:w="4520" w:type="dxa"/>
            <w:vAlign w:val="bottom"/>
            <w:tcBorders>
              <w:left w:val="single" w:sz="8" w:color="A0DBF9"/>
              <w:right w:val="single" w:sz="8" w:color="A0DBF9"/>
            </w:tcBorders>
          </w:tcPr>
          <w:p>
            <w:pPr>
              <w:ind w:left="700"/>
              <w:spacing w:after="0"/>
              <w:rPr>
                <w:sz w:val="20"/>
                <w:szCs w:val="20"/>
                <w:color w:val="auto"/>
              </w:rPr>
            </w:pPr>
            <w:r>
              <w:rPr>
                <w:rFonts w:ascii="Arial" w:cs="Arial" w:eastAsia="Arial" w:hAnsi="Arial"/>
                <w:sz w:val="18"/>
                <w:szCs w:val="18"/>
                <w:color w:val="auto"/>
              </w:rPr>
              <w:t>General Counsel</w:t>
            </w:r>
          </w:p>
        </w:tc>
        <w:tc>
          <w:tcPr>
            <w:tcW w:w="1080" w:type="dxa"/>
            <w:vAlign w:val="bottom"/>
            <w:tcBorders>
              <w:right w:val="single" w:sz="8" w:color="A0DBF9"/>
            </w:tcBorders>
          </w:tcPr>
          <w:p>
            <w:pPr>
              <w:spacing w:after="0"/>
              <w:rPr>
                <w:sz w:val="20"/>
                <w:szCs w:val="20"/>
                <w:color w:val="auto"/>
              </w:rPr>
            </w:pPr>
          </w:p>
        </w:tc>
        <w:tc>
          <w:tcPr>
            <w:tcW w:w="1080" w:type="dxa"/>
            <w:vAlign w:val="bottom"/>
            <w:tcBorders>
              <w:right w:val="single" w:sz="8" w:color="A0DBF9"/>
            </w:tcBorders>
          </w:tcPr>
          <w:p>
            <w:pPr>
              <w:spacing w:after="0"/>
              <w:rPr>
                <w:sz w:val="20"/>
                <w:szCs w:val="20"/>
                <w:color w:val="auto"/>
              </w:rPr>
            </w:pPr>
          </w:p>
        </w:tc>
        <w:tc>
          <w:tcPr>
            <w:tcW w:w="1080" w:type="dxa"/>
            <w:vAlign w:val="bottom"/>
            <w:tcBorders>
              <w:right w:val="single" w:sz="8" w:color="A0DBF9"/>
            </w:tcBorders>
          </w:tcPr>
          <w:p>
            <w:pPr>
              <w:spacing w:after="0"/>
              <w:rPr>
                <w:sz w:val="20"/>
                <w:szCs w:val="20"/>
                <w:color w:val="auto"/>
              </w:rPr>
            </w:pPr>
          </w:p>
        </w:tc>
        <w:tc>
          <w:tcPr>
            <w:tcW w:w="1080" w:type="dxa"/>
            <w:vAlign w:val="bottom"/>
            <w:tcBorders>
              <w:right w:val="single" w:sz="8" w:color="A0DBF9"/>
            </w:tcBorders>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spacing w:after="0"/>
              <w:rPr>
                <w:sz w:val="21"/>
                <w:szCs w:val="21"/>
                <w:color w:val="auto"/>
              </w:rPr>
            </w:pP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$391,397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$472,078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$333,921</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$12,150</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$1,209,546</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 Ph.D.</w:t>
            </w:r>
            <w:r>
              <w:rPr>
                <w:rFonts w:ascii="Arial" w:cs="Arial" w:eastAsia="Arial" w:hAnsi="Arial"/>
                <w:sz w:val="15"/>
                <w:szCs w:val="15"/>
                <w:b w:val="1"/>
                <w:bCs w:val="1"/>
                <w:color w:val="auto"/>
              </w:rPr>
              <w:t>(6)</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$337,588</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$511,032</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$149,001</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$12,600</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$1,010,221</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4520" w:type="dxa"/>
            <w:vAlign w:val="bottom"/>
            <w:tcBorders>
              <w:left w:val="single" w:sz="8" w:color="A0DBF9"/>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Senior Vice President, Research and Pharma</w:t>
            </w: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520" w:type="dxa"/>
            <w:vAlign w:val="bottom"/>
            <w:tcBorders>
              <w:left w:val="single" w:sz="8" w:color="A0DBF9"/>
              <w:right w:val="single" w:sz="8" w:color="A0DBF9"/>
            </w:tcBorders>
            <w:shd w:val="clear" w:color="auto" w:fill="E2F4FC"/>
          </w:tcPr>
          <w:p>
            <w:pPr>
              <w:ind w:left="700"/>
              <w:spacing w:after="0"/>
              <w:rPr>
                <w:sz w:val="20"/>
                <w:szCs w:val="20"/>
                <w:color w:val="auto"/>
              </w:rPr>
            </w:pPr>
            <w:r>
              <w:rPr>
                <w:rFonts w:ascii="Arial" w:cs="Arial" w:eastAsia="Arial" w:hAnsi="Arial"/>
                <w:sz w:val="18"/>
                <w:szCs w:val="18"/>
                <w:color w:val="auto"/>
              </w:rPr>
              <w:t>Development</w:t>
            </w: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080" w:type="dxa"/>
            <w:vAlign w:val="bottom"/>
            <w:tcBorders>
              <w:right w:val="single" w:sz="8" w:color="A0DBF9"/>
            </w:tcBorders>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08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110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Cesare Orlandi M.D.</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2019</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$322,342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$424,732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9"/>
              </w:rPr>
              <w:t>—</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$317,497</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$1,064,571</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Former Chief Medical Officer</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$414,484</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$494,131</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$212,593</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$12,375</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$1,133,583</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4520" w:type="dxa"/>
            <w:vAlign w:val="bottom"/>
            <w:tcBorders>
              <w:left w:val="single" w:sz="8" w:color="A0DBF9"/>
              <w:right w:val="single" w:sz="8" w:color="A0DBF9"/>
            </w:tcBorders>
          </w:tcPr>
          <w:p>
            <w:pPr>
              <w:spacing w:after="0"/>
              <w:rPr>
                <w:sz w:val="21"/>
                <w:szCs w:val="21"/>
                <w:color w:val="auto"/>
              </w:rPr>
            </w:pP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2017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$402,802</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$356,635</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$281,038</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$12,150</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$1,052,625</w:t>
            </w:r>
          </w:p>
        </w:tc>
        <w:tc>
          <w:tcPr>
            <w:tcW w:w="0" w:type="dxa"/>
            <w:vAlign w:val="bottom"/>
          </w:tcPr>
          <w:p>
            <w:pPr>
              <w:spacing w:after="0"/>
              <w:rPr>
                <w:sz w:val="1"/>
                <w:szCs w:val="1"/>
                <w:color w:val="auto"/>
              </w:rPr>
            </w:pPr>
          </w:p>
        </w:tc>
      </w:tr>
      <w:tr>
        <w:trPr>
          <w:trHeight w:val="81"/>
        </w:trPr>
        <w:tc>
          <w:tcPr>
            <w:tcW w:w="4520" w:type="dxa"/>
            <w:vAlign w:val="bottom"/>
            <w:tcBorders>
              <w:left w:val="single" w:sz="8" w:color="A0DBF9"/>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08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110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40" w:hanging="424"/>
        <w:spacing w:after="0" w:line="229" w:lineRule="auto"/>
        <w:tabs>
          <w:tab w:leader="none" w:pos="540" w:val="left"/>
        </w:tabs>
        <w:numPr>
          <w:ilvl w:val="0"/>
          <w:numId w:val="48"/>
        </w:numPr>
        <w:rPr>
          <w:rFonts w:ascii="Arial" w:cs="Arial" w:eastAsia="Arial" w:hAnsi="Arial"/>
          <w:sz w:val="14"/>
          <w:szCs w:val="14"/>
          <w:color w:val="auto"/>
        </w:rPr>
      </w:pPr>
      <w:r>
        <w:rPr>
          <w:rFonts w:ascii="Arial" w:cs="Arial" w:eastAsia="Arial" w:hAnsi="Arial"/>
          <w:sz w:val="14"/>
          <w:szCs w:val="14"/>
          <w:color w:val="auto"/>
        </w:rPr>
        <w:t>The amounts shown in the stock awards column represent the aggregate grant date fair value of RSAs, PSAs, RSUs and/or PSUs granted in the respective fiscal year as computed in accordance with FASB ASC Topic 718 Compensation – Stock Compensation, excluding the effect of estimated forfeitures. The grant date fair value of RSAs, RSUs and 2017 PSAs was determined by multiplying the number of RSAs, RSUs or PSAs by the closing price of our common stock on the date of grant, while the grant date fair value of the 2018 PSAs and 2019 PSUs was determined through a valuation using a Monte Carlo simulation based on the probable outcome of the applicable performance conditions. The assumptions used in the valuation of stock based awards are discussed in Note 12 in our Audited Consolidated Financial Statements included in our Annual Report on Form 10-K for the fiscal year ending December 31, 2019.</w:t>
      </w:r>
    </w:p>
    <w:p>
      <w:pPr>
        <w:spacing w:after="0" w:line="185" w:lineRule="exact"/>
        <w:rPr>
          <w:sz w:val="20"/>
          <w:szCs w:val="20"/>
          <w:color w:val="auto"/>
        </w:rPr>
      </w:pPr>
    </w:p>
    <w:p>
      <w:pPr>
        <w:ind w:left="560" w:right="80" w:firstLine="423"/>
        <w:spacing w:after="0" w:line="253" w:lineRule="auto"/>
        <w:rPr>
          <w:sz w:val="20"/>
          <w:szCs w:val="20"/>
          <w:color w:val="auto"/>
        </w:rPr>
      </w:pPr>
      <w:r>
        <w:rPr>
          <w:rFonts w:ascii="Arial" w:cs="Arial" w:eastAsia="Arial" w:hAnsi="Arial"/>
          <w:sz w:val="14"/>
          <w:szCs w:val="14"/>
          <w:color w:val="auto"/>
        </w:rPr>
        <w:t>The table below shows the grant date fair value of the PSUs and PSAs included in the stock awards column for each year, and the maximum grant date value assuming that the highest level of performance conditions was achieved:</w:t>
      </w:r>
    </w:p>
    <w:p>
      <w:pPr>
        <w:spacing w:after="0" w:line="219" w:lineRule="exact"/>
        <w:rPr>
          <w:sz w:val="20"/>
          <w:szCs w:val="20"/>
          <w:color w:val="auto"/>
        </w:rPr>
      </w:pPr>
    </w:p>
    <w:tbl>
      <w:tblPr>
        <w:tblLayout w:type="fixed"/>
        <w:tblInd w:w="570" w:type="dxa"/>
        <w:tblCellMar>
          <w:top w:w="0" w:type="dxa"/>
          <w:left w:w="0" w:type="dxa"/>
          <w:bottom w:w="0" w:type="dxa"/>
          <w:right w:w="0" w:type="dxa"/>
        </w:tblCellMar>
      </w:tblPr>
      <w:tr>
        <w:trPr>
          <w:trHeight w:val="234"/>
        </w:trPr>
        <w:tc>
          <w:tcPr>
            <w:tcW w:w="2560" w:type="dxa"/>
            <w:vAlign w:val="bottom"/>
            <w:tcBorders>
              <w:left w:val="single" w:sz="8" w:color="5EB5FC"/>
              <w:right w:val="single" w:sz="8" w:color="5EB5FC"/>
            </w:tcBorders>
            <w:vMerge w:val="restart"/>
            <w:shd w:val="clear" w:color="auto" w:fill="5EB5FC"/>
          </w:tcPr>
          <w:p>
            <w:pPr>
              <w:ind w:left="1160"/>
              <w:spacing w:after="0"/>
              <w:rPr>
                <w:sz w:val="20"/>
                <w:szCs w:val="20"/>
                <w:color w:val="auto"/>
              </w:rPr>
            </w:pPr>
            <w:r>
              <w:rPr>
                <w:rFonts w:ascii="Arial" w:cs="Arial" w:eastAsia="Arial" w:hAnsi="Arial"/>
                <w:sz w:val="14"/>
                <w:szCs w:val="14"/>
                <w:b w:val="1"/>
                <w:bCs w:val="1"/>
                <w:color w:val="FFFFFF"/>
              </w:rPr>
              <w:t>Name</w:t>
            </w:r>
          </w:p>
        </w:tc>
        <w:tc>
          <w:tcPr>
            <w:tcW w:w="2020" w:type="dxa"/>
            <w:vAlign w:val="bottom"/>
            <w:tcBorders>
              <w:right w:val="single" w:sz="8" w:color="5EB5FC"/>
            </w:tcBorders>
            <w:vMerge w:val="restart"/>
            <w:shd w:val="clear" w:color="auto" w:fill="5EB5FC"/>
          </w:tcPr>
          <w:p>
            <w:pPr>
              <w:ind w:left="680"/>
              <w:spacing w:after="0"/>
              <w:rPr>
                <w:sz w:val="20"/>
                <w:szCs w:val="20"/>
                <w:color w:val="auto"/>
              </w:rPr>
            </w:pPr>
            <w:r>
              <w:rPr>
                <w:rFonts w:ascii="Arial" w:cs="Arial" w:eastAsia="Arial" w:hAnsi="Arial"/>
                <w:sz w:val="14"/>
                <w:szCs w:val="14"/>
                <w:b w:val="1"/>
                <w:bCs w:val="1"/>
                <w:color w:val="FFFFFF"/>
              </w:rPr>
              <w:t>Grant Date</w:t>
            </w:r>
          </w:p>
        </w:tc>
        <w:tc>
          <w:tcPr>
            <w:tcW w:w="20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No. of Shares/Units</w:t>
            </w:r>
          </w:p>
        </w:tc>
        <w:tc>
          <w:tcPr>
            <w:tcW w:w="2020" w:type="dxa"/>
            <w:vAlign w:val="bottom"/>
            <w:tcBorders>
              <w:right w:val="single" w:sz="8" w:color="5EB5FC"/>
            </w:tcBorders>
            <w:vMerge w:val="restart"/>
            <w:shd w:val="clear" w:color="auto" w:fill="5EB5FC"/>
          </w:tcPr>
          <w:p>
            <w:pPr>
              <w:ind w:left="360"/>
              <w:spacing w:after="0"/>
              <w:rPr>
                <w:sz w:val="20"/>
                <w:szCs w:val="20"/>
                <w:color w:val="auto"/>
              </w:rPr>
            </w:pPr>
            <w:r>
              <w:rPr>
                <w:rFonts w:ascii="Arial" w:cs="Arial" w:eastAsia="Arial" w:hAnsi="Arial"/>
                <w:sz w:val="14"/>
                <w:szCs w:val="14"/>
                <w:b w:val="1"/>
                <w:bCs w:val="1"/>
                <w:color w:val="FFFFFF"/>
              </w:rPr>
              <w:t>Grant Date Fair Value</w:t>
            </w:r>
          </w:p>
        </w:tc>
        <w:tc>
          <w:tcPr>
            <w:tcW w:w="2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Maximum Grant Date</w:t>
            </w:r>
          </w:p>
        </w:tc>
        <w:tc>
          <w:tcPr>
            <w:tcW w:w="0" w:type="dxa"/>
            <w:vAlign w:val="bottom"/>
          </w:tcPr>
          <w:p>
            <w:pPr>
              <w:spacing w:after="0"/>
              <w:rPr>
                <w:sz w:val="1"/>
                <w:szCs w:val="1"/>
                <w:color w:val="auto"/>
              </w:rPr>
            </w:pPr>
          </w:p>
        </w:tc>
      </w:tr>
      <w:tr>
        <w:trPr>
          <w:trHeight w:val="186"/>
        </w:trPr>
        <w:tc>
          <w:tcPr>
            <w:tcW w:w="256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2020" w:type="dxa"/>
            <w:vAlign w:val="bottom"/>
            <w:tcBorders>
              <w:right w:val="single" w:sz="8" w:color="5EB5FC"/>
            </w:tcBorders>
            <w:vMerge w:val="continue"/>
            <w:shd w:val="clear" w:color="auto" w:fill="5EB5FC"/>
          </w:tcPr>
          <w:p>
            <w:pPr>
              <w:spacing w:after="0"/>
              <w:rPr>
                <w:sz w:val="16"/>
                <w:szCs w:val="16"/>
                <w:color w:val="auto"/>
              </w:rPr>
            </w:pPr>
          </w:p>
        </w:tc>
        <w:tc>
          <w:tcPr>
            <w:tcW w:w="2000" w:type="dxa"/>
            <w:vAlign w:val="bottom"/>
            <w:tcBorders>
              <w:right w:val="single" w:sz="8" w:color="5EB5FC"/>
            </w:tcBorders>
            <w:vMerge w:val="continue"/>
            <w:shd w:val="clear" w:color="auto" w:fill="5EB5FC"/>
          </w:tcPr>
          <w:p>
            <w:pPr>
              <w:spacing w:after="0"/>
              <w:rPr>
                <w:sz w:val="16"/>
                <w:szCs w:val="16"/>
                <w:color w:val="auto"/>
              </w:rPr>
            </w:pPr>
          </w:p>
        </w:tc>
        <w:tc>
          <w:tcPr>
            <w:tcW w:w="2020" w:type="dxa"/>
            <w:vAlign w:val="bottom"/>
            <w:tcBorders>
              <w:right w:val="single" w:sz="8" w:color="5EB5FC"/>
            </w:tcBorders>
            <w:vMerge w:val="continue"/>
            <w:shd w:val="clear" w:color="auto" w:fill="5EB5FC"/>
          </w:tcPr>
          <w:p>
            <w:pPr>
              <w:spacing w:after="0"/>
              <w:rPr>
                <w:sz w:val="16"/>
                <w:szCs w:val="16"/>
                <w:color w:val="auto"/>
              </w:rPr>
            </w:pPr>
          </w:p>
        </w:tc>
        <w:tc>
          <w:tcPr>
            <w:tcW w:w="2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Value</w:t>
            </w:r>
          </w:p>
        </w:tc>
        <w:tc>
          <w:tcPr>
            <w:tcW w:w="0" w:type="dxa"/>
            <w:vAlign w:val="bottom"/>
          </w:tcPr>
          <w:p>
            <w:pPr>
              <w:spacing w:after="0"/>
              <w:rPr>
                <w:sz w:val="1"/>
                <w:szCs w:val="1"/>
                <w:color w:val="auto"/>
              </w:rPr>
            </w:pPr>
          </w:p>
        </w:tc>
      </w:tr>
      <w:tr>
        <w:trPr>
          <w:trHeight w:val="100"/>
        </w:trPr>
        <w:tc>
          <w:tcPr>
            <w:tcW w:w="2560" w:type="dxa"/>
            <w:vAlign w:val="bottom"/>
            <w:tcBorders>
              <w:left w:val="single" w:sz="8" w:color="5EB5FC"/>
              <w:bottom w:val="single" w:sz="8" w:color="E2F4FC"/>
              <w:right w:val="single" w:sz="8" w:color="5EB5FC"/>
            </w:tcBorders>
            <w:shd w:val="clear" w:color="auto" w:fill="5EB5FC"/>
          </w:tcPr>
          <w:p>
            <w:pPr>
              <w:spacing w:after="0"/>
              <w:rPr>
                <w:sz w:val="8"/>
                <w:szCs w:val="8"/>
                <w:color w:val="auto"/>
              </w:rPr>
            </w:pPr>
          </w:p>
        </w:tc>
        <w:tc>
          <w:tcPr>
            <w:tcW w:w="2020" w:type="dxa"/>
            <w:vAlign w:val="bottom"/>
            <w:tcBorders>
              <w:bottom w:val="single" w:sz="8" w:color="E2F4FC"/>
              <w:right w:val="single" w:sz="8" w:color="5EB5FC"/>
            </w:tcBorders>
            <w:shd w:val="clear" w:color="auto" w:fill="5EB5FC"/>
          </w:tcPr>
          <w:p>
            <w:pPr>
              <w:spacing w:after="0"/>
              <w:rPr>
                <w:sz w:val="8"/>
                <w:szCs w:val="8"/>
                <w:color w:val="auto"/>
              </w:rPr>
            </w:pPr>
          </w:p>
        </w:tc>
        <w:tc>
          <w:tcPr>
            <w:tcW w:w="2000" w:type="dxa"/>
            <w:vAlign w:val="bottom"/>
            <w:tcBorders>
              <w:bottom w:val="single" w:sz="8" w:color="E2F4FC"/>
              <w:right w:val="single" w:sz="8" w:color="5EB5FC"/>
            </w:tcBorders>
            <w:shd w:val="clear" w:color="auto" w:fill="5EB5FC"/>
          </w:tcPr>
          <w:p>
            <w:pPr>
              <w:spacing w:after="0"/>
              <w:rPr>
                <w:sz w:val="8"/>
                <w:szCs w:val="8"/>
                <w:color w:val="auto"/>
              </w:rPr>
            </w:pPr>
          </w:p>
        </w:tc>
        <w:tc>
          <w:tcPr>
            <w:tcW w:w="2020" w:type="dxa"/>
            <w:vAlign w:val="bottom"/>
            <w:tcBorders>
              <w:bottom w:val="single" w:sz="8" w:color="E2F4FC"/>
              <w:right w:val="single" w:sz="8" w:color="5EB5FC"/>
            </w:tcBorders>
            <w:shd w:val="clear" w:color="auto" w:fill="5EB5FC"/>
          </w:tcPr>
          <w:p>
            <w:pPr>
              <w:spacing w:after="0"/>
              <w:rPr>
                <w:sz w:val="8"/>
                <w:szCs w:val="8"/>
                <w:color w:val="auto"/>
              </w:rPr>
            </w:pPr>
          </w:p>
        </w:tc>
        <w:tc>
          <w:tcPr>
            <w:tcW w:w="2000" w:type="dxa"/>
            <w:vAlign w:val="bottom"/>
            <w:tcBorders>
              <w:bottom w:val="single" w:sz="8" w:color="E2F4FC"/>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164"/>
        </w:trPr>
        <w:tc>
          <w:tcPr>
            <w:tcW w:w="2560" w:type="dxa"/>
            <w:vAlign w:val="bottom"/>
            <w:tcBorders>
              <w:left w:val="single" w:sz="8" w:color="A0DBF9"/>
              <w:right w:val="single" w:sz="8" w:color="A0DBF9"/>
            </w:tcBorders>
            <w:shd w:val="clear" w:color="auto" w:fill="E2F4FC"/>
          </w:tcPr>
          <w:p>
            <w:pPr>
              <w:ind w:left="280"/>
              <w:spacing w:after="0"/>
              <w:rPr>
                <w:sz w:val="20"/>
                <w:szCs w:val="20"/>
                <w:color w:val="auto"/>
              </w:rPr>
            </w:pPr>
            <w:r>
              <w:rPr>
                <w:rFonts w:ascii="Arial" w:cs="Arial" w:eastAsia="Arial" w:hAnsi="Arial"/>
                <w:sz w:val="14"/>
                <w:szCs w:val="14"/>
                <w:b w:val="1"/>
                <w:bCs w:val="1"/>
                <w:color w:val="auto"/>
              </w:rPr>
              <w:t>Mary Anne Heino</w:t>
            </w:r>
          </w:p>
        </w:tc>
        <w:tc>
          <w:tcPr>
            <w:tcW w:w="2020" w:type="dxa"/>
            <w:vAlign w:val="bottom"/>
            <w:tcBorders>
              <w:right w:val="single" w:sz="8" w:color="A0DBF9"/>
            </w:tcBorders>
            <w:shd w:val="clear" w:color="auto" w:fill="E2F4FC"/>
          </w:tcPr>
          <w:p>
            <w:pPr>
              <w:spacing w:after="0"/>
              <w:rPr>
                <w:sz w:val="14"/>
                <w:szCs w:val="14"/>
                <w:color w:val="auto"/>
              </w:rPr>
            </w:pPr>
          </w:p>
        </w:tc>
        <w:tc>
          <w:tcPr>
            <w:tcW w:w="2000" w:type="dxa"/>
            <w:vAlign w:val="bottom"/>
            <w:tcBorders>
              <w:right w:val="single" w:sz="8" w:color="A0DBF9"/>
            </w:tcBorders>
            <w:shd w:val="clear" w:color="auto" w:fill="E2F4FC"/>
          </w:tcPr>
          <w:p>
            <w:pPr>
              <w:spacing w:after="0"/>
              <w:rPr>
                <w:sz w:val="14"/>
                <w:szCs w:val="14"/>
                <w:color w:val="auto"/>
              </w:rPr>
            </w:pPr>
          </w:p>
        </w:tc>
        <w:tc>
          <w:tcPr>
            <w:tcW w:w="2020" w:type="dxa"/>
            <w:vAlign w:val="bottom"/>
            <w:tcBorders>
              <w:right w:val="single" w:sz="8" w:color="A0DBF9"/>
            </w:tcBorders>
            <w:shd w:val="clear" w:color="auto" w:fill="E2F4FC"/>
          </w:tcPr>
          <w:p>
            <w:pPr>
              <w:spacing w:after="0"/>
              <w:rPr>
                <w:sz w:val="14"/>
                <w:szCs w:val="14"/>
                <w:color w:val="auto"/>
              </w:rPr>
            </w:pPr>
          </w:p>
        </w:tc>
        <w:tc>
          <w:tcPr>
            <w:tcW w:w="2000" w:type="dxa"/>
            <w:vAlign w:val="bottom"/>
            <w:tcBorders>
              <w:right w:val="single" w:sz="8" w:color="A0DBF9"/>
            </w:tcBorders>
            <w:shd w:val="clear" w:color="auto" w:fill="E2F4FC"/>
          </w:tcPr>
          <w:p>
            <w:pPr>
              <w:spacing w:after="0"/>
              <w:rPr>
                <w:sz w:val="14"/>
                <w:szCs w:val="14"/>
                <w:color w:val="auto"/>
              </w:rPr>
            </w:pPr>
          </w:p>
        </w:tc>
        <w:tc>
          <w:tcPr>
            <w:tcW w:w="0" w:type="dxa"/>
            <w:vAlign w:val="bottom"/>
          </w:tcPr>
          <w:p>
            <w:pPr>
              <w:spacing w:after="0"/>
              <w:rPr>
                <w:sz w:val="1"/>
                <w:szCs w:val="1"/>
                <w:color w:val="auto"/>
              </w:rPr>
            </w:pPr>
          </w:p>
        </w:tc>
      </w:tr>
      <w:tr>
        <w:trPr>
          <w:trHeight w:val="66"/>
        </w:trPr>
        <w:tc>
          <w:tcPr>
            <w:tcW w:w="25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A0DBF9"/>
              <w:right w:val="single" w:sz="8" w:color="A0DBF9"/>
            </w:tcBorders>
            <w:shd w:val="clear" w:color="auto" w:fill="E2F4FC"/>
          </w:tcPr>
          <w:p>
            <w:pPr>
              <w:ind w:left="740"/>
              <w:spacing w:after="0"/>
              <w:rPr>
                <w:sz w:val="20"/>
                <w:szCs w:val="20"/>
                <w:color w:val="auto"/>
              </w:rPr>
            </w:pPr>
            <w:r>
              <w:rPr>
                <w:rFonts w:ascii="Arial" w:cs="Arial" w:eastAsia="Arial" w:hAnsi="Arial"/>
                <w:sz w:val="14"/>
                <w:szCs w:val="14"/>
                <w:color w:val="auto"/>
              </w:rPr>
              <w:t>PSAs</w:t>
            </w:r>
          </w:p>
        </w:tc>
        <w:tc>
          <w:tcPr>
            <w:tcW w:w="2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6"/>
              </w:rPr>
              <w:t>2/23/2017</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88"/>
              </w:rPr>
              <w:t>65,975</w:t>
            </w:r>
          </w:p>
        </w:tc>
        <w:tc>
          <w:tcPr>
            <w:tcW w:w="202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2"/>
              </w:rPr>
              <w:t>$794,999</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$953,999</w:t>
            </w:r>
          </w:p>
        </w:tc>
        <w:tc>
          <w:tcPr>
            <w:tcW w:w="0" w:type="dxa"/>
            <w:vAlign w:val="bottom"/>
          </w:tcPr>
          <w:p>
            <w:pPr>
              <w:spacing w:after="0"/>
              <w:rPr>
                <w:sz w:val="1"/>
                <w:szCs w:val="1"/>
                <w:color w:val="auto"/>
              </w:rPr>
            </w:pPr>
          </w:p>
        </w:tc>
      </w:tr>
      <w:tr>
        <w:trPr>
          <w:trHeight w:val="66"/>
        </w:trPr>
        <w:tc>
          <w:tcPr>
            <w:tcW w:w="25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A0DBF9"/>
              <w:right w:val="single" w:sz="8" w:color="A0DBF9"/>
            </w:tcBorders>
            <w:shd w:val="clear" w:color="auto" w:fill="E2F4FC"/>
          </w:tcPr>
          <w:p>
            <w:pPr>
              <w:ind w:left="740"/>
              <w:spacing w:after="0"/>
              <w:rPr>
                <w:sz w:val="20"/>
                <w:szCs w:val="20"/>
                <w:color w:val="auto"/>
              </w:rPr>
            </w:pPr>
            <w:r>
              <w:rPr>
                <w:rFonts w:ascii="Arial" w:cs="Arial" w:eastAsia="Arial" w:hAnsi="Arial"/>
                <w:sz w:val="14"/>
                <w:szCs w:val="14"/>
                <w:color w:val="auto"/>
              </w:rPr>
              <w:t>PSAs</w:t>
            </w:r>
          </w:p>
        </w:tc>
        <w:tc>
          <w:tcPr>
            <w:tcW w:w="2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5"/>
              </w:rPr>
              <w:t>3/5/2018</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88"/>
              </w:rPr>
              <w:t>60,127</w:t>
            </w:r>
          </w:p>
        </w:tc>
        <w:tc>
          <w:tcPr>
            <w:tcW w:w="2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1"/>
              </w:rPr>
              <w:t>$1,368,491</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4"/>
              </w:rPr>
              <w:t>$2,736,981</w:t>
            </w:r>
          </w:p>
        </w:tc>
        <w:tc>
          <w:tcPr>
            <w:tcW w:w="0" w:type="dxa"/>
            <w:vAlign w:val="bottom"/>
          </w:tcPr>
          <w:p>
            <w:pPr>
              <w:spacing w:after="0"/>
              <w:rPr>
                <w:sz w:val="1"/>
                <w:szCs w:val="1"/>
                <w:color w:val="auto"/>
              </w:rPr>
            </w:pPr>
          </w:p>
        </w:tc>
      </w:tr>
      <w:tr>
        <w:trPr>
          <w:trHeight w:val="66"/>
        </w:trPr>
        <w:tc>
          <w:tcPr>
            <w:tcW w:w="25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560" w:type="dxa"/>
            <w:vAlign w:val="bottom"/>
            <w:tcBorders>
              <w:left w:val="single" w:sz="8" w:color="A0DBF9"/>
              <w:right w:val="single" w:sz="8" w:color="A0DBF9"/>
            </w:tcBorders>
            <w:shd w:val="clear" w:color="auto" w:fill="E2F4FC"/>
          </w:tcPr>
          <w:p>
            <w:pPr>
              <w:ind w:left="740"/>
              <w:spacing w:after="0"/>
              <w:rPr>
                <w:sz w:val="20"/>
                <w:szCs w:val="20"/>
                <w:color w:val="auto"/>
              </w:rPr>
            </w:pPr>
            <w:r>
              <w:rPr>
                <w:rFonts w:ascii="Arial" w:cs="Arial" w:eastAsia="Arial" w:hAnsi="Arial"/>
                <w:sz w:val="14"/>
                <w:szCs w:val="14"/>
                <w:color w:val="auto"/>
              </w:rPr>
              <w:t>PSUs</w:t>
            </w:r>
          </w:p>
        </w:tc>
        <w:tc>
          <w:tcPr>
            <w:tcW w:w="2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6"/>
              </w:rPr>
              <w:t>2/26/2019</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88"/>
              </w:rPr>
              <w:t>44,085</w:t>
            </w:r>
          </w:p>
        </w:tc>
        <w:tc>
          <w:tcPr>
            <w:tcW w:w="2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1"/>
              </w:rPr>
              <w:t>$1,759,873</w:t>
            </w:r>
          </w:p>
        </w:tc>
        <w:tc>
          <w:tcPr>
            <w:tcW w:w="20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4"/>
              </w:rPr>
              <w:t>$3,519,746</w:t>
            </w:r>
          </w:p>
        </w:tc>
        <w:tc>
          <w:tcPr>
            <w:tcW w:w="0" w:type="dxa"/>
            <w:vAlign w:val="bottom"/>
          </w:tcPr>
          <w:p>
            <w:pPr>
              <w:spacing w:after="0"/>
              <w:rPr>
                <w:sz w:val="1"/>
                <w:szCs w:val="1"/>
                <w:color w:val="auto"/>
              </w:rPr>
            </w:pPr>
          </w:p>
        </w:tc>
      </w:tr>
      <w:tr>
        <w:trPr>
          <w:trHeight w:val="66"/>
        </w:trPr>
        <w:tc>
          <w:tcPr>
            <w:tcW w:w="25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2020" w:type="dxa"/>
            <w:vAlign w:val="bottom"/>
            <w:tcBorders>
              <w:bottom w:val="single" w:sz="8" w:color="A0DBF9"/>
              <w:right w:val="single" w:sz="8" w:color="A0DBF9"/>
            </w:tcBorders>
            <w:shd w:val="clear" w:color="auto" w:fill="E2F4FC"/>
          </w:tcPr>
          <w:p>
            <w:pPr>
              <w:spacing w:after="0"/>
              <w:rPr>
                <w:sz w:val="5"/>
                <w:szCs w:val="5"/>
                <w:color w:val="auto"/>
              </w:rPr>
            </w:pPr>
          </w:p>
        </w:tc>
        <w:tc>
          <w:tcPr>
            <w:tcW w:w="200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140"/>
          </w:cols>
          <w:pgMar w:left="320" w:top="459" w:right="4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0" w:type="dxa"/>
        <w:tblCellMar>
          <w:top w:w="0" w:type="dxa"/>
          <w:left w:w="0" w:type="dxa"/>
          <w:bottom w:w="0" w:type="dxa"/>
          <w:right w:w="0" w:type="dxa"/>
        </w:tblCellMar>
      </w:tblPr>
      <w:tr>
        <w:trPr>
          <w:trHeight w:val="234"/>
        </w:trPr>
        <w:tc>
          <w:tcPr>
            <w:tcW w:w="2660" w:type="dxa"/>
            <w:vAlign w:val="bottom"/>
            <w:tcBorders>
              <w:left w:val="single" w:sz="8" w:color="5EB5FC"/>
              <w:right w:val="single" w:sz="8" w:color="5EB5FC"/>
            </w:tcBorders>
            <w:vMerge w:val="restart"/>
            <w:shd w:val="clear" w:color="auto" w:fill="5EB5FC"/>
          </w:tcPr>
          <w:p>
            <w:pPr>
              <w:ind w:left="1220"/>
              <w:spacing w:after="0"/>
              <w:rPr>
                <w:sz w:val="20"/>
                <w:szCs w:val="20"/>
                <w:color w:val="auto"/>
              </w:rPr>
            </w:pPr>
            <w:r>
              <w:rPr>
                <w:rFonts w:ascii="Arial" w:cs="Arial" w:eastAsia="Arial" w:hAnsi="Arial"/>
                <w:sz w:val="14"/>
                <w:szCs w:val="14"/>
                <w:b w:val="1"/>
                <w:bCs w:val="1"/>
                <w:color w:val="FFFFFF"/>
              </w:rPr>
              <w:t>Name</w:t>
            </w:r>
          </w:p>
        </w:tc>
        <w:tc>
          <w:tcPr>
            <w:tcW w:w="2100" w:type="dxa"/>
            <w:vAlign w:val="bottom"/>
            <w:tcBorders>
              <w:right w:val="single" w:sz="8" w:color="5EB5FC"/>
            </w:tcBorders>
            <w:vMerge w:val="restart"/>
            <w:shd w:val="clear" w:color="auto" w:fill="5EB5FC"/>
          </w:tcPr>
          <w:p>
            <w:pPr>
              <w:ind w:left="740"/>
              <w:spacing w:after="0"/>
              <w:rPr>
                <w:sz w:val="20"/>
                <w:szCs w:val="20"/>
                <w:color w:val="auto"/>
              </w:rPr>
            </w:pPr>
            <w:r>
              <w:rPr>
                <w:rFonts w:ascii="Arial" w:cs="Arial" w:eastAsia="Arial" w:hAnsi="Arial"/>
                <w:sz w:val="14"/>
                <w:szCs w:val="14"/>
                <w:b w:val="1"/>
                <w:bCs w:val="1"/>
                <w:color w:val="FFFFFF"/>
              </w:rPr>
              <w:t>Grant Date</w:t>
            </w:r>
          </w:p>
        </w:tc>
        <w:tc>
          <w:tcPr>
            <w:tcW w:w="2120" w:type="dxa"/>
            <w:vAlign w:val="bottom"/>
            <w:tcBorders>
              <w:right w:val="single" w:sz="8" w:color="5EB5FC"/>
            </w:tcBorders>
            <w:vMerge w:val="restart"/>
            <w:shd w:val="clear" w:color="auto" w:fill="5EB5FC"/>
          </w:tcPr>
          <w:p>
            <w:pPr>
              <w:ind w:left="500"/>
              <w:spacing w:after="0"/>
              <w:rPr>
                <w:sz w:val="20"/>
                <w:szCs w:val="20"/>
                <w:color w:val="auto"/>
              </w:rPr>
            </w:pPr>
            <w:r>
              <w:rPr>
                <w:rFonts w:ascii="Arial" w:cs="Arial" w:eastAsia="Arial" w:hAnsi="Arial"/>
                <w:sz w:val="14"/>
                <w:szCs w:val="14"/>
                <w:b w:val="1"/>
                <w:bCs w:val="1"/>
                <w:color w:val="FFFFFF"/>
              </w:rPr>
              <w:t>No. of Shares/Units</w:t>
            </w:r>
          </w:p>
        </w:tc>
        <w:tc>
          <w:tcPr>
            <w:tcW w:w="2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6"/>
              </w:rPr>
              <w:t>Grant Date Fair Value</w:t>
            </w: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8"/>
              </w:rPr>
              <w:t>Maximum Grant Date</w:t>
            </w:r>
          </w:p>
        </w:tc>
        <w:tc>
          <w:tcPr>
            <w:tcW w:w="0" w:type="dxa"/>
            <w:vAlign w:val="bottom"/>
          </w:tcPr>
          <w:p>
            <w:pPr>
              <w:spacing w:after="0"/>
              <w:rPr>
                <w:sz w:val="1"/>
                <w:szCs w:val="1"/>
                <w:color w:val="auto"/>
              </w:rPr>
            </w:pPr>
          </w:p>
        </w:tc>
      </w:tr>
      <w:tr>
        <w:trPr>
          <w:trHeight w:val="186"/>
        </w:trPr>
        <w:tc>
          <w:tcPr>
            <w:tcW w:w="266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2100" w:type="dxa"/>
            <w:vAlign w:val="bottom"/>
            <w:tcBorders>
              <w:right w:val="single" w:sz="8" w:color="5EB5FC"/>
            </w:tcBorders>
            <w:vMerge w:val="continue"/>
            <w:shd w:val="clear" w:color="auto" w:fill="5EB5FC"/>
          </w:tcPr>
          <w:p>
            <w:pPr>
              <w:spacing w:after="0"/>
              <w:rPr>
                <w:sz w:val="16"/>
                <w:szCs w:val="16"/>
                <w:color w:val="auto"/>
              </w:rPr>
            </w:pPr>
          </w:p>
        </w:tc>
        <w:tc>
          <w:tcPr>
            <w:tcW w:w="2120" w:type="dxa"/>
            <w:vAlign w:val="bottom"/>
            <w:tcBorders>
              <w:right w:val="single" w:sz="8" w:color="5EB5FC"/>
            </w:tcBorders>
            <w:vMerge w:val="continue"/>
            <w:shd w:val="clear" w:color="auto" w:fill="5EB5FC"/>
          </w:tcPr>
          <w:p>
            <w:pPr>
              <w:spacing w:after="0"/>
              <w:rPr>
                <w:sz w:val="16"/>
                <w:szCs w:val="16"/>
                <w:color w:val="auto"/>
              </w:rPr>
            </w:pPr>
          </w:p>
        </w:tc>
        <w:tc>
          <w:tcPr>
            <w:tcW w:w="2080" w:type="dxa"/>
            <w:vAlign w:val="bottom"/>
            <w:tcBorders>
              <w:right w:val="single" w:sz="8" w:color="5EB5FC"/>
            </w:tcBorders>
            <w:vMerge w:val="continue"/>
            <w:shd w:val="clear" w:color="auto" w:fill="5EB5FC"/>
          </w:tcPr>
          <w:p>
            <w:pPr>
              <w:spacing w:after="0"/>
              <w:rPr>
                <w:sz w:val="16"/>
                <w:szCs w:val="16"/>
                <w:color w:val="auto"/>
              </w:rPr>
            </w:pP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Value</w:t>
            </w:r>
          </w:p>
        </w:tc>
        <w:tc>
          <w:tcPr>
            <w:tcW w:w="0" w:type="dxa"/>
            <w:vAlign w:val="bottom"/>
          </w:tcPr>
          <w:p>
            <w:pPr>
              <w:spacing w:after="0"/>
              <w:rPr>
                <w:sz w:val="1"/>
                <w:szCs w:val="1"/>
                <w:color w:val="auto"/>
              </w:rPr>
            </w:pPr>
          </w:p>
        </w:tc>
      </w:tr>
      <w:tr>
        <w:trPr>
          <w:trHeight w:val="93"/>
        </w:trPr>
        <w:tc>
          <w:tcPr>
            <w:tcW w:w="2660" w:type="dxa"/>
            <w:vAlign w:val="bottom"/>
            <w:tcBorders>
              <w:left w:val="single" w:sz="8" w:color="5EB5FC"/>
              <w:right w:val="single" w:sz="8" w:color="5EB5FC"/>
            </w:tcBorders>
            <w:shd w:val="clear" w:color="auto" w:fill="5EB5FC"/>
          </w:tcPr>
          <w:p>
            <w:pPr>
              <w:spacing w:after="0"/>
              <w:rPr>
                <w:sz w:val="8"/>
                <w:szCs w:val="8"/>
                <w:color w:val="auto"/>
              </w:rPr>
            </w:pPr>
          </w:p>
        </w:tc>
        <w:tc>
          <w:tcPr>
            <w:tcW w:w="2100" w:type="dxa"/>
            <w:vAlign w:val="bottom"/>
            <w:tcBorders>
              <w:right w:val="single" w:sz="8" w:color="5EB5FC"/>
            </w:tcBorders>
            <w:shd w:val="clear" w:color="auto" w:fill="5EB5FC"/>
          </w:tcPr>
          <w:p>
            <w:pPr>
              <w:spacing w:after="0"/>
              <w:rPr>
                <w:sz w:val="8"/>
                <w:szCs w:val="8"/>
                <w:color w:val="auto"/>
              </w:rPr>
            </w:pPr>
          </w:p>
        </w:tc>
        <w:tc>
          <w:tcPr>
            <w:tcW w:w="2120" w:type="dxa"/>
            <w:vAlign w:val="bottom"/>
            <w:tcBorders>
              <w:right w:val="single" w:sz="8" w:color="5EB5FC"/>
            </w:tcBorders>
            <w:shd w:val="clear" w:color="auto" w:fill="5EB5FC"/>
          </w:tcPr>
          <w:p>
            <w:pPr>
              <w:spacing w:after="0"/>
              <w:rPr>
                <w:sz w:val="8"/>
                <w:szCs w:val="8"/>
                <w:color w:val="auto"/>
              </w:rPr>
            </w:pPr>
          </w:p>
        </w:tc>
        <w:tc>
          <w:tcPr>
            <w:tcW w:w="2080" w:type="dxa"/>
            <w:vAlign w:val="bottom"/>
            <w:tcBorders>
              <w:right w:val="single" w:sz="8" w:color="5EB5FC"/>
            </w:tcBorders>
            <w:shd w:val="clear" w:color="auto" w:fill="5EB5FC"/>
          </w:tcPr>
          <w:p>
            <w:pPr>
              <w:spacing w:after="0"/>
              <w:rPr>
                <w:sz w:val="8"/>
                <w:szCs w:val="8"/>
                <w:color w:val="auto"/>
              </w:rPr>
            </w:pPr>
          </w:p>
        </w:tc>
        <w:tc>
          <w:tcPr>
            <w:tcW w:w="208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17"/>
        </w:trPr>
        <w:tc>
          <w:tcPr>
            <w:tcW w:w="2660" w:type="dxa"/>
            <w:vAlign w:val="bottom"/>
            <w:tcBorders>
              <w:left w:val="single" w:sz="8" w:color="A0DBF9"/>
              <w:right w:val="single" w:sz="8" w:color="A0DBF9"/>
            </w:tcBorders>
          </w:tcPr>
          <w:p>
            <w:pPr>
              <w:ind w:left="280"/>
              <w:spacing w:after="0"/>
              <w:rPr>
                <w:sz w:val="20"/>
                <w:szCs w:val="20"/>
                <w:color w:val="auto"/>
              </w:rPr>
            </w:pPr>
            <w:r>
              <w:rPr>
                <w:rFonts w:ascii="Arial" w:cs="Arial" w:eastAsia="Arial" w:hAnsi="Arial"/>
                <w:sz w:val="14"/>
                <w:szCs w:val="14"/>
                <w:b w:val="1"/>
                <w:bCs w:val="1"/>
                <w:color w:val="auto"/>
              </w:rPr>
              <w:t>Robert J. Marshall, Jr.</w:t>
            </w:r>
          </w:p>
        </w:tc>
        <w:tc>
          <w:tcPr>
            <w:tcW w:w="2100" w:type="dxa"/>
            <w:vAlign w:val="bottom"/>
            <w:tcBorders>
              <w:right w:val="single" w:sz="8" w:color="A0DBF9"/>
            </w:tcBorders>
          </w:tcPr>
          <w:p>
            <w:pPr>
              <w:spacing w:after="0"/>
              <w:rPr>
                <w:sz w:val="18"/>
                <w:szCs w:val="18"/>
                <w:color w:val="auto"/>
              </w:rPr>
            </w:pPr>
          </w:p>
        </w:tc>
        <w:tc>
          <w:tcPr>
            <w:tcW w:w="2120" w:type="dxa"/>
            <w:vAlign w:val="bottom"/>
            <w:tcBorders>
              <w:right w:val="single" w:sz="8" w:color="A0DBF9"/>
            </w:tcBorders>
          </w:tcPr>
          <w:p>
            <w:pPr>
              <w:spacing w:after="0"/>
              <w:rPr>
                <w:sz w:val="18"/>
                <w:szCs w:val="18"/>
                <w:color w:val="auto"/>
              </w:rPr>
            </w:pPr>
          </w:p>
        </w:tc>
        <w:tc>
          <w:tcPr>
            <w:tcW w:w="2080" w:type="dxa"/>
            <w:vAlign w:val="bottom"/>
            <w:tcBorders>
              <w:right w:val="single" w:sz="8" w:color="A0DBF9"/>
            </w:tcBorders>
          </w:tcPr>
          <w:p>
            <w:pPr>
              <w:spacing w:after="0"/>
              <w:rPr>
                <w:sz w:val="18"/>
                <w:szCs w:val="18"/>
                <w:color w:val="auto"/>
              </w:rPr>
            </w:pPr>
          </w:p>
        </w:tc>
        <w:tc>
          <w:tcPr>
            <w:tcW w:w="2080" w:type="dxa"/>
            <w:vAlign w:val="bottom"/>
            <w:tcBorders>
              <w:right w:val="single" w:sz="8" w:color="A0DBF9"/>
            </w:tcBorders>
          </w:tcPr>
          <w:p>
            <w:pPr>
              <w:spacing w:after="0"/>
              <w:rPr>
                <w:sz w:val="18"/>
                <w:szCs w:val="18"/>
                <w:color w:val="auto"/>
              </w:rPr>
            </w:pP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PSUs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2/26/2019</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1"/>
              </w:rPr>
              <w:t>9,973</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$398,122</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$796,244</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shd w:val="clear" w:color="auto" w:fill="E2F4FC"/>
          </w:tcPr>
          <w:p>
            <w:pPr>
              <w:ind w:left="280"/>
              <w:spacing w:after="0"/>
              <w:rPr>
                <w:sz w:val="20"/>
                <w:szCs w:val="20"/>
                <w:color w:val="auto"/>
              </w:rPr>
            </w:pPr>
            <w:r>
              <w:rPr>
                <w:rFonts w:ascii="Arial" w:cs="Arial" w:eastAsia="Arial" w:hAnsi="Arial"/>
                <w:sz w:val="14"/>
                <w:szCs w:val="14"/>
                <w:b w:val="1"/>
                <w:bCs w:val="1"/>
                <w:color w:val="auto"/>
              </w:rPr>
              <w:t>John Bolla</w:t>
            </w:r>
          </w:p>
        </w:tc>
        <w:tc>
          <w:tcPr>
            <w:tcW w:w="2100" w:type="dxa"/>
            <w:vAlign w:val="bottom"/>
            <w:tcBorders>
              <w:right w:val="single" w:sz="8" w:color="A0DBF9"/>
            </w:tcBorders>
            <w:shd w:val="clear" w:color="auto" w:fill="E2F4FC"/>
          </w:tcPr>
          <w:p>
            <w:pPr>
              <w:spacing w:after="0"/>
              <w:rPr>
                <w:sz w:val="17"/>
                <w:szCs w:val="17"/>
                <w:color w:val="auto"/>
              </w:rPr>
            </w:pPr>
          </w:p>
        </w:tc>
        <w:tc>
          <w:tcPr>
            <w:tcW w:w="2120" w:type="dxa"/>
            <w:vAlign w:val="bottom"/>
            <w:tcBorders>
              <w:right w:val="single" w:sz="8" w:color="A0DBF9"/>
            </w:tcBorders>
            <w:shd w:val="clear" w:color="auto" w:fill="E2F4FC"/>
          </w:tcPr>
          <w:p>
            <w:pPr>
              <w:spacing w:after="0"/>
              <w:rPr>
                <w:sz w:val="17"/>
                <w:szCs w:val="17"/>
                <w:color w:val="auto"/>
              </w:rPr>
            </w:pPr>
          </w:p>
        </w:tc>
        <w:tc>
          <w:tcPr>
            <w:tcW w:w="2080" w:type="dxa"/>
            <w:vAlign w:val="bottom"/>
            <w:tcBorders>
              <w:right w:val="single" w:sz="8" w:color="A0DBF9"/>
            </w:tcBorders>
            <w:shd w:val="clear" w:color="auto" w:fill="E2F4FC"/>
          </w:tcPr>
          <w:p>
            <w:pPr>
              <w:spacing w:after="0"/>
              <w:rPr>
                <w:sz w:val="17"/>
                <w:szCs w:val="17"/>
                <w:color w:val="auto"/>
              </w:rPr>
            </w:pPr>
          </w:p>
        </w:tc>
        <w:tc>
          <w:tcPr>
            <w:tcW w:w="2080" w:type="dxa"/>
            <w:vAlign w:val="bottom"/>
            <w:tcBorders>
              <w:right w:val="single" w:sz="8" w:color="A0DBF9"/>
            </w:tcBorders>
            <w:shd w:val="clear" w:color="auto" w:fill="E2F4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4"/>
                <w:szCs w:val="14"/>
                <w:color w:val="auto"/>
              </w:rPr>
              <w:t>PSUs</w:t>
            </w:r>
          </w:p>
        </w:tc>
        <w:tc>
          <w:tcPr>
            <w:tcW w:w="210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3"/>
              </w:rPr>
              <w:t>2/26/2019</w:t>
            </w:r>
          </w:p>
        </w:tc>
        <w:tc>
          <w:tcPr>
            <w:tcW w:w="212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1"/>
              </w:rPr>
              <w:t>8,077</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$322,434</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$644,868</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280"/>
              <w:spacing w:after="0"/>
              <w:rPr>
                <w:sz w:val="20"/>
                <w:szCs w:val="20"/>
                <w:color w:val="auto"/>
              </w:rPr>
            </w:pPr>
            <w:r>
              <w:rPr>
                <w:rFonts w:ascii="Arial" w:cs="Arial" w:eastAsia="Arial" w:hAnsi="Arial"/>
                <w:sz w:val="14"/>
                <w:szCs w:val="14"/>
                <w:b w:val="1"/>
                <w:bCs w:val="1"/>
                <w:color w:val="auto"/>
              </w:rPr>
              <w:t>Michael P. Duffy</w:t>
            </w:r>
          </w:p>
        </w:tc>
        <w:tc>
          <w:tcPr>
            <w:tcW w:w="2100" w:type="dxa"/>
            <w:vAlign w:val="bottom"/>
            <w:tcBorders>
              <w:right w:val="single" w:sz="8" w:color="A0DBF9"/>
            </w:tcBorders>
          </w:tcPr>
          <w:p>
            <w:pPr>
              <w:spacing w:after="0"/>
              <w:rPr>
                <w:sz w:val="17"/>
                <w:szCs w:val="17"/>
                <w:color w:val="auto"/>
              </w:rPr>
            </w:pPr>
          </w:p>
        </w:tc>
        <w:tc>
          <w:tcPr>
            <w:tcW w:w="2120" w:type="dxa"/>
            <w:vAlign w:val="bottom"/>
            <w:tcBorders>
              <w:right w:val="single" w:sz="8" w:color="A0DBF9"/>
            </w:tcBorders>
          </w:tcPr>
          <w:p>
            <w:pPr>
              <w:spacing w:after="0"/>
              <w:rPr>
                <w:sz w:val="17"/>
                <w:szCs w:val="17"/>
                <w:color w:val="auto"/>
              </w:rPr>
            </w:pPr>
          </w:p>
        </w:tc>
        <w:tc>
          <w:tcPr>
            <w:tcW w:w="2080" w:type="dxa"/>
            <w:vAlign w:val="bottom"/>
            <w:tcBorders>
              <w:right w:val="single" w:sz="8" w:color="A0DBF9"/>
            </w:tcBorders>
          </w:tcPr>
          <w:p>
            <w:pPr>
              <w:spacing w:after="0"/>
              <w:rPr>
                <w:sz w:val="17"/>
                <w:szCs w:val="17"/>
                <w:color w:val="auto"/>
              </w:rPr>
            </w:pPr>
          </w:p>
        </w:tc>
        <w:tc>
          <w:tcPr>
            <w:tcW w:w="2080" w:type="dxa"/>
            <w:vAlign w:val="bottom"/>
            <w:tcBorders>
              <w:right w:val="single" w:sz="8" w:color="A0DBF9"/>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2/23/2017</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16,468</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$198,439</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$238,127</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tcPr>
          <w:p>
            <w:pPr>
              <w:jc w:val="center"/>
              <w:ind w:left="28"/>
              <w:spacing w:after="0"/>
              <w:rPr>
                <w:sz w:val="20"/>
                <w:szCs w:val="20"/>
                <w:color w:val="auto"/>
              </w:rPr>
            </w:pPr>
            <w:r>
              <w:rPr>
                <w:rFonts w:ascii="Arial" w:cs="Arial" w:eastAsia="Arial" w:hAnsi="Arial"/>
                <w:sz w:val="14"/>
                <w:szCs w:val="14"/>
                <w:color w:val="auto"/>
                <w:w w:val="95"/>
              </w:rPr>
              <w:t>3/5/2018</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12,484</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$284,136</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$568,272</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PSUs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2/26/2019</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10,022</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$400,078</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$800,156</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shd w:val="clear" w:color="auto" w:fill="E2F4FC"/>
          </w:tcPr>
          <w:p>
            <w:pPr>
              <w:ind w:left="280"/>
              <w:spacing w:after="0"/>
              <w:rPr>
                <w:sz w:val="20"/>
                <w:szCs w:val="20"/>
                <w:color w:val="auto"/>
              </w:rPr>
            </w:pPr>
            <w:r>
              <w:rPr>
                <w:rFonts w:ascii="Arial" w:cs="Arial" w:eastAsia="Arial" w:hAnsi="Arial"/>
                <w:sz w:val="14"/>
                <w:szCs w:val="14"/>
                <w:b w:val="1"/>
                <w:bCs w:val="1"/>
                <w:color w:val="auto"/>
              </w:rPr>
              <w:t>Simon Robinson, Ph.D.</w:t>
            </w:r>
          </w:p>
        </w:tc>
        <w:tc>
          <w:tcPr>
            <w:tcW w:w="2100" w:type="dxa"/>
            <w:vAlign w:val="bottom"/>
            <w:tcBorders>
              <w:right w:val="single" w:sz="8" w:color="A0DBF9"/>
            </w:tcBorders>
            <w:shd w:val="clear" w:color="auto" w:fill="E2F4FC"/>
          </w:tcPr>
          <w:p>
            <w:pPr>
              <w:spacing w:after="0"/>
              <w:rPr>
                <w:sz w:val="17"/>
                <w:szCs w:val="17"/>
                <w:color w:val="auto"/>
              </w:rPr>
            </w:pPr>
          </w:p>
        </w:tc>
        <w:tc>
          <w:tcPr>
            <w:tcW w:w="2120" w:type="dxa"/>
            <w:vAlign w:val="bottom"/>
            <w:tcBorders>
              <w:right w:val="single" w:sz="8" w:color="A0DBF9"/>
            </w:tcBorders>
            <w:shd w:val="clear" w:color="auto" w:fill="E2F4FC"/>
          </w:tcPr>
          <w:p>
            <w:pPr>
              <w:spacing w:after="0"/>
              <w:rPr>
                <w:sz w:val="17"/>
                <w:szCs w:val="17"/>
                <w:color w:val="auto"/>
              </w:rPr>
            </w:pPr>
          </w:p>
        </w:tc>
        <w:tc>
          <w:tcPr>
            <w:tcW w:w="2080" w:type="dxa"/>
            <w:vAlign w:val="bottom"/>
            <w:tcBorders>
              <w:right w:val="single" w:sz="8" w:color="A0DBF9"/>
            </w:tcBorders>
            <w:shd w:val="clear" w:color="auto" w:fill="E2F4FC"/>
          </w:tcPr>
          <w:p>
            <w:pPr>
              <w:spacing w:after="0"/>
              <w:rPr>
                <w:sz w:val="17"/>
                <w:szCs w:val="17"/>
                <w:color w:val="auto"/>
              </w:rPr>
            </w:pPr>
          </w:p>
        </w:tc>
        <w:tc>
          <w:tcPr>
            <w:tcW w:w="2080" w:type="dxa"/>
            <w:vAlign w:val="bottom"/>
            <w:tcBorders>
              <w:right w:val="single" w:sz="8" w:color="A0DBF9"/>
            </w:tcBorders>
            <w:shd w:val="clear" w:color="auto" w:fill="E2F4FC"/>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02/23/2017</w:t>
            </w:r>
          </w:p>
        </w:tc>
        <w:tc>
          <w:tcPr>
            <w:tcW w:w="212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3"/>
              </w:rPr>
              <w:t>13,817</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$166,495</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$199,794</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03/05/2018</w:t>
            </w:r>
          </w:p>
        </w:tc>
        <w:tc>
          <w:tcPr>
            <w:tcW w:w="212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3"/>
              </w:rPr>
              <w:t>10,055</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$228,852</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$457,704</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4"/>
                <w:szCs w:val="14"/>
                <w:color w:val="auto"/>
              </w:rPr>
              <w:t>PSUs</w:t>
            </w:r>
          </w:p>
        </w:tc>
        <w:tc>
          <w:tcPr>
            <w:tcW w:w="210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02/26/2019</w:t>
            </w:r>
          </w:p>
        </w:tc>
        <w:tc>
          <w:tcPr>
            <w:tcW w:w="2120" w:type="dxa"/>
            <w:vAlign w:val="bottom"/>
            <w:tcBorders>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1"/>
              </w:rPr>
              <w:t>8,077</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$322,434</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2"/>
              </w:rPr>
              <w:t>$644,868</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shd w:val="clear" w:color="auto" w:fill="E2F4FC"/>
          </w:tcPr>
          <w:p>
            <w:pPr>
              <w:spacing w:after="0"/>
              <w:rPr>
                <w:sz w:val="5"/>
                <w:szCs w:val="5"/>
                <w:color w:val="auto"/>
              </w:rPr>
            </w:pPr>
          </w:p>
        </w:tc>
        <w:tc>
          <w:tcPr>
            <w:tcW w:w="2100" w:type="dxa"/>
            <w:vAlign w:val="bottom"/>
            <w:tcBorders>
              <w:bottom w:val="single" w:sz="8" w:color="A0DBF9"/>
              <w:right w:val="single" w:sz="8" w:color="A0DBF9"/>
            </w:tcBorders>
            <w:shd w:val="clear" w:color="auto" w:fill="E2F4FC"/>
          </w:tcPr>
          <w:p>
            <w:pPr>
              <w:spacing w:after="0"/>
              <w:rPr>
                <w:sz w:val="5"/>
                <w:szCs w:val="5"/>
                <w:color w:val="auto"/>
              </w:rPr>
            </w:pPr>
          </w:p>
        </w:tc>
        <w:tc>
          <w:tcPr>
            <w:tcW w:w="212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2080" w:type="dxa"/>
            <w:vAlign w:val="bottom"/>
            <w:tcBorders>
              <w:bottom w:val="single" w:sz="8" w:color="A0DBF9"/>
              <w:right w:val="single" w:sz="8" w:color="A0DBF9"/>
            </w:tcBorders>
            <w:shd w:val="clear" w:color="auto" w:fill="E2F4FC"/>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280"/>
              <w:spacing w:after="0"/>
              <w:rPr>
                <w:sz w:val="20"/>
                <w:szCs w:val="20"/>
                <w:color w:val="auto"/>
              </w:rPr>
            </w:pPr>
            <w:r>
              <w:rPr>
                <w:rFonts w:ascii="Arial" w:cs="Arial" w:eastAsia="Arial" w:hAnsi="Arial"/>
                <w:sz w:val="14"/>
                <w:szCs w:val="14"/>
                <w:b w:val="1"/>
                <w:bCs w:val="1"/>
                <w:color w:val="auto"/>
              </w:rPr>
              <w:t>Cesare Orlandi, M.D.</w:t>
            </w:r>
          </w:p>
        </w:tc>
        <w:tc>
          <w:tcPr>
            <w:tcW w:w="2100" w:type="dxa"/>
            <w:vAlign w:val="bottom"/>
            <w:tcBorders>
              <w:right w:val="single" w:sz="8" w:color="A0DBF9"/>
            </w:tcBorders>
          </w:tcPr>
          <w:p>
            <w:pPr>
              <w:spacing w:after="0"/>
              <w:rPr>
                <w:sz w:val="17"/>
                <w:szCs w:val="17"/>
                <w:color w:val="auto"/>
              </w:rPr>
            </w:pPr>
          </w:p>
        </w:tc>
        <w:tc>
          <w:tcPr>
            <w:tcW w:w="2120" w:type="dxa"/>
            <w:vAlign w:val="bottom"/>
            <w:tcBorders>
              <w:right w:val="single" w:sz="8" w:color="A0DBF9"/>
            </w:tcBorders>
          </w:tcPr>
          <w:p>
            <w:pPr>
              <w:spacing w:after="0"/>
              <w:rPr>
                <w:sz w:val="17"/>
                <w:szCs w:val="17"/>
                <w:color w:val="auto"/>
              </w:rPr>
            </w:pPr>
          </w:p>
        </w:tc>
        <w:tc>
          <w:tcPr>
            <w:tcW w:w="2080" w:type="dxa"/>
            <w:vAlign w:val="bottom"/>
            <w:tcBorders>
              <w:right w:val="single" w:sz="8" w:color="A0DBF9"/>
            </w:tcBorders>
          </w:tcPr>
          <w:p>
            <w:pPr>
              <w:spacing w:after="0"/>
              <w:rPr>
                <w:sz w:val="17"/>
                <w:szCs w:val="17"/>
                <w:color w:val="auto"/>
              </w:rPr>
            </w:pPr>
          </w:p>
        </w:tc>
        <w:tc>
          <w:tcPr>
            <w:tcW w:w="2080" w:type="dxa"/>
            <w:vAlign w:val="bottom"/>
            <w:tcBorders>
              <w:right w:val="single" w:sz="8" w:color="A0DBF9"/>
            </w:tcBorders>
          </w:tcPr>
          <w:p>
            <w:pPr>
              <w:spacing w:after="0"/>
              <w:rPr>
                <w:sz w:val="17"/>
                <w:szCs w:val="17"/>
                <w:color w:val="auto"/>
              </w:rPr>
            </w:pP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7"/>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4"/>
              </w:rPr>
              <w:t>07/26/2017</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1"/>
              </w:rPr>
              <w:t>9,336</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$179,251</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$215,101</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PSAs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4"/>
              </w:rPr>
              <w:t>03/05/2018</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3"/>
              </w:rPr>
              <w:t>12,815</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$291,669</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$583,339</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r>
        <w:trPr>
          <w:trHeight w:val="198"/>
        </w:trPr>
        <w:tc>
          <w:tcPr>
            <w:tcW w:w="26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4"/>
                <w:szCs w:val="14"/>
                <w:color w:val="auto"/>
              </w:rPr>
              <w:t>PSUs</w:t>
            </w:r>
          </w:p>
        </w:tc>
        <w:tc>
          <w:tcPr>
            <w:tcW w:w="210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4"/>
              </w:rPr>
              <w:t>02/26/2019</w:t>
            </w:r>
          </w:p>
        </w:tc>
        <w:tc>
          <w:tcPr>
            <w:tcW w:w="212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1"/>
              </w:rPr>
              <w:t>6,713</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$267,983</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$535,966</w:t>
            </w:r>
          </w:p>
        </w:tc>
        <w:tc>
          <w:tcPr>
            <w:tcW w:w="0" w:type="dxa"/>
            <w:vAlign w:val="bottom"/>
          </w:tcPr>
          <w:p>
            <w:pPr>
              <w:spacing w:after="0"/>
              <w:rPr>
                <w:sz w:val="1"/>
                <w:szCs w:val="1"/>
                <w:color w:val="auto"/>
              </w:rPr>
            </w:pPr>
          </w:p>
        </w:tc>
      </w:tr>
      <w:tr>
        <w:trPr>
          <w:trHeight w:val="66"/>
        </w:trPr>
        <w:tc>
          <w:tcPr>
            <w:tcW w:w="2660" w:type="dxa"/>
            <w:vAlign w:val="bottom"/>
            <w:tcBorders>
              <w:left w:val="single" w:sz="8" w:color="A0DBF9"/>
              <w:bottom w:val="single" w:sz="8" w:color="A0DBF9"/>
              <w:right w:val="single" w:sz="8" w:color="A0DBF9"/>
            </w:tcBorders>
          </w:tcPr>
          <w:p>
            <w:pPr>
              <w:spacing w:after="0"/>
              <w:rPr>
                <w:sz w:val="5"/>
                <w:szCs w:val="5"/>
                <w:color w:val="auto"/>
              </w:rPr>
            </w:pPr>
          </w:p>
        </w:tc>
        <w:tc>
          <w:tcPr>
            <w:tcW w:w="2100" w:type="dxa"/>
            <w:vAlign w:val="bottom"/>
            <w:tcBorders>
              <w:bottom w:val="single" w:sz="8" w:color="A0DBF9"/>
              <w:right w:val="single" w:sz="8" w:color="A0DBF9"/>
            </w:tcBorders>
          </w:tcPr>
          <w:p>
            <w:pPr>
              <w:spacing w:after="0"/>
              <w:rPr>
                <w:sz w:val="5"/>
                <w:szCs w:val="5"/>
                <w:color w:val="auto"/>
              </w:rPr>
            </w:pPr>
          </w:p>
        </w:tc>
        <w:tc>
          <w:tcPr>
            <w:tcW w:w="212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2080" w:type="dxa"/>
            <w:vAlign w:val="bottom"/>
            <w:tcBorders>
              <w:bottom w:val="single" w:sz="8" w:color="A0DBF9"/>
              <w:right w:val="single" w:sz="8" w:color="A0DBF9"/>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40" w:hanging="424"/>
        <w:spacing w:after="0" w:line="225" w:lineRule="auto"/>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For each of the NEOs, the amounts reported in Non-Equity Incentive Plan Compensation column represent cash payouts made to our NEOs under the Executive Bonus Plan for the applicable year. Payouts under the 2019 Executive Bonus Plan are described above under “</w:t>
      </w:r>
      <w:r>
        <w:rPr>
          <w:rFonts w:ascii="Arial" w:cs="Arial" w:eastAsia="Arial" w:hAnsi="Arial"/>
          <w:sz w:val="14"/>
          <w:szCs w:val="14"/>
          <w:i w:val="1"/>
          <w:iCs w:val="1"/>
          <w:color w:val="auto"/>
        </w:rPr>
        <w:t>Corporate Performance Objectives and Outcomes</w:t>
      </w:r>
      <w:r>
        <w:rPr>
          <w:rFonts w:ascii="Arial" w:cs="Arial" w:eastAsia="Arial" w:hAnsi="Arial"/>
          <w:sz w:val="14"/>
          <w:szCs w:val="14"/>
          <w:color w:val="auto"/>
        </w:rPr>
        <w:t>,” which were paid in early 2020. For 2017 and 2018, amounts for Ms. Heino, Mr. Duffy, and Dr. Orlandi also reflect amounts accrued under the 2016 long-term cash incentive plan (the “</w:t>
      </w:r>
      <w:r>
        <w:rPr>
          <w:rFonts w:ascii="Arial" w:cs="Arial" w:eastAsia="Arial" w:hAnsi="Arial"/>
          <w:sz w:val="14"/>
          <w:szCs w:val="14"/>
          <w:b w:val="1"/>
          <w:bCs w:val="1"/>
          <w:i w:val="1"/>
          <w:iCs w:val="1"/>
          <w:color w:val="auto"/>
        </w:rPr>
        <w:t>Cash LTIP</w:t>
      </w:r>
      <w:r>
        <w:rPr>
          <w:rFonts w:ascii="Arial" w:cs="Arial" w:eastAsia="Arial" w:hAnsi="Arial"/>
          <w:sz w:val="14"/>
          <w:szCs w:val="14"/>
          <w:color w:val="auto"/>
        </w:rPr>
        <w:t>”), based on the achievement of applicable performance goals.</w:t>
      </w:r>
    </w:p>
    <w:p>
      <w:pPr>
        <w:spacing w:after="0" w:line="2" w:lineRule="exact"/>
        <w:rPr>
          <w:rFonts w:ascii="Arial" w:cs="Arial" w:eastAsia="Arial" w:hAnsi="Arial"/>
          <w:sz w:val="14"/>
          <w:szCs w:val="14"/>
          <w:color w:val="auto"/>
        </w:rPr>
      </w:pPr>
    </w:p>
    <w:p>
      <w:pPr>
        <w:ind w:left="540" w:hanging="424"/>
        <w:spacing w:after="0"/>
        <w:tabs>
          <w:tab w:leader="none" w:pos="540" w:val="left"/>
        </w:tabs>
        <w:numPr>
          <w:ilvl w:val="0"/>
          <w:numId w:val="49"/>
        </w:numPr>
        <w:rPr>
          <w:rFonts w:ascii="Arial" w:cs="Arial" w:eastAsia="Arial" w:hAnsi="Arial"/>
          <w:sz w:val="14"/>
          <w:szCs w:val="14"/>
          <w:color w:val="auto"/>
        </w:rPr>
      </w:pPr>
      <w:r>
        <w:rPr>
          <w:rFonts w:ascii="Arial" w:cs="Arial" w:eastAsia="Arial" w:hAnsi="Arial"/>
          <w:sz w:val="14"/>
          <w:szCs w:val="14"/>
          <w:color w:val="auto"/>
        </w:rPr>
        <w:t>The amounts shown for 2019 in the “All Other Compensation” columns are comprised of the following components:</w:t>
      </w:r>
    </w:p>
    <w:p>
      <w:pPr>
        <w:spacing w:after="0" w:line="237" w:lineRule="exact"/>
        <w:rPr>
          <w:sz w:val="20"/>
          <w:szCs w:val="20"/>
          <w:color w:val="auto"/>
        </w:rPr>
      </w:pPr>
    </w:p>
    <w:tbl>
      <w:tblPr>
        <w:tblLayout w:type="fixed"/>
        <w:tblInd w:w="130" w:type="dxa"/>
        <w:tblCellMar>
          <w:top w:w="0" w:type="dxa"/>
          <w:left w:w="0" w:type="dxa"/>
          <w:bottom w:w="0" w:type="dxa"/>
          <w:right w:w="0" w:type="dxa"/>
        </w:tblCellMar>
      </w:tblPr>
      <w:tr>
        <w:trPr>
          <w:trHeight w:val="54"/>
        </w:trPr>
        <w:tc>
          <w:tcPr>
            <w:tcW w:w="1680" w:type="dxa"/>
            <w:vAlign w:val="bottom"/>
            <w:tcBorders>
              <w:left w:val="single" w:sz="8" w:color="5EB5FC"/>
              <w:right w:val="single" w:sz="8" w:color="5EB5FC"/>
            </w:tcBorders>
            <w:shd w:val="clear" w:color="auto" w:fill="5EB5FC"/>
          </w:tcPr>
          <w:p>
            <w:pPr>
              <w:spacing w:after="0"/>
              <w:rPr>
                <w:sz w:val="4"/>
                <w:szCs w:val="4"/>
                <w:color w:val="auto"/>
              </w:rPr>
            </w:pPr>
          </w:p>
        </w:tc>
        <w:tc>
          <w:tcPr>
            <w:tcW w:w="1880" w:type="dxa"/>
            <w:vAlign w:val="bottom"/>
            <w:tcBorders>
              <w:right w:val="single" w:sz="8" w:color="5EB5FC"/>
            </w:tcBorders>
            <w:shd w:val="clear" w:color="auto" w:fill="5EB5FC"/>
          </w:tcPr>
          <w:p>
            <w:pPr>
              <w:spacing w:after="0"/>
              <w:rPr>
                <w:sz w:val="4"/>
                <w:szCs w:val="4"/>
                <w:color w:val="auto"/>
              </w:rPr>
            </w:pPr>
          </w:p>
        </w:tc>
        <w:tc>
          <w:tcPr>
            <w:tcW w:w="1880" w:type="dxa"/>
            <w:vAlign w:val="bottom"/>
            <w:tcBorders>
              <w:right w:val="single" w:sz="8" w:color="5EB5FC"/>
            </w:tcBorders>
            <w:shd w:val="clear" w:color="auto" w:fill="5EB5FC"/>
          </w:tcPr>
          <w:p>
            <w:pPr>
              <w:spacing w:after="0"/>
              <w:rPr>
                <w:sz w:val="4"/>
                <w:szCs w:val="4"/>
                <w:color w:val="auto"/>
              </w:rPr>
            </w:pPr>
          </w:p>
        </w:tc>
        <w:tc>
          <w:tcPr>
            <w:tcW w:w="1860" w:type="dxa"/>
            <w:vAlign w:val="bottom"/>
            <w:tcBorders>
              <w:right w:val="single" w:sz="8" w:color="5EB5FC"/>
            </w:tcBorders>
            <w:shd w:val="clear" w:color="auto" w:fill="5EB5FC"/>
          </w:tcPr>
          <w:p>
            <w:pPr>
              <w:spacing w:after="0"/>
              <w:rPr>
                <w:sz w:val="4"/>
                <w:szCs w:val="4"/>
                <w:color w:val="auto"/>
              </w:rPr>
            </w:pPr>
          </w:p>
        </w:tc>
        <w:tc>
          <w:tcPr>
            <w:tcW w:w="1860" w:type="dxa"/>
            <w:vAlign w:val="bottom"/>
            <w:tcBorders>
              <w:right w:val="single" w:sz="8" w:color="5EB5FC"/>
            </w:tcBorders>
            <w:shd w:val="clear" w:color="auto" w:fill="5EB5FC"/>
          </w:tcPr>
          <w:p>
            <w:pPr>
              <w:spacing w:after="0"/>
              <w:rPr>
                <w:sz w:val="4"/>
                <w:szCs w:val="4"/>
                <w:color w:val="auto"/>
              </w:rPr>
            </w:pPr>
          </w:p>
        </w:tc>
        <w:tc>
          <w:tcPr>
            <w:tcW w:w="1880" w:type="dxa"/>
            <w:vAlign w:val="bottom"/>
            <w:tcBorders>
              <w:right w:val="single" w:sz="8" w:color="5EB5FC"/>
            </w:tcBorders>
            <w:shd w:val="clear" w:color="auto" w:fill="5EB5FC"/>
          </w:tcPr>
          <w:p>
            <w:pPr>
              <w:spacing w:after="0"/>
              <w:rPr>
                <w:sz w:val="4"/>
                <w:szCs w:val="4"/>
                <w:color w:val="auto"/>
              </w:rPr>
            </w:pPr>
          </w:p>
        </w:tc>
        <w:tc>
          <w:tcPr>
            <w:tcW w:w="0" w:type="dxa"/>
            <w:vAlign w:val="bottom"/>
          </w:tcPr>
          <w:p>
            <w:pPr>
              <w:spacing w:after="0"/>
              <w:rPr>
                <w:sz w:val="1"/>
                <w:szCs w:val="1"/>
                <w:color w:val="auto"/>
              </w:rPr>
            </w:pPr>
          </w:p>
        </w:tc>
      </w:tr>
      <w:tr>
        <w:trPr>
          <w:trHeight w:val="135"/>
        </w:trPr>
        <w:tc>
          <w:tcPr>
            <w:tcW w:w="1680" w:type="dxa"/>
            <w:vAlign w:val="bottom"/>
            <w:tcBorders>
              <w:left w:val="single" w:sz="8" w:color="5EB5FC"/>
              <w:right w:val="single" w:sz="8" w:color="5EB5FC"/>
            </w:tcBorders>
            <w:shd w:val="clear" w:color="auto" w:fill="5EB5FC"/>
          </w:tcPr>
          <w:p>
            <w:pPr>
              <w:spacing w:after="0"/>
              <w:rPr>
                <w:sz w:val="11"/>
                <w:szCs w:val="11"/>
                <w:color w:val="auto"/>
              </w:rPr>
            </w:pPr>
          </w:p>
        </w:tc>
        <w:tc>
          <w:tcPr>
            <w:tcW w:w="1880" w:type="dxa"/>
            <w:vAlign w:val="bottom"/>
            <w:tcBorders>
              <w:right w:val="single" w:sz="8" w:color="5EB5FC"/>
            </w:tcBorders>
            <w:shd w:val="clear" w:color="auto" w:fill="5EB5FC"/>
          </w:tcPr>
          <w:p>
            <w:pPr>
              <w:jc w:val="center"/>
              <w:ind w:left="8"/>
              <w:spacing w:after="0" w:line="135" w:lineRule="exact"/>
              <w:rPr>
                <w:sz w:val="20"/>
                <w:szCs w:val="20"/>
                <w:color w:val="auto"/>
              </w:rPr>
            </w:pPr>
            <w:r>
              <w:rPr>
                <w:rFonts w:ascii="Arial" w:cs="Arial" w:eastAsia="Arial" w:hAnsi="Arial"/>
                <w:sz w:val="14"/>
                <w:szCs w:val="14"/>
                <w:b w:val="1"/>
                <w:bCs w:val="1"/>
                <w:color w:val="FFFFFF"/>
                <w:w w:val="98"/>
              </w:rPr>
              <w:t>401(k)</w:t>
            </w:r>
          </w:p>
        </w:tc>
        <w:tc>
          <w:tcPr>
            <w:tcW w:w="1880" w:type="dxa"/>
            <w:vAlign w:val="bottom"/>
            <w:tcBorders>
              <w:right w:val="single" w:sz="8" w:color="5EB5FC"/>
            </w:tcBorders>
            <w:vMerge w:val="restart"/>
            <w:shd w:val="clear" w:color="auto" w:fill="5EB5FC"/>
          </w:tcPr>
          <w:p>
            <w:pPr>
              <w:jc w:val="center"/>
              <w:ind w:left="28"/>
              <w:spacing w:after="0"/>
              <w:rPr>
                <w:sz w:val="20"/>
                <w:szCs w:val="20"/>
                <w:color w:val="auto"/>
              </w:rPr>
            </w:pPr>
            <w:r>
              <w:rPr>
                <w:rFonts w:ascii="Arial" w:cs="Arial" w:eastAsia="Arial" w:hAnsi="Arial"/>
                <w:sz w:val="14"/>
                <w:szCs w:val="14"/>
                <w:b w:val="1"/>
                <w:bCs w:val="1"/>
                <w:color w:val="FFFFFF"/>
                <w:w w:val="92"/>
              </w:rPr>
              <w:t>Reimbursement of</w:t>
            </w:r>
          </w:p>
        </w:tc>
        <w:tc>
          <w:tcPr>
            <w:tcW w:w="1860" w:type="dxa"/>
            <w:vAlign w:val="bottom"/>
            <w:tcBorders>
              <w:right w:val="single" w:sz="8" w:color="5EB5FC"/>
            </w:tcBorders>
            <w:shd w:val="clear" w:color="auto" w:fill="5EB5FC"/>
          </w:tcPr>
          <w:p>
            <w:pPr>
              <w:jc w:val="center"/>
              <w:ind w:left="8"/>
              <w:spacing w:after="0" w:line="135" w:lineRule="exact"/>
              <w:rPr>
                <w:sz w:val="20"/>
                <w:szCs w:val="20"/>
                <w:color w:val="auto"/>
              </w:rPr>
            </w:pPr>
            <w:r>
              <w:rPr>
                <w:rFonts w:ascii="Arial" w:cs="Arial" w:eastAsia="Arial" w:hAnsi="Arial"/>
                <w:sz w:val="14"/>
                <w:szCs w:val="14"/>
                <w:b w:val="1"/>
                <w:bCs w:val="1"/>
                <w:color w:val="FFFFFF"/>
                <w:w w:val="93"/>
              </w:rPr>
              <w:t>Payments under</w:t>
            </w:r>
          </w:p>
        </w:tc>
        <w:tc>
          <w:tcPr>
            <w:tcW w:w="1860" w:type="dxa"/>
            <w:vAlign w:val="bottom"/>
            <w:tcBorders>
              <w:right w:val="single" w:sz="8" w:color="5EB5FC"/>
            </w:tcBorders>
            <w:shd w:val="clear" w:color="auto" w:fill="5EB5FC"/>
          </w:tcPr>
          <w:p>
            <w:pPr>
              <w:spacing w:after="0"/>
              <w:rPr>
                <w:sz w:val="11"/>
                <w:szCs w:val="11"/>
                <w:color w:val="auto"/>
              </w:rPr>
            </w:pPr>
          </w:p>
        </w:tc>
        <w:tc>
          <w:tcPr>
            <w:tcW w:w="1880" w:type="dxa"/>
            <w:vAlign w:val="bottom"/>
            <w:tcBorders>
              <w:right w:val="single" w:sz="8" w:color="5EB5FC"/>
            </w:tcBorders>
            <w:shd w:val="clear" w:color="auto" w:fill="5EB5FC"/>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1680" w:type="dxa"/>
            <w:vAlign w:val="bottom"/>
            <w:tcBorders>
              <w:left w:val="single" w:sz="8" w:color="5EB5FC"/>
              <w:right w:val="single" w:sz="8" w:color="5EB5FC"/>
            </w:tcBorders>
            <w:vMerge w:val="restart"/>
            <w:shd w:val="clear" w:color="auto" w:fill="5EB5FC"/>
          </w:tcPr>
          <w:p>
            <w:pPr>
              <w:ind w:left="720"/>
              <w:spacing w:after="0"/>
              <w:rPr>
                <w:sz w:val="20"/>
                <w:szCs w:val="20"/>
                <w:color w:val="auto"/>
              </w:rPr>
            </w:pPr>
            <w:r>
              <w:rPr>
                <w:rFonts w:ascii="Arial" w:cs="Arial" w:eastAsia="Arial" w:hAnsi="Arial"/>
                <w:sz w:val="14"/>
                <w:szCs w:val="14"/>
                <w:b w:val="1"/>
                <w:bCs w:val="1"/>
                <w:color w:val="FFFFFF"/>
              </w:rPr>
              <w:t>Name</w:t>
            </w:r>
          </w:p>
        </w:tc>
        <w:tc>
          <w:tcPr>
            <w:tcW w:w="1880" w:type="dxa"/>
            <w:vAlign w:val="bottom"/>
            <w:tcBorders>
              <w:right w:val="single" w:sz="8" w:color="5EB5FC"/>
            </w:tcBorders>
            <w:shd w:val="clear" w:color="auto" w:fill="5EB5FC"/>
          </w:tcPr>
          <w:p>
            <w:pPr>
              <w:jc w:val="center"/>
              <w:ind w:left="8"/>
              <w:spacing w:after="0" w:line="149" w:lineRule="exact"/>
              <w:rPr>
                <w:sz w:val="20"/>
                <w:szCs w:val="20"/>
                <w:color w:val="auto"/>
              </w:rPr>
            </w:pPr>
            <w:r>
              <w:rPr>
                <w:rFonts w:ascii="Arial" w:cs="Arial" w:eastAsia="Arial" w:hAnsi="Arial"/>
                <w:sz w:val="14"/>
                <w:szCs w:val="14"/>
                <w:b w:val="1"/>
                <w:bCs w:val="1"/>
                <w:color w:val="FFFFFF"/>
                <w:w w:val="97"/>
              </w:rPr>
              <w:t>Matching</w:t>
            </w:r>
          </w:p>
        </w:tc>
        <w:tc>
          <w:tcPr>
            <w:tcW w:w="1880" w:type="dxa"/>
            <w:vAlign w:val="bottom"/>
            <w:tcBorders>
              <w:right w:val="single" w:sz="8" w:color="5EB5FC"/>
            </w:tcBorders>
            <w:vMerge w:val="continue"/>
            <w:shd w:val="clear" w:color="auto" w:fill="5EB5FC"/>
          </w:tcPr>
          <w:p>
            <w:pPr>
              <w:spacing w:after="0"/>
              <w:rPr>
                <w:sz w:val="12"/>
                <w:szCs w:val="12"/>
                <w:color w:val="auto"/>
              </w:rPr>
            </w:pPr>
          </w:p>
        </w:tc>
        <w:tc>
          <w:tcPr>
            <w:tcW w:w="1860" w:type="dxa"/>
            <w:vAlign w:val="bottom"/>
            <w:tcBorders>
              <w:right w:val="single" w:sz="8" w:color="5EB5FC"/>
            </w:tcBorders>
            <w:shd w:val="clear" w:color="auto" w:fill="5EB5FC"/>
          </w:tcPr>
          <w:p>
            <w:pPr>
              <w:jc w:val="center"/>
              <w:ind w:left="8"/>
              <w:spacing w:after="0" w:line="149" w:lineRule="exact"/>
              <w:rPr>
                <w:sz w:val="20"/>
                <w:szCs w:val="20"/>
                <w:color w:val="auto"/>
              </w:rPr>
            </w:pPr>
            <w:r>
              <w:rPr>
                <w:rFonts w:ascii="Arial" w:cs="Arial" w:eastAsia="Arial" w:hAnsi="Arial"/>
                <w:sz w:val="14"/>
                <w:szCs w:val="14"/>
                <w:b w:val="1"/>
                <w:bCs w:val="1"/>
                <w:color w:val="FFFFFF"/>
              </w:rPr>
              <w:t>Other</w:t>
            </w:r>
          </w:p>
        </w:tc>
        <w:tc>
          <w:tcPr>
            <w:tcW w:w="1860" w:type="dxa"/>
            <w:vAlign w:val="bottom"/>
            <w:tcBorders>
              <w:right w:val="single" w:sz="8" w:color="5EB5FC"/>
            </w:tcBorders>
            <w:vMerge w:val="restart"/>
            <w:shd w:val="clear" w:color="auto" w:fill="5EB5FC"/>
          </w:tcPr>
          <w:p>
            <w:pPr>
              <w:jc w:val="center"/>
              <w:ind w:left="8"/>
              <w:spacing w:after="0"/>
              <w:rPr>
                <w:sz w:val="20"/>
                <w:szCs w:val="20"/>
                <w:color w:val="auto"/>
              </w:rPr>
            </w:pPr>
            <w:r>
              <w:rPr>
                <w:rFonts w:ascii="Arial" w:cs="Arial" w:eastAsia="Arial" w:hAnsi="Arial"/>
                <w:sz w:val="14"/>
                <w:szCs w:val="14"/>
                <w:b w:val="1"/>
                <w:bCs w:val="1"/>
                <w:color w:val="FFFFFF"/>
                <w:w w:val="89"/>
              </w:rPr>
              <w:t>Consulting Fees</w:t>
            </w:r>
          </w:p>
        </w:tc>
        <w:tc>
          <w:tcPr>
            <w:tcW w:w="1880" w:type="dxa"/>
            <w:vAlign w:val="bottom"/>
            <w:tcBorders>
              <w:right w:val="single" w:sz="8" w:color="5EB5FC"/>
            </w:tcBorders>
            <w:vMerge w:val="restart"/>
            <w:shd w:val="clear" w:color="auto" w:fill="5EB5FC"/>
          </w:tcPr>
          <w:p>
            <w:pPr>
              <w:ind w:left="800"/>
              <w:spacing w:after="0"/>
              <w:rPr>
                <w:sz w:val="20"/>
                <w:szCs w:val="20"/>
                <w:color w:val="auto"/>
              </w:rPr>
            </w:pPr>
            <w:r>
              <w:rPr>
                <w:rFonts w:ascii="Arial" w:cs="Arial" w:eastAsia="Arial" w:hAnsi="Arial"/>
                <w:sz w:val="14"/>
                <w:szCs w:val="14"/>
                <w:b w:val="1"/>
                <w:bCs w:val="1"/>
                <w:color w:val="FFFFFF"/>
              </w:rPr>
              <w:t>Total</w:t>
            </w:r>
          </w:p>
        </w:tc>
        <w:tc>
          <w:tcPr>
            <w:tcW w:w="0" w:type="dxa"/>
            <w:vAlign w:val="bottom"/>
          </w:tcPr>
          <w:p>
            <w:pPr>
              <w:spacing w:after="0"/>
              <w:rPr>
                <w:sz w:val="1"/>
                <w:szCs w:val="1"/>
                <w:color w:val="auto"/>
              </w:rPr>
            </w:pPr>
          </w:p>
        </w:tc>
      </w:tr>
      <w:tr>
        <w:trPr>
          <w:trHeight w:val="190"/>
        </w:trPr>
        <w:tc>
          <w:tcPr>
            <w:tcW w:w="168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1880" w:type="dxa"/>
            <w:vAlign w:val="bottom"/>
            <w:tcBorders>
              <w:right w:val="single" w:sz="8" w:color="5EB5FC"/>
            </w:tcBorders>
            <w:shd w:val="clear" w:color="auto" w:fill="5EB5FC"/>
          </w:tcPr>
          <w:p>
            <w:pPr>
              <w:jc w:val="center"/>
              <w:ind w:left="8"/>
              <w:spacing w:after="0"/>
              <w:rPr>
                <w:sz w:val="20"/>
                <w:szCs w:val="20"/>
                <w:color w:val="auto"/>
              </w:rPr>
            </w:pPr>
            <w:r>
              <w:rPr>
                <w:rFonts w:ascii="Arial" w:cs="Arial" w:eastAsia="Arial" w:hAnsi="Arial"/>
                <w:sz w:val="14"/>
                <w:szCs w:val="14"/>
                <w:b w:val="1"/>
                <w:bCs w:val="1"/>
                <w:color w:val="FFFFFF"/>
                <w:w w:val="95"/>
              </w:rPr>
              <w:t>Contribution</w:t>
            </w:r>
          </w:p>
        </w:tc>
        <w:tc>
          <w:tcPr>
            <w:tcW w:w="1880" w:type="dxa"/>
            <w:vAlign w:val="bottom"/>
            <w:tcBorders>
              <w:right w:val="single" w:sz="8" w:color="5EB5FC"/>
            </w:tcBorders>
            <w:shd w:val="clear" w:color="auto" w:fill="5EB5FC"/>
          </w:tcPr>
          <w:p>
            <w:pPr>
              <w:jc w:val="center"/>
              <w:ind w:left="8"/>
              <w:spacing w:after="0"/>
              <w:rPr>
                <w:sz w:val="20"/>
                <w:szCs w:val="20"/>
                <w:color w:val="auto"/>
              </w:rPr>
            </w:pPr>
            <w:r>
              <w:rPr>
                <w:rFonts w:ascii="Arial" w:cs="Arial" w:eastAsia="Arial" w:hAnsi="Arial"/>
                <w:sz w:val="14"/>
                <w:szCs w:val="14"/>
                <w:b w:val="1"/>
                <w:bCs w:val="1"/>
                <w:color w:val="FFFFFF"/>
                <w:w w:val="90"/>
              </w:rPr>
              <w:t>Relocation Expense</w:t>
            </w:r>
          </w:p>
        </w:tc>
        <w:tc>
          <w:tcPr>
            <w:tcW w:w="1860" w:type="dxa"/>
            <w:vAlign w:val="bottom"/>
            <w:tcBorders>
              <w:right w:val="single" w:sz="8" w:color="5EB5FC"/>
            </w:tcBorders>
            <w:shd w:val="clear" w:color="auto" w:fill="5EB5FC"/>
          </w:tcPr>
          <w:p>
            <w:pPr>
              <w:jc w:val="center"/>
              <w:ind w:left="8"/>
              <w:spacing w:after="0"/>
              <w:rPr>
                <w:sz w:val="20"/>
                <w:szCs w:val="20"/>
                <w:color w:val="auto"/>
              </w:rPr>
            </w:pPr>
            <w:r>
              <w:rPr>
                <w:rFonts w:ascii="Arial" w:cs="Arial" w:eastAsia="Arial" w:hAnsi="Arial"/>
                <w:sz w:val="14"/>
                <w:szCs w:val="14"/>
                <w:b w:val="1"/>
                <w:bCs w:val="1"/>
                <w:color w:val="FFFFFF"/>
                <w:w w:val="91"/>
              </w:rPr>
              <w:t>Agreements</w:t>
            </w:r>
          </w:p>
        </w:tc>
        <w:tc>
          <w:tcPr>
            <w:tcW w:w="1860" w:type="dxa"/>
            <w:vAlign w:val="bottom"/>
            <w:tcBorders>
              <w:right w:val="single" w:sz="8" w:color="5EB5FC"/>
            </w:tcBorders>
            <w:vMerge w:val="continue"/>
            <w:shd w:val="clear" w:color="auto" w:fill="5EB5FC"/>
          </w:tcPr>
          <w:p>
            <w:pPr>
              <w:spacing w:after="0"/>
              <w:rPr>
                <w:sz w:val="16"/>
                <w:szCs w:val="16"/>
                <w:color w:val="auto"/>
              </w:rPr>
            </w:pPr>
          </w:p>
        </w:tc>
        <w:tc>
          <w:tcPr>
            <w:tcW w:w="1880" w:type="dxa"/>
            <w:vAlign w:val="bottom"/>
            <w:tcBorders>
              <w:right w:val="single" w:sz="8" w:color="5EB5FC"/>
            </w:tcBorders>
            <w:vMerge w:val="continue"/>
            <w:shd w:val="clear" w:color="auto" w:fill="5EB5FC"/>
          </w:tcPr>
          <w:p>
            <w:pPr>
              <w:spacing w:after="0"/>
              <w:rPr>
                <w:sz w:val="16"/>
                <w:szCs w:val="16"/>
                <w:color w:val="auto"/>
              </w:rPr>
            </w:pPr>
          </w:p>
        </w:tc>
        <w:tc>
          <w:tcPr>
            <w:tcW w:w="0" w:type="dxa"/>
            <w:vAlign w:val="bottom"/>
          </w:tcPr>
          <w:p>
            <w:pPr>
              <w:spacing w:after="0"/>
              <w:rPr>
                <w:sz w:val="1"/>
                <w:szCs w:val="1"/>
                <w:color w:val="auto"/>
              </w:rPr>
            </w:pPr>
          </w:p>
        </w:tc>
      </w:tr>
      <w:tr>
        <w:trPr>
          <w:trHeight w:val="93"/>
        </w:trPr>
        <w:tc>
          <w:tcPr>
            <w:tcW w:w="1680" w:type="dxa"/>
            <w:vAlign w:val="bottom"/>
            <w:tcBorders>
              <w:left w:val="single" w:sz="8" w:color="5EB5FC"/>
              <w:right w:val="single" w:sz="8" w:color="5EB5FC"/>
            </w:tcBorders>
            <w:shd w:val="clear" w:color="auto" w:fill="5EB5FC"/>
          </w:tcPr>
          <w:p>
            <w:pPr>
              <w:spacing w:after="0"/>
              <w:rPr>
                <w:sz w:val="8"/>
                <w:szCs w:val="8"/>
                <w:color w:val="auto"/>
              </w:rPr>
            </w:pPr>
          </w:p>
        </w:tc>
        <w:tc>
          <w:tcPr>
            <w:tcW w:w="1880" w:type="dxa"/>
            <w:vAlign w:val="bottom"/>
            <w:tcBorders>
              <w:right w:val="single" w:sz="8" w:color="5EB5FC"/>
            </w:tcBorders>
            <w:shd w:val="clear" w:color="auto" w:fill="5EB5FC"/>
          </w:tcPr>
          <w:p>
            <w:pPr>
              <w:spacing w:after="0"/>
              <w:rPr>
                <w:sz w:val="8"/>
                <w:szCs w:val="8"/>
                <w:color w:val="auto"/>
              </w:rPr>
            </w:pPr>
          </w:p>
        </w:tc>
        <w:tc>
          <w:tcPr>
            <w:tcW w:w="1880" w:type="dxa"/>
            <w:vAlign w:val="bottom"/>
            <w:tcBorders>
              <w:right w:val="single" w:sz="8" w:color="5EB5FC"/>
            </w:tcBorders>
            <w:shd w:val="clear" w:color="auto" w:fill="5EB5FC"/>
          </w:tcPr>
          <w:p>
            <w:pPr>
              <w:spacing w:after="0"/>
              <w:rPr>
                <w:sz w:val="8"/>
                <w:szCs w:val="8"/>
                <w:color w:val="auto"/>
              </w:rPr>
            </w:pPr>
          </w:p>
        </w:tc>
        <w:tc>
          <w:tcPr>
            <w:tcW w:w="1860" w:type="dxa"/>
            <w:vAlign w:val="bottom"/>
            <w:tcBorders>
              <w:right w:val="single" w:sz="8" w:color="5EB5FC"/>
            </w:tcBorders>
            <w:shd w:val="clear" w:color="auto" w:fill="5EB5FC"/>
          </w:tcPr>
          <w:p>
            <w:pPr>
              <w:spacing w:after="0"/>
              <w:rPr>
                <w:sz w:val="8"/>
                <w:szCs w:val="8"/>
                <w:color w:val="auto"/>
              </w:rPr>
            </w:pPr>
          </w:p>
        </w:tc>
        <w:tc>
          <w:tcPr>
            <w:tcW w:w="1860" w:type="dxa"/>
            <w:vAlign w:val="bottom"/>
            <w:tcBorders>
              <w:right w:val="single" w:sz="8" w:color="5EB5FC"/>
            </w:tcBorders>
            <w:shd w:val="clear" w:color="auto" w:fill="5EB5FC"/>
          </w:tcPr>
          <w:p>
            <w:pPr>
              <w:spacing w:after="0"/>
              <w:rPr>
                <w:sz w:val="8"/>
                <w:szCs w:val="8"/>
                <w:color w:val="auto"/>
              </w:rPr>
            </w:pPr>
          </w:p>
        </w:tc>
        <w:tc>
          <w:tcPr>
            <w:tcW w:w="188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75"/>
        </w:trPr>
        <w:tc>
          <w:tcPr>
            <w:tcW w:w="1680" w:type="dxa"/>
            <w:vAlign w:val="bottom"/>
            <w:tcBorders>
              <w:left w:val="single" w:sz="8" w:color="A0DBF9"/>
              <w:bottom w:val="single" w:sz="8" w:color="E2F4FC"/>
              <w:right w:val="single" w:sz="8" w:color="A0DBF9"/>
            </w:tcBorders>
            <w:shd w:val="clear" w:color="auto" w:fill="E2F4FC"/>
          </w:tcPr>
          <w:p>
            <w:pPr>
              <w:ind w:left="280"/>
              <w:spacing w:after="0"/>
              <w:rPr>
                <w:sz w:val="20"/>
                <w:szCs w:val="20"/>
                <w:color w:val="auto"/>
              </w:rPr>
            </w:pPr>
            <w:r>
              <w:rPr>
                <w:rFonts w:ascii="Arial" w:cs="Arial" w:eastAsia="Arial" w:hAnsi="Arial"/>
                <w:sz w:val="14"/>
                <w:szCs w:val="14"/>
                <w:b w:val="1"/>
                <w:bCs w:val="1"/>
                <w:color w:val="auto"/>
              </w:rPr>
              <w:t>Mary Anne Heino</w:t>
            </w:r>
          </w:p>
        </w:tc>
        <w:tc>
          <w:tcPr>
            <w:tcW w:w="1880" w:type="dxa"/>
            <w:vAlign w:val="bottom"/>
            <w:tcBorders>
              <w:bottom w:val="single" w:sz="8" w:color="E2F4FC"/>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$12,600</w:t>
            </w:r>
          </w:p>
        </w:tc>
        <w:tc>
          <w:tcPr>
            <w:tcW w:w="1880" w:type="dxa"/>
            <w:vAlign w:val="bottom"/>
            <w:tcBorders>
              <w:bottom w:val="single" w:sz="8" w:color="E2F4FC"/>
              <w:right w:val="single" w:sz="8" w:color="A0DBF9"/>
            </w:tcBorders>
            <w:shd w:val="clear" w:color="auto" w:fill="E2F4FC"/>
          </w:tcPr>
          <w:p>
            <w:pPr>
              <w:spacing w:after="0"/>
              <w:rPr>
                <w:sz w:val="23"/>
                <w:szCs w:val="23"/>
                <w:color w:val="auto"/>
              </w:rPr>
            </w:pPr>
          </w:p>
        </w:tc>
        <w:tc>
          <w:tcPr>
            <w:tcW w:w="1860" w:type="dxa"/>
            <w:vAlign w:val="bottom"/>
            <w:tcBorders>
              <w:bottom w:val="single" w:sz="8" w:color="E2F4FC"/>
              <w:right w:val="single" w:sz="8" w:color="A0DBF9"/>
            </w:tcBorders>
            <w:shd w:val="clear" w:color="auto" w:fill="E2F4FC"/>
          </w:tcPr>
          <w:p>
            <w:pPr>
              <w:spacing w:after="0"/>
              <w:rPr>
                <w:sz w:val="23"/>
                <w:szCs w:val="23"/>
                <w:color w:val="auto"/>
              </w:rPr>
            </w:pPr>
          </w:p>
        </w:tc>
        <w:tc>
          <w:tcPr>
            <w:tcW w:w="1860" w:type="dxa"/>
            <w:vAlign w:val="bottom"/>
            <w:tcBorders>
              <w:bottom w:val="single" w:sz="8" w:color="E2F4FC"/>
              <w:right w:val="single" w:sz="8" w:color="A0DBF9"/>
            </w:tcBorders>
            <w:shd w:val="clear" w:color="auto" w:fill="E2F4FC"/>
          </w:tcPr>
          <w:p>
            <w:pPr>
              <w:spacing w:after="0"/>
              <w:rPr>
                <w:sz w:val="23"/>
                <w:szCs w:val="23"/>
                <w:color w:val="auto"/>
              </w:rPr>
            </w:pPr>
          </w:p>
        </w:tc>
        <w:tc>
          <w:tcPr>
            <w:tcW w:w="18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4"/>
              </w:rPr>
              <w:t>$12,600</w:t>
            </w:r>
          </w:p>
        </w:tc>
        <w:tc>
          <w:tcPr>
            <w:tcW w:w="0" w:type="dxa"/>
            <w:vAlign w:val="bottom"/>
          </w:tcPr>
          <w:p>
            <w:pPr>
              <w:spacing w:after="0"/>
              <w:rPr>
                <w:sz w:val="1"/>
                <w:szCs w:val="1"/>
                <w:color w:val="auto"/>
              </w:rPr>
            </w:pPr>
          </w:p>
        </w:tc>
      </w:tr>
      <w:tr>
        <w:trPr>
          <w:trHeight w:val="160"/>
        </w:trPr>
        <w:tc>
          <w:tcPr>
            <w:tcW w:w="1680" w:type="dxa"/>
            <w:vAlign w:val="bottom"/>
            <w:tcBorders>
              <w:top w:val="single" w:sz="8" w:color="A0DBF9"/>
              <w:left w:val="single" w:sz="8" w:color="A0DBF9"/>
              <w:right w:val="single" w:sz="8" w:color="A0DBF9"/>
            </w:tcBorders>
          </w:tcPr>
          <w:p>
            <w:pPr>
              <w:ind w:left="280"/>
              <w:spacing w:after="0" w:line="160" w:lineRule="exact"/>
              <w:rPr>
                <w:sz w:val="20"/>
                <w:szCs w:val="20"/>
                <w:color w:val="auto"/>
              </w:rPr>
            </w:pPr>
            <w:r>
              <w:rPr>
                <w:rFonts w:ascii="Arial" w:cs="Arial" w:eastAsia="Arial" w:hAnsi="Arial"/>
                <w:sz w:val="14"/>
                <w:szCs w:val="14"/>
                <w:b w:val="1"/>
                <w:bCs w:val="1"/>
                <w:color w:val="auto"/>
              </w:rPr>
              <w:t>Robert J. Marshall,</w:t>
            </w:r>
          </w:p>
        </w:tc>
        <w:tc>
          <w:tcPr>
            <w:tcW w:w="1880" w:type="dxa"/>
            <w:vAlign w:val="bottom"/>
            <w:tcBorders>
              <w:top w:val="single" w:sz="8" w:color="A0DBF9"/>
              <w:right w:val="single" w:sz="8" w:color="A0DBF9"/>
            </w:tcBorders>
          </w:tcPr>
          <w:p>
            <w:pPr>
              <w:spacing w:after="0"/>
              <w:rPr>
                <w:sz w:val="13"/>
                <w:szCs w:val="13"/>
                <w:color w:val="auto"/>
              </w:rPr>
            </w:pPr>
          </w:p>
        </w:tc>
        <w:tc>
          <w:tcPr>
            <w:tcW w:w="1880" w:type="dxa"/>
            <w:vAlign w:val="bottom"/>
            <w:tcBorders>
              <w:top w:val="single" w:sz="8" w:color="A0DBF9"/>
              <w:right w:val="single" w:sz="8" w:color="A0DBF9"/>
            </w:tcBorders>
          </w:tcPr>
          <w:p>
            <w:pPr>
              <w:spacing w:after="0"/>
              <w:rPr>
                <w:sz w:val="13"/>
                <w:szCs w:val="13"/>
                <w:color w:val="auto"/>
              </w:rPr>
            </w:pPr>
          </w:p>
        </w:tc>
        <w:tc>
          <w:tcPr>
            <w:tcW w:w="1860" w:type="dxa"/>
            <w:vAlign w:val="bottom"/>
            <w:tcBorders>
              <w:top w:val="single" w:sz="8" w:color="A0DBF9"/>
              <w:right w:val="single" w:sz="8" w:color="A0DBF9"/>
            </w:tcBorders>
          </w:tcPr>
          <w:p>
            <w:pPr>
              <w:spacing w:after="0"/>
              <w:rPr>
                <w:sz w:val="13"/>
                <w:szCs w:val="13"/>
                <w:color w:val="auto"/>
              </w:rPr>
            </w:pPr>
          </w:p>
        </w:tc>
        <w:tc>
          <w:tcPr>
            <w:tcW w:w="1860" w:type="dxa"/>
            <w:vAlign w:val="bottom"/>
            <w:tcBorders>
              <w:top w:val="single" w:sz="8" w:color="A0DBF9"/>
              <w:right w:val="single" w:sz="8" w:color="A0DBF9"/>
            </w:tcBorders>
          </w:tcPr>
          <w:p>
            <w:pPr>
              <w:spacing w:after="0"/>
              <w:rPr>
                <w:sz w:val="13"/>
                <w:szCs w:val="13"/>
                <w:color w:val="auto"/>
              </w:rPr>
            </w:pPr>
          </w:p>
        </w:tc>
        <w:tc>
          <w:tcPr>
            <w:tcW w:w="1880" w:type="dxa"/>
            <w:vAlign w:val="bottom"/>
            <w:tcBorders>
              <w:top w:val="single" w:sz="8" w:color="A0DBF9"/>
              <w:right w:val="single" w:sz="8" w:color="A0DBF9"/>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80" w:type="dxa"/>
            <w:vAlign w:val="bottom"/>
            <w:tcBorders>
              <w:left w:val="single" w:sz="8" w:color="A0DBF9"/>
              <w:right w:val="single" w:sz="8" w:color="A0DBF9"/>
            </w:tcBorders>
          </w:tcPr>
          <w:p>
            <w:pPr>
              <w:ind w:left="420"/>
              <w:spacing w:after="0"/>
              <w:rPr>
                <w:sz w:val="20"/>
                <w:szCs w:val="20"/>
                <w:color w:val="auto"/>
              </w:rPr>
            </w:pPr>
            <w:r>
              <w:rPr>
                <w:rFonts w:ascii="Arial" w:cs="Arial" w:eastAsia="Arial" w:hAnsi="Arial"/>
                <w:sz w:val="14"/>
                <w:szCs w:val="14"/>
                <w:b w:val="1"/>
                <w:bCs w:val="1"/>
                <w:color w:val="auto"/>
              </w:rPr>
              <w:t>Jr.</w:t>
            </w:r>
          </w:p>
        </w:tc>
        <w:tc>
          <w:tcPr>
            <w:tcW w:w="1880" w:type="dxa"/>
            <w:vAlign w:val="bottom"/>
            <w:tcBorders>
              <w:right w:val="single" w:sz="8" w:color="A0DBF9"/>
            </w:tcBorders>
          </w:tcPr>
          <w:p>
            <w:pPr>
              <w:spacing w:after="0"/>
              <w:rPr>
                <w:sz w:val="16"/>
                <w:szCs w:val="16"/>
                <w:color w:val="auto"/>
              </w:rPr>
            </w:pPr>
          </w:p>
        </w:tc>
        <w:tc>
          <w:tcPr>
            <w:tcW w:w="1880" w:type="dxa"/>
            <w:vAlign w:val="bottom"/>
            <w:tcBorders>
              <w:right w:val="single" w:sz="8" w:color="A0DBF9"/>
            </w:tcBorders>
          </w:tcPr>
          <w:p>
            <w:pPr>
              <w:jc w:val="center"/>
              <w:ind w:left="28"/>
              <w:spacing w:after="0"/>
              <w:rPr>
                <w:sz w:val="20"/>
                <w:szCs w:val="20"/>
                <w:color w:val="auto"/>
              </w:rPr>
            </w:pPr>
            <w:r>
              <w:rPr>
                <w:rFonts w:ascii="Arial" w:cs="Arial" w:eastAsia="Arial" w:hAnsi="Arial"/>
                <w:sz w:val="14"/>
                <w:szCs w:val="14"/>
                <w:color w:val="auto"/>
                <w:w w:val="97"/>
              </w:rPr>
              <w:t>$134,591*</w:t>
            </w:r>
          </w:p>
        </w:tc>
        <w:tc>
          <w:tcPr>
            <w:tcW w:w="1860" w:type="dxa"/>
            <w:vAlign w:val="bottom"/>
            <w:tcBorders>
              <w:right w:val="single" w:sz="8" w:color="A0DBF9"/>
            </w:tcBorders>
          </w:tcPr>
          <w:p>
            <w:pPr>
              <w:spacing w:after="0"/>
              <w:rPr>
                <w:sz w:val="16"/>
                <w:szCs w:val="16"/>
                <w:color w:val="auto"/>
              </w:rPr>
            </w:pPr>
          </w:p>
        </w:tc>
        <w:tc>
          <w:tcPr>
            <w:tcW w:w="1860" w:type="dxa"/>
            <w:vAlign w:val="bottom"/>
            <w:tcBorders>
              <w:right w:val="single" w:sz="8" w:color="A0DBF9"/>
            </w:tcBorders>
          </w:tcPr>
          <w:p>
            <w:pPr>
              <w:spacing w:after="0"/>
              <w:rPr>
                <w:sz w:val="16"/>
                <w:szCs w:val="16"/>
                <w:color w:val="auto"/>
              </w:rPr>
            </w:pPr>
          </w:p>
        </w:tc>
        <w:tc>
          <w:tcPr>
            <w:tcW w:w="18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$134,591</w:t>
            </w:r>
          </w:p>
        </w:tc>
        <w:tc>
          <w:tcPr>
            <w:tcW w:w="0" w:type="dxa"/>
            <w:vAlign w:val="bottom"/>
          </w:tcPr>
          <w:p>
            <w:pPr>
              <w:spacing w:after="0"/>
              <w:rPr>
                <w:sz w:val="1"/>
                <w:szCs w:val="1"/>
                <w:color w:val="auto"/>
              </w:rPr>
            </w:pPr>
          </w:p>
        </w:tc>
      </w:tr>
      <w:tr>
        <w:trPr>
          <w:trHeight w:val="52"/>
        </w:trPr>
        <w:tc>
          <w:tcPr>
            <w:tcW w:w="1680" w:type="dxa"/>
            <w:vAlign w:val="bottom"/>
            <w:tcBorders>
              <w:left w:val="single" w:sz="8" w:color="A0DBF9"/>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r>
        <w:trPr>
          <w:trHeight w:val="255"/>
        </w:trPr>
        <w:tc>
          <w:tcPr>
            <w:tcW w:w="1680" w:type="dxa"/>
            <w:vAlign w:val="bottom"/>
            <w:tcBorders>
              <w:left w:val="single" w:sz="8" w:color="A0DBF9"/>
              <w:bottom w:val="single" w:sz="8" w:color="E2F4FC"/>
              <w:right w:val="single" w:sz="8" w:color="A0DBF9"/>
            </w:tcBorders>
            <w:shd w:val="clear" w:color="auto" w:fill="E2F4FC"/>
          </w:tcPr>
          <w:p>
            <w:pPr>
              <w:ind w:left="280"/>
              <w:spacing w:after="0"/>
              <w:rPr>
                <w:sz w:val="20"/>
                <w:szCs w:val="20"/>
                <w:color w:val="auto"/>
              </w:rPr>
            </w:pPr>
            <w:r>
              <w:rPr>
                <w:rFonts w:ascii="Arial" w:cs="Arial" w:eastAsia="Arial" w:hAnsi="Arial"/>
                <w:sz w:val="14"/>
                <w:szCs w:val="14"/>
                <w:b w:val="1"/>
                <w:bCs w:val="1"/>
                <w:color w:val="auto"/>
              </w:rPr>
              <w:t>John Bolla</w:t>
            </w:r>
          </w:p>
        </w:tc>
        <w:tc>
          <w:tcPr>
            <w:tcW w:w="1880" w:type="dxa"/>
            <w:vAlign w:val="bottom"/>
            <w:tcBorders>
              <w:bottom w:val="single" w:sz="8" w:color="E2F4FC"/>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$12,600</w:t>
            </w:r>
          </w:p>
        </w:tc>
        <w:tc>
          <w:tcPr>
            <w:tcW w:w="1880" w:type="dxa"/>
            <w:vAlign w:val="bottom"/>
            <w:tcBorders>
              <w:bottom w:val="single" w:sz="8" w:color="E2F4FC"/>
              <w:right w:val="single" w:sz="8" w:color="A0DBF9"/>
            </w:tcBorders>
            <w:shd w:val="clear" w:color="auto" w:fill="E2F4FC"/>
          </w:tcPr>
          <w:p>
            <w:pPr>
              <w:spacing w:after="0"/>
              <w:rPr>
                <w:sz w:val="21"/>
                <w:szCs w:val="21"/>
                <w:color w:val="auto"/>
              </w:rPr>
            </w:pPr>
          </w:p>
        </w:tc>
        <w:tc>
          <w:tcPr>
            <w:tcW w:w="1860" w:type="dxa"/>
            <w:vAlign w:val="bottom"/>
            <w:tcBorders>
              <w:bottom w:val="single" w:sz="8" w:color="E2F4FC"/>
              <w:right w:val="single" w:sz="8" w:color="A0DBF9"/>
            </w:tcBorders>
            <w:shd w:val="clear" w:color="auto" w:fill="E2F4FC"/>
          </w:tcPr>
          <w:p>
            <w:pPr>
              <w:spacing w:after="0"/>
              <w:rPr>
                <w:sz w:val="21"/>
                <w:szCs w:val="21"/>
                <w:color w:val="auto"/>
              </w:rPr>
            </w:pPr>
          </w:p>
        </w:tc>
        <w:tc>
          <w:tcPr>
            <w:tcW w:w="1860" w:type="dxa"/>
            <w:vAlign w:val="bottom"/>
            <w:tcBorders>
              <w:bottom w:val="single" w:sz="8" w:color="E2F4FC"/>
              <w:right w:val="single" w:sz="8" w:color="A0DBF9"/>
            </w:tcBorders>
            <w:shd w:val="clear" w:color="auto" w:fill="E2F4FC"/>
          </w:tcPr>
          <w:p>
            <w:pPr>
              <w:spacing w:after="0"/>
              <w:rPr>
                <w:sz w:val="21"/>
                <w:szCs w:val="21"/>
                <w:color w:val="auto"/>
              </w:rPr>
            </w:pPr>
          </w:p>
        </w:tc>
        <w:tc>
          <w:tcPr>
            <w:tcW w:w="18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4"/>
              </w:rPr>
              <w:t>$12,600</w:t>
            </w:r>
          </w:p>
        </w:tc>
        <w:tc>
          <w:tcPr>
            <w:tcW w:w="0" w:type="dxa"/>
            <w:vAlign w:val="bottom"/>
          </w:tcPr>
          <w:p>
            <w:pPr>
              <w:spacing w:after="0"/>
              <w:rPr>
                <w:sz w:val="1"/>
                <w:szCs w:val="1"/>
                <w:color w:val="auto"/>
              </w:rPr>
            </w:pPr>
          </w:p>
        </w:tc>
      </w:tr>
      <w:tr>
        <w:trPr>
          <w:trHeight w:val="198"/>
        </w:trPr>
        <w:tc>
          <w:tcPr>
            <w:tcW w:w="1680" w:type="dxa"/>
            <w:vAlign w:val="bottom"/>
            <w:tcBorders>
              <w:top w:val="single" w:sz="8" w:color="A0DBF9"/>
              <w:left w:val="single" w:sz="8" w:color="A0DBF9"/>
              <w:right w:val="single" w:sz="8" w:color="A0DBF9"/>
            </w:tcBorders>
          </w:tcPr>
          <w:p>
            <w:pPr>
              <w:ind w:left="280"/>
              <w:spacing w:after="0"/>
              <w:rPr>
                <w:sz w:val="20"/>
                <w:szCs w:val="20"/>
                <w:color w:val="auto"/>
              </w:rPr>
            </w:pPr>
            <w:r>
              <w:rPr>
                <w:rFonts w:ascii="Arial" w:cs="Arial" w:eastAsia="Arial" w:hAnsi="Arial"/>
                <w:sz w:val="14"/>
                <w:szCs w:val="14"/>
                <w:b w:val="1"/>
                <w:bCs w:val="1"/>
                <w:color w:val="auto"/>
              </w:rPr>
              <w:t>Michael P. Duffy</w:t>
            </w:r>
          </w:p>
        </w:tc>
        <w:tc>
          <w:tcPr>
            <w:tcW w:w="1880" w:type="dxa"/>
            <w:vAlign w:val="bottom"/>
            <w:tcBorders>
              <w:top w:val="single" w:sz="8" w:color="A0DBF9"/>
              <w:right w:val="single" w:sz="8" w:color="A0DBF9"/>
            </w:tcBorders>
          </w:tcPr>
          <w:p>
            <w:pPr>
              <w:jc w:val="center"/>
              <w:ind w:left="8"/>
              <w:spacing w:after="0"/>
              <w:rPr>
                <w:sz w:val="20"/>
                <w:szCs w:val="20"/>
                <w:color w:val="auto"/>
              </w:rPr>
            </w:pPr>
            <w:r>
              <w:rPr>
                <w:rFonts w:ascii="Arial" w:cs="Arial" w:eastAsia="Arial" w:hAnsi="Arial"/>
                <w:sz w:val="14"/>
                <w:szCs w:val="14"/>
                <w:color w:val="auto"/>
                <w:w w:val="94"/>
              </w:rPr>
              <w:t>$12,600</w:t>
            </w:r>
          </w:p>
        </w:tc>
        <w:tc>
          <w:tcPr>
            <w:tcW w:w="1880" w:type="dxa"/>
            <w:vAlign w:val="bottom"/>
            <w:tcBorders>
              <w:top w:val="single" w:sz="8" w:color="A0DBF9"/>
              <w:right w:val="single" w:sz="8" w:color="A0DBF9"/>
            </w:tcBorders>
          </w:tcPr>
          <w:p>
            <w:pPr>
              <w:spacing w:after="0"/>
              <w:rPr>
                <w:sz w:val="17"/>
                <w:szCs w:val="17"/>
                <w:color w:val="auto"/>
              </w:rPr>
            </w:pPr>
          </w:p>
        </w:tc>
        <w:tc>
          <w:tcPr>
            <w:tcW w:w="1860" w:type="dxa"/>
            <w:vAlign w:val="bottom"/>
            <w:tcBorders>
              <w:top w:val="single" w:sz="8" w:color="A0DBF9"/>
              <w:right w:val="single" w:sz="8" w:color="A0DBF9"/>
            </w:tcBorders>
          </w:tcPr>
          <w:p>
            <w:pPr>
              <w:spacing w:after="0"/>
              <w:rPr>
                <w:sz w:val="17"/>
                <w:szCs w:val="17"/>
                <w:color w:val="auto"/>
              </w:rPr>
            </w:pPr>
          </w:p>
        </w:tc>
        <w:tc>
          <w:tcPr>
            <w:tcW w:w="1860" w:type="dxa"/>
            <w:vAlign w:val="bottom"/>
            <w:tcBorders>
              <w:top w:val="single" w:sz="8" w:color="A0DBF9"/>
              <w:right w:val="single" w:sz="8" w:color="A0DBF9"/>
            </w:tcBorders>
          </w:tcPr>
          <w:p>
            <w:pPr>
              <w:spacing w:after="0"/>
              <w:rPr>
                <w:sz w:val="17"/>
                <w:szCs w:val="17"/>
                <w:color w:val="auto"/>
              </w:rPr>
            </w:pPr>
          </w:p>
        </w:tc>
        <w:tc>
          <w:tcPr>
            <w:tcW w:w="188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4"/>
                <w:szCs w:val="14"/>
                <w:color w:val="auto"/>
                <w:w w:val="94"/>
              </w:rPr>
              <w:t>$12,600</w:t>
            </w:r>
          </w:p>
        </w:tc>
        <w:tc>
          <w:tcPr>
            <w:tcW w:w="0" w:type="dxa"/>
            <w:vAlign w:val="bottom"/>
          </w:tcPr>
          <w:p>
            <w:pPr>
              <w:spacing w:after="0"/>
              <w:rPr>
                <w:sz w:val="1"/>
                <w:szCs w:val="1"/>
                <w:color w:val="auto"/>
              </w:rPr>
            </w:pPr>
          </w:p>
        </w:tc>
      </w:tr>
      <w:tr>
        <w:trPr>
          <w:trHeight w:val="53"/>
        </w:trPr>
        <w:tc>
          <w:tcPr>
            <w:tcW w:w="1680" w:type="dxa"/>
            <w:vAlign w:val="bottom"/>
            <w:tcBorders>
              <w:left w:val="single" w:sz="8" w:color="A0DBF9"/>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r>
        <w:trPr>
          <w:trHeight w:val="160"/>
        </w:trPr>
        <w:tc>
          <w:tcPr>
            <w:tcW w:w="1680" w:type="dxa"/>
            <w:vAlign w:val="bottom"/>
            <w:tcBorders>
              <w:left w:val="single" w:sz="8" w:color="A0DBF9"/>
              <w:right w:val="single" w:sz="8" w:color="A0DBF9"/>
            </w:tcBorders>
            <w:shd w:val="clear" w:color="auto" w:fill="E2F4FC"/>
          </w:tcPr>
          <w:p>
            <w:pPr>
              <w:ind w:left="280"/>
              <w:spacing w:after="0" w:line="160" w:lineRule="exact"/>
              <w:rPr>
                <w:sz w:val="20"/>
                <w:szCs w:val="20"/>
                <w:color w:val="auto"/>
              </w:rPr>
            </w:pPr>
            <w:r>
              <w:rPr>
                <w:rFonts w:ascii="Arial" w:cs="Arial" w:eastAsia="Arial" w:hAnsi="Arial"/>
                <w:sz w:val="14"/>
                <w:szCs w:val="14"/>
                <w:b w:val="1"/>
                <w:bCs w:val="1"/>
                <w:color w:val="auto"/>
              </w:rPr>
              <w:t>Simon Robinson,</w:t>
            </w:r>
          </w:p>
        </w:tc>
        <w:tc>
          <w:tcPr>
            <w:tcW w:w="1880" w:type="dxa"/>
            <w:vAlign w:val="bottom"/>
            <w:tcBorders>
              <w:right w:val="single" w:sz="8" w:color="A0DBF9"/>
            </w:tcBorders>
            <w:shd w:val="clear" w:color="auto" w:fill="E2F4FC"/>
          </w:tcPr>
          <w:p>
            <w:pPr>
              <w:spacing w:after="0"/>
              <w:rPr>
                <w:sz w:val="13"/>
                <w:szCs w:val="13"/>
                <w:color w:val="auto"/>
              </w:rPr>
            </w:pPr>
          </w:p>
        </w:tc>
        <w:tc>
          <w:tcPr>
            <w:tcW w:w="1880" w:type="dxa"/>
            <w:vAlign w:val="bottom"/>
            <w:tcBorders>
              <w:right w:val="single" w:sz="8" w:color="A0DBF9"/>
            </w:tcBorders>
            <w:shd w:val="clear" w:color="auto" w:fill="E2F4FC"/>
          </w:tcPr>
          <w:p>
            <w:pPr>
              <w:spacing w:after="0"/>
              <w:rPr>
                <w:sz w:val="13"/>
                <w:szCs w:val="13"/>
                <w:color w:val="auto"/>
              </w:rPr>
            </w:pPr>
          </w:p>
        </w:tc>
        <w:tc>
          <w:tcPr>
            <w:tcW w:w="1860" w:type="dxa"/>
            <w:vAlign w:val="bottom"/>
            <w:tcBorders>
              <w:right w:val="single" w:sz="8" w:color="A0DBF9"/>
            </w:tcBorders>
            <w:shd w:val="clear" w:color="auto" w:fill="E2F4FC"/>
          </w:tcPr>
          <w:p>
            <w:pPr>
              <w:spacing w:after="0"/>
              <w:rPr>
                <w:sz w:val="13"/>
                <w:szCs w:val="13"/>
                <w:color w:val="auto"/>
              </w:rPr>
            </w:pPr>
          </w:p>
        </w:tc>
        <w:tc>
          <w:tcPr>
            <w:tcW w:w="1860" w:type="dxa"/>
            <w:vAlign w:val="bottom"/>
            <w:tcBorders>
              <w:right w:val="single" w:sz="8" w:color="A0DBF9"/>
            </w:tcBorders>
            <w:shd w:val="clear" w:color="auto" w:fill="E2F4FC"/>
          </w:tcPr>
          <w:p>
            <w:pPr>
              <w:spacing w:after="0"/>
              <w:rPr>
                <w:sz w:val="13"/>
                <w:szCs w:val="13"/>
                <w:color w:val="auto"/>
              </w:rPr>
            </w:pPr>
          </w:p>
        </w:tc>
        <w:tc>
          <w:tcPr>
            <w:tcW w:w="1880" w:type="dxa"/>
            <w:vAlign w:val="bottom"/>
            <w:tcBorders>
              <w:right w:val="single" w:sz="8" w:color="A0DBF9"/>
            </w:tcBorders>
            <w:shd w:val="clear" w:color="auto" w:fill="E2F4FC"/>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80" w:type="dxa"/>
            <w:vAlign w:val="bottom"/>
            <w:tcBorders>
              <w:left w:val="single" w:sz="8" w:color="A0DBF9"/>
              <w:bottom w:val="single" w:sz="8" w:color="E2F4FC"/>
              <w:right w:val="single" w:sz="8" w:color="A0DBF9"/>
            </w:tcBorders>
            <w:shd w:val="clear" w:color="auto" w:fill="E2F4FC"/>
          </w:tcPr>
          <w:p>
            <w:pPr>
              <w:ind w:left="420"/>
              <w:spacing w:after="0"/>
              <w:rPr>
                <w:sz w:val="20"/>
                <w:szCs w:val="20"/>
                <w:color w:val="auto"/>
              </w:rPr>
            </w:pPr>
            <w:r>
              <w:rPr>
                <w:rFonts w:ascii="Arial" w:cs="Arial" w:eastAsia="Arial" w:hAnsi="Arial"/>
                <w:sz w:val="14"/>
                <w:szCs w:val="14"/>
                <w:b w:val="1"/>
                <w:bCs w:val="1"/>
                <w:color w:val="auto"/>
              </w:rPr>
              <w:t>Ph.D.</w:t>
            </w:r>
          </w:p>
        </w:tc>
        <w:tc>
          <w:tcPr>
            <w:tcW w:w="1880" w:type="dxa"/>
            <w:vAlign w:val="bottom"/>
            <w:tcBorders>
              <w:bottom w:val="single" w:sz="8" w:color="E2F4FC"/>
              <w:right w:val="single" w:sz="8" w:color="A0DBF9"/>
            </w:tcBorders>
            <w:shd w:val="clear" w:color="auto" w:fill="E2F4FC"/>
          </w:tcPr>
          <w:p>
            <w:pPr>
              <w:jc w:val="center"/>
              <w:ind w:left="8"/>
              <w:spacing w:after="0"/>
              <w:rPr>
                <w:sz w:val="20"/>
                <w:szCs w:val="20"/>
                <w:color w:val="auto"/>
              </w:rPr>
            </w:pPr>
            <w:r>
              <w:rPr>
                <w:rFonts w:ascii="Arial" w:cs="Arial" w:eastAsia="Arial" w:hAnsi="Arial"/>
                <w:sz w:val="14"/>
                <w:szCs w:val="14"/>
                <w:color w:val="auto"/>
                <w:w w:val="94"/>
              </w:rPr>
              <w:t>$12,600</w:t>
            </w:r>
          </w:p>
        </w:tc>
        <w:tc>
          <w:tcPr>
            <w:tcW w:w="1880" w:type="dxa"/>
            <w:vAlign w:val="bottom"/>
            <w:tcBorders>
              <w:bottom w:val="single" w:sz="8" w:color="E2F4FC"/>
              <w:right w:val="single" w:sz="8" w:color="A0DBF9"/>
            </w:tcBorders>
            <w:shd w:val="clear" w:color="auto" w:fill="E2F4FC"/>
          </w:tcPr>
          <w:p>
            <w:pPr>
              <w:spacing w:after="0"/>
              <w:rPr>
                <w:sz w:val="20"/>
                <w:szCs w:val="20"/>
                <w:color w:val="auto"/>
              </w:rPr>
            </w:pPr>
          </w:p>
        </w:tc>
        <w:tc>
          <w:tcPr>
            <w:tcW w:w="1860" w:type="dxa"/>
            <w:vAlign w:val="bottom"/>
            <w:tcBorders>
              <w:bottom w:val="single" w:sz="8" w:color="E2F4FC"/>
              <w:right w:val="single" w:sz="8" w:color="A0DBF9"/>
            </w:tcBorders>
            <w:shd w:val="clear" w:color="auto" w:fill="E2F4FC"/>
          </w:tcPr>
          <w:p>
            <w:pPr>
              <w:spacing w:after="0"/>
              <w:rPr>
                <w:sz w:val="20"/>
                <w:szCs w:val="20"/>
                <w:color w:val="auto"/>
              </w:rPr>
            </w:pPr>
          </w:p>
        </w:tc>
        <w:tc>
          <w:tcPr>
            <w:tcW w:w="1860" w:type="dxa"/>
            <w:vAlign w:val="bottom"/>
            <w:tcBorders>
              <w:bottom w:val="single" w:sz="8" w:color="E2F4FC"/>
              <w:right w:val="single" w:sz="8" w:color="A0DBF9"/>
            </w:tcBorders>
            <w:shd w:val="clear" w:color="auto" w:fill="E2F4FC"/>
          </w:tcPr>
          <w:p>
            <w:pPr>
              <w:spacing w:after="0"/>
              <w:rPr>
                <w:sz w:val="20"/>
                <w:szCs w:val="20"/>
                <w:color w:val="auto"/>
              </w:rPr>
            </w:pPr>
          </w:p>
        </w:tc>
        <w:tc>
          <w:tcPr>
            <w:tcW w:w="18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4"/>
                <w:szCs w:val="14"/>
                <w:color w:val="auto"/>
                <w:w w:val="94"/>
              </w:rPr>
              <w:t>$12,600</w:t>
            </w:r>
          </w:p>
        </w:tc>
        <w:tc>
          <w:tcPr>
            <w:tcW w:w="0" w:type="dxa"/>
            <w:vAlign w:val="bottom"/>
          </w:tcPr>
          <w:p>
            <w:pPr>
              <w:spacing w:after="0"/>
              <w:rPr>
                <w:sz w:val="1"/>
                <w:szCs w:val="1"/>
                <w:color w:val="auto"/>
              </w:rPr>
            </w:pPr>
          </w:p>
        </w:tc>
      </w:tr>
      <w:tr>
        <w:trPr>
          <w:trHeight w:val="160"/>
        </w:trPr>
        <w:tc>
          <w:tcPr>
            <w:tcW w:w="1680" w:type="dxa"/>
            <w:vAlign w:val="bottom"/>
            <w:tcBorders>
              <w:top w:val="single" w:sz="8" w:color="A0DBF9"/>
              <w:left w:val="single" w:sz="8" w:color="A0DBF9"/>
              <w:right w:val="single" w:sz="8" w:color="A0DBF9"/>
            </w:tcBorders>
          </w:tcPr>
          <w:p>
            <w:pPr>
              <w:ind w:left="280"/>
              <w:spacing w:after="0" w:line="160" w:lineRule="exact"/>
              <w:rPr>
                <w:sz w:val="20"/>
                <w:szCs w:val="20"/>
                <w:color w:val="auto"/>
              </w:rPr>
            </w:pPr>
            <w:r>
              <w:rPr>
                <w:rFonts w:ascii="Arial" w:cs="Arial" w:eastAsia="Arial" w:hAnsi="Arial"/>
                <w:sz w:val="14"/>
                <w:szCs w:val="14"/>
                <w:b w:val="1"/>
                <w:bCs w:val="1"/>
                <w:color w:val="auto"/>
              </w:rPr>
              <w:t>Cesare Orlandi,</w:t>
            </w:r>
          </w:p>
        </w:tc>
        <w:tc>
          <w:tcPr>
            <w:tcW w:w="1880" w:type="dxa"/>
            <w:vAlign w:val="bottom"/>
            <w:tcBorders>
              <w:top w:val="single" w:sz="8" w:color="A0DBF9"/>
              <w:right w:val="single" w:sz="8" w:color="A0DBF9"/>
            </w:tcBorders>
          </w:tcPr>
          <w:p>
            <w:pPr>
              <w:spacing w:after="0"/>
              <w:rPr>
                <w:sz w:val="13"/>
                <w:szCs w:val="13"/>
                <w:color w:val="auto"/>
              </w:rPr>
            </w:pPr>
          </w:p>
        </w:tc>
        <w:tc>
          <w:tcPr>
            <w:tcW w:w="1880" w:type="dxa"/>
            <w:vAlign w:val="bottom"/>
            <w:tcBorders>
              <w:top w:val="single" w:sz="8" w:color="A0DBF9"/>
              <w:right w:val="single" w:sz="8" w:color="A0DBF9"/>
            </w:tcBorders>
          </w:tcPr>
          <w:p>
            <w:pPr>
              <w:spacing w:after="0"/>
              <w:rPr>
                <w:sz w:val="13"/>
                <w:szCs w:val="13"/>
                <w:color w:val="auto"/>
              </w:rPr>
            </w:pPr>
          </w:p>
        </w:tc>
        <w:tc>
          <w:tcPr>
            <w:tcW w:w="1860" w:type="dxa"/>
            <w:vAlign w:val="bottom"/>
            <w:tcBorders>
              <w:top w:val="single" w:sz="8" w:color="A0DBF9"/>
              <w:right w:val="single" w:sz="8" w:color="A0DBF9"/>
            </w:tcBorders>
          </w:tcPr>
          <w:p>
            <w:pPr>
              <w:spacing w:after="0"/>
              <w:rPr>
                <w:sz w:val="13"/>
                <w:szCs w:val="13"/>
                <w:color w:val="auto"/>
              </w:rPr>
            </w:pPr>
          </w:p>
        </w:tc>
        <w:tc>
          <w:tcPr>
            <w:tcW w:w="1860" w:type="dxa"/>
            <w:vAlign w:val="bottom"/>
            <w:tcBorders>
              <w:top w:val="single" w:sz="8" w:color="A0DBF9"/>
              <w:right w:val="single" w:sz="8" w:color="A0DBF9"/>
            </w:tcBorders>
          </w:tcPr>
          <w:p>
            <w:pPr>
              <w:spacing w:after="0"/>
              <w:rPr>
                <w:sz w:val="13"/>
                <w:szCs w:val="13"/>
                <w:color w:val="auto"/>
              </w:rPr>
            </w:pPr>
          </w:p>
        </w:tc>
        <w:tc>
          <w:tcPr>
            <w:tcW w:w="1880" w:type="dxa"/>
            <w:vAlign w:val="bottom"/>
            <w:tcBorders>
              <w:top w:val="single" w:sz="8" w:color="A0DBF9"/>
              <w:right w:val="single" w:sz="8" w:color="A0DBF9"/>
            </w:tcBorders>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1680" w:type="dxa"/>
            <w:vAlign w:val="bottom"/>
            <w:tcBorders>
              <w:left w:val="single" w:sz="8" w:color="A0DBF9"/>
              <w:right w:val="single" w:sz="8" w:color="A0DBF9"/>
            </w:tcBorders>
          </w:tcPr>
          <w:p>
            <w:pPr>
              <w:ind w:left="420"/>
              <w:spacing w:after="0"/>
              <w:rPr>
                <w:sz w:val="20"/>
                <w:szCs w:val="20"/>
                <w:color w:val="auto"/>
              </w:rPr>
            </w:pPr>
            <w:r>
              <w:rPr>
                <w:rFonts w:ascii="Arial" w:cs="Arial" w:eastAsia="Arial" w:hAnsi="Arial"/>
                <w:sz w:val="14"/>
                <w:szCs w:val="14"/>
                <w:b w:val="1"/>
                <w:bCs w:val="1"/>
                <w:color w:val="auto"/>
              </w:rPr>
              <w:t>M.D.**</w:t>
            </w:r>
          </w:p>
        </w:tc>
        <w:tc>
          <w:tcPr>
            <w:tcW w:w="188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4"/>
              </w:rPr>
              <w:t>$12,600</w:t>
            </w:r>
          </w:p>
        </w:tc>
        <w:tc>
          <w:tcPr>
            <w:tcW w:w="1880" w:type="dxa"/>
            <w:vAlign w:val="bottom"/>
            <w:tcBorders>
              <w:right w:val="single" w:sz="8" w:color="A0DBF9"/>
            </w:tcBorders>
          </w:tcPr>
          <w:p>
            <w:pPr>
              <w:spacing w:after="0"/>
              <w:rPr>
                <w:sz w:val="16"/>
                <w:szCs w:val="16"/>
                <w:color w:val="auto"/>
              </w:rPr>
            </w:pPr>
          </w:p>
        </w:tc>
        <w:tc>
          <w:tcPr>
            <w:tcW w:w="1860" w:type="dxa"/>
            <w:vAlign w:val="bottom"/>
            <w:tcBorders>
              <w:right w:val="single" w:sz="8" w:color="A0DBF9"/>
            </w:tcBorders>
          </w:tcPr>
          <w:p>
            <w:pPr>
              <w:jc w:val="center"/>
              <w:ind w:left="8"/>
              <w:spacing w:after="0"/>
              <w:rPr>
                <w:sz w:val="20"/>
                <w:szCs w:val="20"/>
                <w:color w:val="auto"/>
              </w:rPr>
            </w:pPr>
            <w:r>
              <w:rPr>
                <w:rFonts w:ascii="Arial" w:cs="Arial" w:eastAsia="Arial" w:hAnsi="Arial"/>
                <w:sz w:val="14"/>
                <w:szCs w:val="14"/>
                <w:color w:val="auto"/>
                <w:w w:val="92"/>
              </w:rPr>
              <w:t>$229,161</w:t>
            </w:r>
          </w:p>
        </w:tc>
        <w:tc>
          <w:tcPr>
            <w:tcW w:w="1860" w:type="dxa"/>
            <w:vAlign w:val="bottom"/>
            <w:tcBorders>
              <w:right w:val="single" w:sz="8" w:color="A0DBF9"/>
            </w:tcBorders>
          </w:tcPr>
          <w:p>
            <w:pPr>
              <w:jc w:val="right"/>
              <w:ind w:right="588"/>
              <w:spacing w:after="0"/>
              <w:rPr>
                <w:sz w:val="20"/>
                <w:szCs w:val="20"/>
                <w:color w:val="auto"/>
              </w:rPr>
            </w:pPr>
            <w:r>
              <w:rPr>
                <w:rFonts w:ascii="Arial" w:cs="Arial" w:eastAsia="Arial" w:hAnsi="Arial"/>
                <w:sz w:val="14"/>
                <w:szCs w:val="14"/>
                <w:color w:val="auto"/>
              </w:rPr>
              <w:t>$75,736</w:t>
            </w:r>
          </w:p>
        </w:tc>
        <w:tc>
          <w:tcPr>
            <w:tcW w:w="1880" w:type="dxa"/>
            <w:vAlign w:val="bottom"/>
            <w:tcBorders>
              <w:right w:val="single" w:sz="8" w:color="A0DBF9"/>
            </w:tcBorders>
          </w:tcPr>
          <w:p>
            <w:pPr>
              <w:jc w:val="center"/>
              <w:spacing w:after="0"/>
              <w:rPr>
                <w:sz w:val="20"/>
                <w:szCs w:val="20"/>
                <w:color w:val="auto"/>
              </w:rPr>
            </w:pPr>
            <w:r>
              <w:rPr>
                <w:rFonts w:ascii="Arial" w:cs="Arial" w:eastAsia="Arial" w:hAnsi="Arial"/>
                <w:sz w:val="14"/>
                <w:szCs w:val="14"/>
                <w:color w:val="auto"/>
                <w:w w:val="92"/>
              </w:rPr>
              <w:t>$317,497</w:t>
            </w:r>
          </w:p>
        </w:tc>
        <w:tc>
          <w:tcPr>
            <w:tcW w:w="0" w:type="dxa"/>
            <w:vAlign w:val="bottom"/>
          </w:tcPr>
          <w:p>
            <w:pPr>
              <w:spacing w:after="0"/>
              <w:rPr>
                <w:sz w:val="1"/>
                <w:szCs w:val="1"/>
                <w:color w:val="auto"/>
              </w:rPr>
            </w:pPr>
          </w:p>
        </w:tc>
      </w:tr>
      <w:tr>
        <w:trPr>
          <w:trHeight w:val="53"/>
        </w:trPr>
        <w:tc>
          <w:tcPr>
            <w:tcW w:w="1680" w:type="dxa"/>
            <w:vAlign w:val="bottom"/>
            <w:tcBorders>
              <w:left w:val="single" w:sz="8" w:color="A0DBF9"/>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60" w:type="dxa"/>
            <w:vAlign w:val="bottom"/>
            <w:tcBorders>
              <w:bottom w:val="single" w:sz="8" w:color="A0DBF9"/>
              <w:right w:val="single" w:sz="8" w:color="A0DBF9"/>
            </w:tcBorders>
          </w:tcPr>
          <w:p>
            <w:pPr>
              <w:spacing w:after="0"/>
              <w:rPr>
                <w:sz w:val="4"/>
                <w:szCs w:val="4"/>
                <w:color w:val="auto"/>
              </w:rPr>
            </w:pPr>
          </w:p>
        </w:tc>
        <w:tc>
          <w:tcPr>
            <w:tcW w:w="1880" w:type="dxa"/>
            <w:vAlign w:val="bottom"/>
            <w:tcBorders>
              <w:bottom w:val="single" w:sz="8" w:color="A0DBF9"/>
              <w:right w:val="single" w:sz="8" w:color="A0DBF9"/>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880" w:hanging="332"/>
        <w:spacing w:after="0"/>
        <w:tabs>
          <w:tab w:leader="none" w:pos="880" w:val="left"/>
        </w:tabs>
        <w:numPr>
          <w:ilvl w:val="0"/>
          <w:numId w:val="50"/>
        </w:numPr>
        <w:rPr>
          <w:rFonts w:ascii="Arial" w:cs="Arial" w:eastAsia="Arial" w:hAnsi="Arial"/>
          <w:sz w:val="14"/>
          <w:szCs w:val="14"/>
          <w:color w:val="auto"/>
        </w:rPr>
      </w:pPr>
      <w:r>
        <w:rPr>
          <w:rFonts w:ascii="Arial" w:cs="Arial" w:eastAsia="Arial" w:hAnsi="Arial"/>
          <w:sz w:val="14"/>
          <w:szCs w:val="14"/>
          <w:color w:val="auto"/>
        </w:rPr>
        <w:t>Includes $6,023 in tax gross-ups relating to such relocation expenses.</w:t>
      </w:r>
    </w:p>
    <w:p>
      <w:pPr>
        <w:jc w:val="both"/>
        <w:ind w:left="880" w:right="60" w:hanging="332"/>
        <w:spacing w:after="0" w:line="221" w:lineRule="auto"/>
        <w:tabs>
          <w:tab w:leader="none" w:pos="880" w:val="left"/>
        </w:tabs>
        <w:numPr>
          <w:ilvl w:val="1"/>
          <w:numId w:val="51"/>
        </w:numPr>
        <w:rPr>
          <w:rFonts w:ascii="Arial" w:cs="Arial" w:eastAsia="Arial" w:hAnsi="Arial"/>
          <w:sz w:val="14"/>
          <w:szCs w:val="14"/>
          <w:color w:val="auto"/>
        </w:rPr>
      </w:pPr>
      <w:r>
        <w:rPr>
          <w:rFonts w:ascii="Arial" w:cs="Arial" w:eastAsia="Arial" w:hAnsi="Arial"/>
          <w:sz w:val="14"/>
          <w:szCs w:val="14"/>
          <w:color w:val="auto"/>
        </w:rPr>
        <w:t>Under the Orlandi Agreement, Dr. Orlandi was entitled to receive cash payments equal to (i) $384,121, which represents an amount equal to seven months of his base salary and a prorated portion of his target annual bonus ($213,960 of this amount was paid in 2019), (ii) $15,201 as reimbursement for COBRA premiums. In addition, Dr. Orlandi received $75,736 in consulting fees in 2019.</w:t>
      </w:r>
    </w:p>
    <w:p>
      <w:pPr>
        <w:ind w:left="540" w:right="140" w:hanging="424"/>
        <w:spacing w:after="0" w:line="221"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Marshall commenced employment with us on September 24, 2018. The amount shown for Mr. Marshall for 2018 includes amounts he received after he commenced employment with us.</w:t>
      </w:r>
    </w:p>
    <w:p>
      <w:pPr>
        <w:ind w:left="540" w:right="120" w:hanging="424"/>
        <w:spacing w:after="0" w:line="221" w:lineRule="auto"/>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Bolla commenced employment with us on May 21, 2018. Mr. Bolla was not a named executive officer for 2018. In accordance with SEC rules, no amounts are shown for him for 2018.</w:t>
      </w:r>
    </w:p>
    <w:p>
      <w:pPr>
        <w:ind w:left="540" w:hanging="424"/>
        <w:spacing w:after="0"/>
        <w:tabs>
          <w:tab w:leader="none" w:pos="540" w:val="left"/>
        </w:tabs>
        <w:numPr>
          <w:ilvl w:val="0"/>
          <w:numId w:val="51"/>
        </w:numPr>
        <w:rPr>
          <w:rFonts w:ascii="Arial" w:cs="Arial" w:eastAsia="Arial" w:hAnsi="Arial"/>
          <w:sz w:val="14"/>
          <w:szCs w:val="14"/>
          <w:color w:val="auto"/>
        </w:rPr>
      </w:pPr>
      <w:r>
        <w:rPr>
          <w:rFonts w:ascii="Arial" w:cs="Arial" w:eastAsia="Arial" w:hAnsi="Arial"/>
          <w:sz w:val="14"/>
          <w:szCs w:val="14"/>
          <w:color w:val="auto"/>
        </w:rPr>
        <w:t>Mr. Robinson was not a named executive officer for 2017 or 2018. In accordance with SEC rules, no amounts are shown for him for 2017 or 2018.</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Grants of Plan-Based Awards for Fiscal 2019</w:t>
      </w:r>
    </w:p>
    <w:p>
      <w:pPr>
        <w:spacing w:after="0" w:line="229" w:lineRule="exact"/>
        <w:rPr>
          <w:sz w:val="20"/>
          <w:szCs w:val="20"/>
          <w:color w:val="auto"/>
        </w:rPr>
      </w:pPr>
    </w:p>
    <w:p>
      <w:pPr>
        <w:ind w:left="120" w:right="400" w:firstLine="440"/>
        <w:spacing w:after="0" w:line="277" w:lineRule="auto"/>
        <w:rPr>
          <w:sz w:val="20"/>
          <w:szCs w:val="20"/>
          <w:color w:val="auto"/>
        </w:rPr>
      </w:pPr>
      <w:r>
        <w:rPr>
          <w:rFonts w:ascii="Arial" w:cs="Arial" w:eastAsia="Arial" w:hAnsi="Arial"/>
          <w:sz w:val="18"/>
          <w:szCs w:val="18"/>
          <w:color w:val="auto"/>
        </w:rPr>
        <w:t>The table below provides information regarding awards made to our NEOs during 2019 under the 2019 Executive Bonus Plan and our Equity Incentive Plan.</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03"/>
        </w:trPr>
        <w:tc>
          <w:tcPr>
            <w:tcW w:w="1260" w:type="dxa"/>
            <w:vAlign w:val="bottom"/>
            <w:tcBorders>
              <w:left w:val="single" w:sz="8" w:color="5EB5FC"/>
              <w:right w:val="single" w:sz="8" w:color="5EB5FC"/>
            </w:tcBorders>
            <w:shd w:val="clear" w:color="auto" w:fill="5EB5FC"/>
          </w:tcPr>
          <w:p>
            <w:pPr>
              <w:spacing w:after="0"/>
              <w:rPr>
                <w:sz w:val="17"/>
                <w:szCs w:val="17"/>
                <w:color w:val="auto"/>
              </w:rPr>
            </w:pPr>
          </w:p>
        </w:tc>
        <w:tc>
          <w:tcPr>
            <w:tcW w:w="80" w:type="dxa"/>
            <w:vAlign w:val="bottom"/>
            <w:shd w:val="clear" w:color="auto" w:fill="5EB5FC"/>
          </w:tcPr>
          <w:p>
            <w:pPr>
              <w:spacing w:after="0"/>
              <w:rPr>
                <w:sz w:val="17"/>
                <w:szCs w:val="17"/>
                <w:color w:val="auto"/>
              </w:rPr>
            </w:pPr>
          </w:p>
        </w:tc>
        <w:tc>
          <w:tcPr>
            <w:tcW w:w="980" w:type="dxa"/>
            <w:vAlign w:val="bottom"/>
            <w:tcBorders>
              <w:right w:val="single" w:sz="8" w:color="5EB5FC"/>
            </w:tcBorders>
            <w:shd w:val="clear" w:color="auto" w:fill="5EB5FC"/>
          </w:tcPr>
          <w:p>
            <w:pPr>
              <w:spacing w:after="0"/>
              <w:rPr>
                <w:sz w:val="17"/>
                <w:szCs w:val="17"/>
                <w:color w:val="auto"/>
              </w:rPr>
            </w:pPr>
          </w:p>
        </w:tc>
        <w:tc>
          <w:tcPr>
            <w:tcW w:w="1080" w:type="dxa"/>
            <w:vAlign w:val="bottom"/>
            <w:tcBorders>
              <w:right w:val="single" w:sz="8" w:color="5EB5FC"/>
            </w:tcBorders>
            <w:shd w:val="clear" w:color="auto" w:fill="5EB5FC"/>
          </w:tcPr>
          <w:p>
            <w:pPr>
              <w:spacing w:after="0"/>
              <w:rPr>
                <w:sz w:val="17"/>
                <w:szCs w:val="17"/>
                <w:color w:val="auto"/>
              </w:rPr>
            </w:pPr>
          </w:p>
        </w:tc>
        <w:tc>
          <w:tcPr>
            <w:tcW w:w="1080" w:type="dxa"/>
            <w:vAlign w:val="bottom"/>
            <w:tcBorders>
              <w:right w:val="single" w:sz="8" w:color="5EB5FC"/>
            </w:tcBorders>
            <w:shd w:val="clear" w:color="auto" w:fill="5EB5FC"/>
          </w:tcPr>
          <w:p>
            <w:pPr>
              <w:spacing w:after="0"/>
              <w:rPr>
                <w:sz w:val="17"/>
                <w:szCs w:val="17"/>
                <w:color w:val="auto"/>
              </w:rPr>
            </w:pPr>
          </w:p>
        </w:tc>
        <w:tc>
          <w:tcPr>
            <w:tcW w:w="1100" w:type="dxa"/>
            <w:vAlign w:val="bottom"/>
            <w:tcBorders>
              <w:right w:val="single" w:sz="8" w:color="5EB5FC"/>
            </w:tcBorders>
            <w:shd w:val="clear" w:color="auto" w:fill="5EB5FC"/>
          </w:tcPr>
          <w:p>
            <w:pPr>
              <w:spacing w:after="0"/>
              <w:rPr>
                <w:sz w:val="17"/>
                <w:szCs w:val="17"/>
                <w:color w:val="auto"/>
              </w:rPr>
            </w:pPr>
          </w:p>
        </w:tc>
        <w:tc>
          <w:tcPr>
            <w:tcW w:w="1100" w:type="dxa"/>
            <w:vAlign w:val="bottom"/>
            <w:tcBorders>
              <w:right w:val="single" w:sz="8" w:color="5EB5FC"/>
            </w:tcBorders>
            <w:shd w:val="clear" w:color="auto" w:fill="5EB5FC"/>
          </w:tcPr>
          <w:p>
            <w:pPr>
              <w:spacing w:after="0"/>
              <w:rPr>
                <w:sz w:val="17"/>
                <w:szCs w:val="17"/>
                <w:color w:val="auto"/>
              </w:rPr>
            </w:pPr>
          </w:p>
        </w:tc>
        <w:tc>
          <w:tcPr>
            <w:tcW w:w="1080" w:type="dxa"/>
            <w:vAlign w:val="bottom"/>
            <w:tcBorders>
              <w:right w:val="single" w:sz="8" w:color="5EB5FC"/>
            </w:tcBorders>
            <w:shd w:val="clear" w:color="auto" w:fill="5EB5FC"/>
          </w:tcPr>
          <w:p>
            <w:pPr>
              <w:spacing w:after="0"/>
              <w:rPr>
                <w:sz w:val="17"/>
                <w:szCs w:val="17"/>
                <w:color w:val="auto"/>
              </w:rPr>
            </w:pPr>
          </w:p>
        </w:tc>
        <w:tc>
          <w:tcPr>
            <w:tcW w:w="1080" w:type="dxa"/>
            <w:vAlign w:val="bottom"/>
            <w:tcBorders>
              <w:right w:val="single" w:sz="8" w:color="5EB5FC"/>
            </w:tcBorders>
            <w:shd w:val="clear" w:color="auto" w:fill="5EB5FC"/>
          </w:tcPr>
          <w:p>
            <w:pPr>
              <w:spacing w:after="0"/>
              <w:rPr>
                <w:sz w:val="17"/>
                <w:szCs w:val="17"/>
                <w:color w:val="auto"/>
              </w:rPr>
            </w:pPr>
          </w:p>
        </w:tc>
        <w:tc>
          <w:tcPr>
            <w:tcW w:w="110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98"/>
              </w:rPr>
              <w:t>All Other</w:t>
            </w:r>
          </w:p>
        </w:tc>
        <w:tc>
          <w:tcPr>
            <w:tcW w:w="1080" w:type="dxa"/>
            <w:vAlign w:val="bottom"/>
            <w:shd w:val="clear" w:color="auto" w:fill="5EB5FC"/>
          </w:tcPr>
          <w:p>
            <w:pPr>
              <w:jc w:val="center"/>
              <w:spacing w:after="0"/>
              <w:rPr>
                <w:sz w:val="20"/>
                <w:szCs w:val="20"/>
                <w:color w:val="auto"/>
              </w:rPr>
            </w:pPr>
            <w:r>
              <w:rPr>
                <w:rFonts w:ascii="Arial" w:cs="Arial" w:eastAsia="Arial" w:hAnsi="Arial"/>
                <w:sz w:val="14"/>
                <w:szCs w:val="14"/>
                <w:b w:val="1"/>
                <w:bCs w:val="1"/>
                <w:color w:val="FFFFFF"/>
                <w:w w:val="97"/>
              </w:rPr>
              <w:t>Grant Date</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1260" w:type="dxa"/>
            <w:vAlign w:val="bottom"/>
            <w:tcBorders>
              <w:left w:val="single" w:sz="8" w:color="5EB5FC"/>
              <w:right w:val="single" w:sz="8" w:color="5EB5FC"/>
            </w:tcBorders>
            <w:shd w:val="clear" w:color="auto" w:fill="5EB5FC"/>
          </w:tcPr>
          <w:p>
            <w:pPr>
              <w:spacing w:after="0"/>
              <w:rPr>
                <w:sz w:val="15"/>
                <w:szCs w:val="15"/>
                <w:color w:val="auto"/>
              </w:rPr>
            </w:pPr>
          </w:p>
        </w:tc>
        <w:tc>
          <w:tcPr>
            <w:tcW w:w="80" w:type="dxa"/>
            <w:vAlign w:val="bottom"/>
            <w:shd w:val="clear" w:color="auto" w:fill="5EB5FC"/>
          </w:tcPr>
          <w:p>
            <w:pPr>
              <w:spacing w:after="0"/>
              <w:rPr>
                <w:sz w:val="15"/>
                <w:szCs w:val="15"/>
                <w:color w:val="auto"/>
              </w:rPr>
            </w:pPr>
          </w:p>
        </w:tc>
        <w:tc>
          <w:tcPr>
            <w:tcW w:w="980" w:type="dxa"/>
            <w:vAlign w:val="bottom"/>
            <w:tcBorders>
              <w:right w:val="single" w:sz="8" w:color="5EB5FC"/>
            </w:tcBorders>
            <w:shd w:val="clear" w:color="auto" w:fill="5EB5FC"/>
          </w:tcPr>
          <w:p>
            <w:pPr>
              <w:spacing w:after="0"/>
              <w:rPr>
                <w:sz w:val="15"/>
                <w:szCs w:val="15"/>
                <w:color w:val="auto"/>
              </w:rPr>
            </w:pPr>
          </w:p>
        </w:tc>
        <w:tc>
          <w:tcPr>
            <w:tcW w:w="3260" w:type="dxa"/>
            <w:vAlign w:val="bottom"/>
            <w:tcBorders>
              <w:right w:val="single" w:sz="8" w:color="5EB5FC"/>
            </w:tcBorders>
            <w:gridSpan w:val="3"/>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Executive Future Payouts Under</w:t>
            </w:r>
          </w:p>
        </w:tc>
        <w:tc>
          <w:tcPr>
            <w:tcW w:w="3260" w:type="dxa"/>
            <w:vAlign w:val="bottom"/>
            <w:tcBorders>
              <w:right w:val="single" w:sz="8" w:color="5EB5FC"/>
            </w:tcBorders>
            <w:gridSpan w:val="3"/>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Estimated Future Payouts Under</w:t>
            </w:r>
          </w:p>
        </w:tc>
        <w:tc>
          <w:tcPr>
            <w:tcW w:w="1100" w:type="dxa"/>
            <w:vAlign w:val="bottom"/>
            <w:tcBorders>
              <w:right w:val="single" w:sz="8" w:color="5EB5FC"/>
            </w:tcBorders>
            <w:shd w:val="clear" w:color="auto" w:fill="5EB5FC"/>
          </w:tcPr>
          <w:p>
            <w:pPr>
              <w:jc w:val="center"/>
              <w:ind w:left="1"/>
              <w:spacing w:after="0"/>
              <w:rPr>
                <w:sz w:val="20"/>
                <w:szCs w:val="20"/>
                <w:color w:val="auto"/>
              </w:rPr>
            </w:pPr>
            <w:r>
              <w:rPr>
                <w:rFonts w:ascii="Arial" w:cs="Arial" w:eastAsia="Arial" w:hAnsi="Arial"/>
                <w:sz w:val="14"/>
                <w:szCs w:val="14"/>
                <w:b w:val="1"/>
                <w:bCs w:val="1"/>
                <w:color w:val="FFFFFF"/>
                <w:w w:val="89"/>
              </w:rPr>
              <w:t>Stock</w:t>
            </w:r>
          </w:p>
        </w:tc>
        <w:tc>
          <w:tcPr>
            <w:tcW w:w="1080" w:type="dxa"/>
            <w:vAlign w:val="bottom"/>
            <w:shd w:val="clear" w:color="auto" w:fill="5EB5FC"/>
          </w:tcPr>
          <w:p>
            <w:pPr>
              <w:jc w:val="center"/>
              <w:spacing w:after="0"/>
              <w:rPr>
                <w:sz w:val="20"/>
                <w:szCs w:val="20"/>
                <w:color w:val="auto"/>
              </w:rPr>
            </w:pPr>
            <w:r>
              <w:rPr>
                <w:rFonts w:ascii="Arial" w:cs="Arial" w:eastAsia="Arial" w:hAnsi="Arial"/>
                <w:sz w:val="14"/>
                <w:szCs w:val="14"/>
                <w:b w:val="1"/>
                <w:bCs w:val="1"/>
                <w:color w:val="FFFFFF"/>
              </w:rPr>
              <w:t>Fair Market</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5EB5FC"/>
              <w:right w:val="single" w:sz="8" w:color="5EB5FC"/>
            </w:tcBorders>
            <w:shd w:val="clear" w:color="auto" w:fill="5EB5FC"/>
          </w:tcPr>
          <w:p>
            <w:pPr>
              <w:spacing w:after="0"/>
              <w:rPr>
                <w:sz w:val="12"/>
                <w:szCs w:val="12"/>
                <w:color w:val="auto"/>
              </w:rPr>
            </w:pPr>
          </w:p>
        </w:tc>
        <w:tc>
          <w:tcPr>
            <w:tcW w:w="80" w:type="dxa"/>
            <w:vAlign w:val="bottom"/>
            <w:shd w:val="clear" w:color="auto" w:fill="5EB5FC"/>
          </w:tcPr>
          <w:p>
            <w:pPr>
              <w:spacing w:after="0"/>
              <w:rPr>
                <w:sz w:val="12"/>
                <w:szCs w:val="12"/>
                <w:color w:val="auto"/>
              </w:rPr>
            </w:pPr>
          </w:p>
        </w:tc>
        <w:tc>
          <w:tcPr>
            <w:tcW w:w="980" w:type="dxa"/>
            <w:vAlign w:val="bottom"/>
            <w:tcBorders>
              <w:right w:val="single" w:sz="8" w:color="5EB5FC"/>
            </w:tcBorders>
            <w:shd w:val="clear" w:color="auto" w:fill="5EB5FC"/>
          </w:tcPr>
          <w:p>
            <w:pPr>
              <w:spacing w:after="0"/>
              <w:rPr>
                <w:sz w:val="12"/>
                <w:szCs w:val="12"/>
                <w:color w:val="auto"/>
              </w:rPr>
            </w:pPr>
          </w:p>
        </w:tc>
        <w:tc>
          <w:tcPr>
            <w:tcW w:w="3260" w:type="dxa"/>
            <w:vAlign w:val="bottom"/>
            <w:tcBorders>
              <w:right w:val="single" w:sz="8" w:color="5EB5FC"/>
            </w:tcBorders>
            <w:gridSpan w:val="3"/>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Non-Equity Incentive Plan Awards</w:t>
            </w:r>
            <w:r>
              <w:rPr>
                <w:rFonts w:ascii="Arial" w:cs="Arial" w:eastAsia="Arial" w:hAnsi="Arial"/>
                <w:sz w:val="12"/>
                <w:szCs w:val="12"/>
                <w:b w:val="1"/>
                <w:bCs w:val="1"/>
                <w:color w:val="FFFFFF"/>
                <w:w w:val="94"/>
              </w:rPr>
              <w:t>(1)</w:t>
            </w:r>
          </w:p>
        </w:tc>
        <w:tc>
          <w:tcPr>
            <w:tcW w:w="3260" w:type="dxa"/>
            <w:vAlign w:val="bottom"/>
            <w:tcBorders>
              <w:right w:val="single" w:sz="8" w:color="5EB5FC"/>
            </w:tcBorders>
            <w:gridSpan w:val="3"/>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Equity Incentive Plan Awards</w:t>
            </w:r>
            <w:r>
              <w:rPr>
                <w:rFonts w:ascii="Arial" w:cs="Arial" w:eastAsia="Arial" w:hAnsi="Arial"/>
                <w:sz w:val="12"/>
                <w:szCs w:val="12"/>
                <w:b w:val="1"/>
                <w:bCs w:val="1"/>
                <w:color w:val="FFFFFF"/>
                <w:w w:val="94"/>
              </w:rPr>
              <w:t>(2)</w:t>
            </w:r>
          </w:p>
        </w:tc>
        <w:tc>
          <w:tcPr>
            <w:tcW w:w="110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4"/>
              </w:rPr>
              <w:t>Awards:</w:t>
            </w:r>
          </w:p>
        </w:tc>
        <w:tc>
          <w:tcPr>
            <w:tcW w:w="108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5"/>
              </w:rPr>
              <w:t>Value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2"/>
        </w:trPr>
        <w:tc>
          <w:tcPr>
            <w:tcW w:w="1260" w:type="dxa"/>
            <w:vAlign w:val="bottom"/>
            <w:tcBorders>
              <w:left w:val="single" w:sz="8" w:color="5EB5FC"/>
              <w:right w:val="single" w:sz="8" w:color="5EB5FC"/>
            </w:tcBorders>
            <w:shd w:val="clear" w:color="auto" w:fill="5EB5FC"/>
          </w:tcPr>
          <w:p>
            <w:pPr>
              <w:spacing w:after="0"/>
              <w:rPr>
                <w:sz w:val="10"/>
                <w:szCs w:val="10"/>
                <w:color w:val="auto"/>
              </w:rPr>
            </w:pPr>
          </w:p>
        </w:tc>
        <w:tc>
          <w:tcPr>
            <w:tcW w:w="80" w:type="dxa"/>
            <w:vAlign w:val="bottom"/>
            <w:shd w:val="clear" w:color="auto" w:fill="5EB5FC"/>
          </w:tcPr>
          <w:p>
            <w:pPr>
              <w:spacing w:after="0"/>
              <w:rPr>
                <w:sz w:val="10"/>
                <w:szCs w:val="10"/>
                <w:color w:val="auto"/>
              </w:rPr>
            </w:pPr>
          </w:p>
        </w:tc>
        <w:tc>
          <w:tcPr>
            <w:tcW w:w="9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100" w:type="dxa"/>
            <w:vAlign w:val="bottom"/>
            <w:tcBorders>
              <w:right w:val="single" w:sz="8" w:color="5EB5FC"/>
            </w:tcBorders>
            <w:shd w:val="clear" w:color="auto" w:fill="5EB5FC"/>
          </w:tcPr>
          <w:p>
            <w:pPr>
              <w:spacing w:after="0"/>
              <w:rPr>
                <w:sz w:val="10"/>
                <w:szCs w:val="10"/>
                <w:color w:val="auto"/>
              </w:rPr>
            </w:pPr>
          </w:p>
        </w:tc>
        <w:tc>
          <w:tcPr>
            <w:tcW w:w="110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080" w:type="dxa"/>
            <w:vAlign w:val="bottom"/>
            <w:tcBorders>
              <w:right w:val="single" w:sz="8" w:color="5EB5FC"/>
            </w:tcBorders>
            <w:shd w:val="clear" w:color="auto" w:fill="5EB5FC"/>
          </w:tcPr>
          <w:p>
            <w:pPr>
              <w:spacing w:after="0"/>
              <w:rPr>
                <w:sz w:val="10"/>
                <w:szCs w:val="10"/>
                <w:color w:val="auto"/>
              </w:rPr>
            </w:pPr>
          </w:p>
        </w:tc>
        <w:tc>
          <w:tcPr>
            <w:tcW w:w="1100" w:type="dxa"/>
            <w:vAlign w:val="bottom"/>
            <w:tcBorders>
              <w:right w:val="single" w:sz="8" w:color="5EB5FC"/>
            </w:tcBorders>
            <w:shd w:val="clear" w:color="auto" w:fill="5EB5FC"/>
          </w:tcPr>
          <w:p>
            <w:pPr>
              <w:jc w:val="center"/>
              <w:ind w:left="1"/>
              <w:spacing w:after="0" w:line="122" w:lineRule="exact"/>
              <w:rPr>
                <w:sz w:val="20"/>
                <w:szCs w:val="20"/>
                <w:color w:val="auto"/>
              </w:rPr>
            </w:pPr>
            <w:r>
              <w:rPr>
                <w:rFonts w:ascii="Arial" w:cs="Arial" w:eastAsia="Arial" w:hAnsi="Arial"/>
                <w:sz w:val="14"/>
                <w:szCs w:val="14"/>
                <w:b w:val="1"/>
                <w:bCs w:val="1"/>
                <w:color w:val="FFFFFF"/>
                <w:w w:val="94"/>
              </w:rPr>
              <w:t>Number of</w:t>
            </w:r>
          </w:p>
        </w:tc>
        <w:tc>
          <w:tcPr>
            <w:tcW w:w="1080" w:type="dxa"/>
            <w:vAlign w:val="bottom"/>
            <w:shd w:val="clear" w:color="auto" w:fill="5EB5FC"/>
          </w:tcPr>
          <w:p>
            <w:pPr>
              <w:jc w:val="center"/>
              <w:spacing w:after="0" w:line="122" w:lineRule="exact"/>
              <w:rPr>
                <w:sz w:val="20"/>
                <w:szCs w:val="20"/>
                <w:color w:val="auto"/>
              </w:rPr>
            </w:pPr>
            <w:r>
              <w:rPr>
                <w:rFonts w:ascii="Arial" w:cs="Arial" w:eastAsia="Arial" w:hAnsi="Arial"/>
                <w:sz w:val="14"/>
                <w:szCs w:val="14"/>
                <w:b w:val="1"/>
                <w:bCs w:val="1"/>
                <w:color w:val="FFFFFF"/>
                <w:w w:val="89"/>
              </w:rPr>
              <w:t>Stock and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1260" w:type="dxa"/>
            <w:vAlign w:val="bottom"/>
            <w:tcBorders>
              <w:left w:val="single" w:sz="8" w:color="5EB5FC"/>
              <w:right w:val="single" w:sz="8" w:color="5EB5FC"/>
            </w:tcBorders>
            <w:shd w:val="clear" w:color="auto" w:fill="5EB5FC"/>
          </w:tcPr>
          <w:p>
            <w:pPr>
              <w:spacing w:after="0"/>
              <w:rPr>
                <w:sz w:val="12"/>
                <w:szCs w:val="12"/>
                <w:color w:val="auto"/>
              </w:rPr>
            </w:pPr>
          </w:p>
        </w:tc>
        <w:tc>
          <w:tcPr>
            <w:tcW w:w="80" w:type="dxa"/>
            <w:vAlign w:val="bottom"/>
            <w:shd w:val="clear" w:color="auto" w:fill="5EB5FC"/>
          </w:tcPr>
          <w:p>
            <w:pPr>
              <w:spacing w:after="0"/>
              <w:rPr>
                <w:sz w:val="12"/>
                <w:szCs w:val="12"/>
                <w:color w:val="auto"/>
              </w:rPr>
            </w:pPr>
          </w:p>
        </w:tc>
        <w:tc>
          <w:tcPr>
            <w:tcW w:w="9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jc w:val="center"/>
              <w:ind w:left="1"/>
              <w:spacing w:after="0" w:line="149" w:lineRule="exact"/>
              <w:rPr>
                <w:sz w:val="20"/>
                <w:szCs w:val="20"/>
                <w:color w:val="auto"/>
              </w:rPr>
            </w:pPr>
            <w:r>
              <w:rPr>
                <w:rFonts w:ascii="Arial" w:cs="Arial" w:eastAsia="Arial" w:hAnsi="Arial"/>
                <w:sz w:val="14"/>
                <w:szCs w:val="14"/>
                <w:b w:val="1"/>
                <w:bCs w:val="1"/>
                <w:color w:val="FFFFFF"/>
                <w:w w:val="90"/>
              </w:rPr>
              <w:t>Shares of</w:t>
            </w:r>
          </w:p>
        </w:tc>
        <w:tc>
          <w:tcPr>
            <w:tcW w:w="1080" w:type="dxa"/>
            <w:vAlign w:val="bottom"/>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7"/>
              </w:rPr>
              <w:t>Option</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9"/>
        </w:trPr>
        <w:tc>
          <w:tcPr>
            <w:tcW w:w="1260" w:type="dxa"/>
            <w:vAlign w:val="bottom"/>
            <w:tcBorders>
              <w:left w:val="single" w:sz="8" w:color="5EB5FC"/>
              <w:right w:val="single" w:sz="8" w:color="5EB5FC"/>
            </w:tcBorders>
            <w:vMerge w:val="restart"/>
            <w:shd w:val="clear" w:color="auto" w:fill="5EB5FC"/>
          </w:tcPr>
          <w:p>
            <w:pPr>
              <w:ind w:left="400"/>
              <w:spacing w:after="0"/>
              <w:rPr>
                <w:sz w:val="20"/>
                <w:szCs w:val="20"/>
                <w:color w:val="auto"/>
              </w:rPr>
            </w:pPr>
            <w:r>
              <w:rPr>
                <w:rFonts w:ascii="Arial" w:cs="Arial" w:eastAsia="Arial" w:hAnsi="Arial"/>
                <w:sz w:val="14"/>
                <w:szCs w:val="14"/>
                <w:b w:val="1"/>
                <w:bCs w:val="1"/>
                <w:color w:val="FFFFFF"/>
              </w:rPr>
              <w:t>Employee</w:t>
            </w:r>
          </w:p>
        </w:tc>
        <w:tc>
          <w:tcPr>
            <w:tcW w:w="80" w:type="dxa"/>
            <w:vAlign w:val="bottom"/>
            <w:shd w:val="clear" w:color="auto" w:fill="5EB5FC"/>
          </w:tcPr>
          <w:p>
            <w:pPr>
              <w:spacing w:after="0"/>
              <w:rPr>
                <w:sz w:val="16"/>
                <w:szCs w:val="16"/>
                <w:color w:val="auto"/>
              </w:rPr>
            </w:pPr>
          </w:p>
        </w:tc>
        <w:tc>
          <w:tcPr>
            <w:tcW w:w="980" w:type="dxa"/>
            <w:vAlign w:val="bottom"/>
            <w:tcBorders>
              <w:right w:val="single" w:sz="8" w:color="5EB5FC"/>
            </w:tcBorders>
            <w:vMerge w:val="restart"/>
            <w:shd w:val="clear" w:color="auto" w:fill="5EB5FC"/>
          </w:tcPr>
          <w:p>
            <w:pPr>
              <w:ind w:left="120"/>
              <w:spacing w:after="0"/>
              <w:rPr>
                <w:sz w:val="20"/>
                <w:szCs w:val="20"/>
                <w:color w:val="auto"/>
              </w:rPr>
            </w:pPr>
            <w:r>
              <w:rPr>
                <w:rFonts w:ascii="Arial" w:cs="Arial" w:eastAsia="Arial" w:hAnsi="Arial"/>
                <w:sz w:val="14"/>
                <w:szCs w:val="14"/>
                <w:b w:val="1"/>
                <w:bCs w:val="1"/>
                <w:color w:val="FFFFFF"/>
              </w:rPr>
              <w:t>Grant Date</w:t>
            </w:r>
          </w:p>
        </w:tc>
        <w:tc>
          <w:tcPr>
            <w:tcW w:w="1080" w:type="dxa"/>
            <w:vAlign w:val="bottom"/>
            <w:tcBorders>
              <w:right w:val="single" w:sz="8" w:color="5EB5FC"/>
            </w:tcBorders>
            <w:shd w:val="clear" w:color="auto" w:fill="5EB5FC"/>
          </w:tcPr>
          <w:p>
            <w:pPr>
              <w:jc w:val="center"/>
              <w:ind w:left="8"/>
              <w:spacing w:after="0"/>
              <w:rPr>
                <w:sz w:val="20"/>
                <w:szCs w:val="20"/>
                <w:color w:val="auto"/>
              </w:rPr>
            </w:pPr>
            <w:r>
              <w:rPr>
                <w:rFonts w:ascii="Arial" w:cs="Arial" w:eastAsia="Arial" w:hAnsi="Arial"/>
                <w:sz w:val="14"/>
                <w:szCs w:val="14"/>
                <w:b w:val="1"/>
                <w:bCs w:val="1"/>
                <w:color w:val="FFFFFF"/>
                <w:w w:val="94"/>
              </w:rPr>
              <w:t>Threshold</w:t>
            </w: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Target ($)</w:t>
            </w:r>
          </w:p>
        </w:tc>
        <w:tc>
          <w:tcPr>
            <w:tcW w:w="1100" w:type="dxa"/>
            <w:vAlign w:val="bottom"/>
            <w:tcBorders>
              <w:right w:val="single" w:sz="8" w:color="5EB5FC"/>
            </w:tcBorders>
            <w:shd w:val="clear" w:color="auto" w:fill="5EB5FC"/>
          </w:tcPr>
          <w:p>
            <w:pPr>
              <w:ind w:left="260"/>
              <w:spacing w:after="0"/>
              <w:rPr>
                <w:sz w:val="20"/>
                <w:szCs w:val="20"/>
                <w:color w:val="auto"/>
              </w:rPr>
            </w:pPr>
            <w:r>
              <w:rPr>
                <w:rFonts w:ascii="Arial" w:cs="Arial" w:eastAsia="Arial" w:hAnsi="Arial"/>
                <w:sz w:val="14"/>
                <w:szCs w:val="14"/>
                <w:b w:val="1"/>
                <w:bCs w:val="1"/>
                <w:color w:val="FFFFFF"/>
              </w:rPr>
              <w:t>Maximum</w:t>
            </w:r>
          </w:p>
        </w:tc>
        <w:tc>
          <w:tcPr>
            <w:tcW w:w="1100" w:type="dxa"/>
            <w:vAlign w:val="bottom"/>
            <w:tcBorders>
              <w:right w:val="single" w:sz="8" w:color="5EB5FC"/>
            </w:tcBorders>
            <w:shd w:val="clear" w:color="auto" w:fill="5EB5FC"/>
          </w:tcPr>
          <w:p>
            <w:pPr>
              <w:ind w:left="260"/>
              <w:spacing w:after="0"/>
              <w:rPr>
                <w:sz w:val="20"/>
                <w:szCs w:val="20"/>
                <w:color w:val="auto"/>
              </w:rPr>
            </w:pPr>
            <w:r>
              <w:rPr>
                <w:rFonts w:ascii="Arial" w:cs="Arial" w:eastAsia="Arial" w:hAnsi="Arial"/>
                <w:sz w:val="14"/>
                <w:szCs w:val="14"/>
                <w:b w:val="1"/>
                <w:bCs w:val="1"/>
                <w:color w:val="FFFFFF"/>
              </w:rPr>
              <w:t>Threshold</w:t>
            </w:r>
          </w:p>
        </w:tc>
        <w:tc>
          <w:tcPr>
            <w:tcW w:w="1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Target</w:t>
            </w:r>
          </w:p>
        </w:tc>
        <w:tc>
          <w:tcPr>
            <w:tcW w:w="1080" w:type="dxa"/>
            <w:vAlign w:val="bottom"/>
            <w:tcBorders>
              <w:right w:val="single" w:sz="8" w:color="5EB5FC"/>
            </w:tcBorders>
            <w:shd w:val="clear" w:color="auto" w:fill="5EB5FC"/>
          </w:tcPr>
          <w:p>
            <w:pPr>
              <w:ind w:left="260"/>
              <w:spacing w:after="0"/>
              <w:rPr>
                <w:sz w:val="20"/>
                <w:szCs w:val="20"/>
                <w:color w:val="auto"/>
              </w:rPr>
            </w:pPr>
            <w:r>
              <w:rPr>
                <w:rFonts w:ascii="Arial" w:cs="Arial" w:eastAsia="Arial" w:hAnsi="Arial"/>
                <w:sz w:val="14"/>
                <w:szCs w:val="14"/>
                <w:b w:val="1"/>
                <w:bCs w:val="1"/>
                <w:color w:val="FFFFFF"/>
              </w:rPr>
              <w:t>Maximum</w:t>
            </w:r>
          </w:p>
        </w:tc>
        <w:tc>
          <w:tcPr>
            <w:tcW w:w="11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Stock or</w:t>
            </w:r>
          </w:p>
        </w:tc>
        <w:tc>
          <w:tcPr>
            <w:tcW w:w="1080" w:type="dxa"/>
            <w:vAlign w:val="bottom"/>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Awards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1260" w:type="dxa"/>
            <w:vAlign w:val="bottom"/>
            <w:tcBorders>
              <w:left w:val="single" w:sz="8" w:color="5EB5FC"/>
              <w:bottom w:val="single" w:sz="8" w:color="5EB5FC"/>
              <w:right w:val="single" w:sz="8" w:color="5EB5FC"/>
            </w:tcBorders>
            <w:vMerge w:val="continue"/>
            <w:shd w:val="clear" w:color="auto" w:fill="5EB5FC"/>
          </w:tcPr>
          <w:p>
            <w:pPr>
              <w:spacing w:after="0"/>
              <w:rPr>
                <w:sz w:val="21"/>
                <w:szCs w:val="21"/>
                <w:color w:val="auto"/>
              </w:rPr>
            </w:pPr>
          </w:p>
        </w:tc>
        <w:tc>
          <w:tcPr>
            <w:tcW w:w="80" w:type="dxa"/>
            <w:vAlign w:val="bottom"/>
            <w:tcBorders>
              <w:bottom w:val="single" w:sz="8" w:color="5EB5FC"/>
            </w:tcBorders>
            <w:shd w:val="clear" w:color="auto" w:fill="5EB5FC"/>
          </w:tcPr>
          <w:p>
            <w:pPr>
              <w:spacing w:after="0"/>
              <w:rPr>
                <w:sz w:val="21"/>
                <w:szCs w:val="21"/>
                <w:color w:val="auto"/>
              </w:rPr>
            </w:pPr>
          </w:p>
        </w:tc>
        <w:tc>
          <w:tcPr>
            <w:tcW w:w="980" w:type="dxa"/>
            <w:vAlign w:val="bottom"/>
            <w:tcBorders>
              <w:bottom w:val="single" w:sz="8" w:color="5EB5FC"/>
              <w:right w:val="single" w:sz="8" w:color="5EB5FC"/>
            </w:tcBorders>
            <w:vMerge w:val="continue"/>
            <w:shd w:val="clear" w:color="auto" w:fill="5EB5FC"/>
          </w:tcPr>
          <w:p>
            <w:pPr>
              <w:spacing w:after="0"/>
              <w:rPr>
                <w:sz w:val="21"/>
                <w:szCs w:val="21"/>
                <w:color w:val="auto"/>
              </w:rPr>
            </w:pPr>
          </w:p>
        </w:tc>
        <w:tc>
          <w:tcPr>
            <w:tcW w:w="1080" w:type="dxa"/>
            <w:vAlign w:val="bottom"/>
            <w:tcBorders>
              <w:bottom w:val="single" w:sz="8" w:color="5EB5FC"/>
              <w:right w:val="single" w:sz="8" w:color="5EB5FC"/>
            </w:tcBorders>
            <w:shd w:val="clear" w:color="auto" w:fill="5EB5FC"/>
          </w:tcPr>
          <w:p>
            <w:pPr>
              <w:jc w:val="right"/>
              <w:ind w:right="348"/>
              <w:spacing w:after="0"/>
              <w:rPr>
                <w:sz w:val="20"/>
                <w:szCs w:val="20"/>
                <w:color w:val="auto"/>
              </w:rPr>
            </w:pPr>
            <w:r>
              <w:rPr>
                <w:rFonts w:ascii="Arial" w:cs="Arial" w:eastAsia="Arial" w:hAnsi="Arial"/>
                <w:sz w:val="14"/>
                <w:szCs w:val="14"/>
                <w:b w:val="1"/>
                <w:bCs w:val="1"/>
                <w:color w:val="FFFFFF"/>
              </w:rPr>
              <w:t>($)</w:t>
            </w:r>
          </w:p>
        </w:tc>
        <w:tc>
          <w:tcPr>
            <w:tcW w:w="1080" w:type="dxa"/>
            <w:vAlign w:val="bottom"/>
            <w:tcBorders>
              <w:bottom w:val="single" w:sz="8" w:color="5EB5FC"/>
              <w:right w:val="single" w:sz="8" w:color="5EB5FC"/>
            </w:tcBorders>
            <w:vMerge w:val="continue"/>
            <w:shd w:val="clear" w:color="auto" w:fill="5EB5FC"/>
          </w:tcPr>
          <w:p>
            <w:pPr>
              <w:spacing w:after="0"/>
              <w:rPr>
                <w:sz w:val="21"/>
                <w:szCs w:val="21"/>
                <w:color w:val="auto"/>
              </w:rPr>
            </w:pPr>
          </w:p>
        </w:tc>
        <w:tc>
          <w:tcPr>
            <w:tcW w:w="110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10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08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rPr>
              <w:t>(#)</w:t>
            </w:r>
          </w:p>
        </w:tc>
        <w:tc>
          <w:tcPr>
            <w:tcW w:w="110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Units(#)</w:t>
            </w:r>
            <w:r>
              <w:rPr>
                <w:rFonts w:ascii="Arial" w:cs="Arial" w:eastAsia="Arial" w:hAnsi="Arial"/>
                <w:sz w:val="12"/>
                <w:szCs w:val="12"/>
                <w:b w:val="1"/>
                <w:bCs w:val="1"/>
                <w:color w:val="FFFFFF"/>
                <w:w w:val="95"/>
              </w:rPr>
              <w:t>(3)</w:t>
            </w:r>
          </w:p>
        </w:tc>
        <w:tc>
          <w:tcPr>
            <w:tcW w:w="1080" w:type="dxa"/>
            <w:vAlign w:val="bottom"/>
            <w:tcBorders>
              <w:bottom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rPr>
              <w:t>($)</w:t>
            </w:r>
            <w:r>
              <w:rPr>
                <w:rFonts w:ascii="Arial" w:cs="Arial" w:eastAsia="Arial" w:hAnsi="Arial"/>
                <w:sz w:val="12"/>
                <w:szCs w:val="12"/>
                <w:b w:val="1"/>
                <w:bCs w:val="1"/>
                <w:color w:val="FFFFFF"/>
              </w:rPr>
              <w:t>(4)</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8"/>
        </w:trPr>
        <w:tc>
          <w:tcPr>
            <w:tcW w:w="1260" w:type="dxa"/>
            <w:vAlign w:val="bottom"/>
            <w:tcBorders>
              <w:top w:val="single" w:sz="8" w:color="A0DBF9"/>
              <w:left w:val="single" w:sz="8" w:color="A0DBF9"/>
              <w:right w:val="single" w:sz="8" w:color="A0DBF9"/>
            </w:tcBorders>
          </w:tcPr>
          <w:p>
            <w:pPr>
              <w:ind w:left="240"/>
              <w:spacing w:after="0" w:line="188" w:lineRule="exact"/>
              <w:rPr>
                <w:sz w:val="20"/>
                <w:szCs w:val="20"/>
                <w:color w:val="auto"/>
              </w:rPr>
            </w:pPr>
            <w:r>
              <w:rPr>
                <w:rFonts w:ascii="Arial" w:cs="Arial" w:eastAsia="Arial" w:hAnsi="Arial"/>
                <w:sz w:val="17"/>
                <w:szCs w:val="17"/>
                <w:b w:val="1"/>
                <w:bCs w:val="1"/>
                <w:color w:val="auto"/>
              </w:rPr>
              <w:t>Mary Anne</w:t>
            </w:r>
          </w:p>
        </w:tc>
        <w:tc>
          <w:tcPr>
            <w:tcW w:w="80" w:type="dxa"/>
            <w:vAlign w:val="bottom"/>
            <w:tcBorders>
              <w:top w:val="single" w:sz="8" w:color="A0DBF9"/>
            </w:tcBorders>
          </w:tcPr>
          <w:p>
            <w:pPr>
              <w:spacing w:after="0"/>
              <w:rPr>
                <w:sz w:val="16"/>
                <w:szCs w:val="16"/>
                <w:color w:val="auto"/>
              </w:rPr>
            </w:pPr>
          </w:p>
        </w:tc>
        <w:tc>
          <w:tcPr>
            <w:tcW w:w="9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tcBorders>
          </w:tcPr>
          <w:p>
            <w:pPr>
              <w:spacing w:after="0"/>
              <w:rPr>
                <w:sz w:val="16"/>
                <w:szCs w:val="16"/>
                <w:color w:val="auto"/>
              </w:rPr>
            </w:pPr>
          </w:p>
        </w:tc>
        <w:tc>
          <w:tcPr>
            <w:tcW w:w="20" w:type="dxa"/>
            <w:vAlign w:val="bottom"/>
            <w:tcBorders>
              <w:top w:val="single" w:sz="8" w:color="A0DBF9"/>
            </w:tcBorders>
            <w:shd w:val="clear" w:color="auto" w:fill="A0DBF9"/>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2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7"/>
                <w:szCs w:val="17"/>
                <w:b w:val="1"/>
                <w:bCs w:val="1"/>
                <w:color w:val="auto"/>
              </w:rPr>
              <w:t>Heino</w:t>
            </w:r>
          </w:p>
        </w:tc>
        <w:tc>
          <w:tcPr>
            <w:tcW w:w="80" w:type="dxa"/>
            <w:vAlign w:val="bottom"/>
          </w:tcPr>
          <w:p>
            <w:pPr>
              <w:spacing w:after="0"/>
              <w:rPr>
                <w:sz w:val="19"/>
                <w:szCs w:val="19"/>
                <w:color w:val="auto"/>
              </w:rPr>
            </w:pPr>
          </w:p>
        </w:tc>
        <w:tc>
          <w:tcPr>
            <w:tcW w:w="9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0"/>
              </w:rPr>
              <w:t>$616,250</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9"/>
              </w:rPr>
              <w:t>$1,386,563</w:t>
            </w:r>
          </w:p>
        </w:tc>
        <w:tc>
          <w:tcPr>
            <w:tcW w:w="110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100" w:type="dxa"/>
            <w:vAlign w:val="bottom"/>
            <w:tcBorders>
              <w:right w:val="single" w:sz="8" w:color="A0DBF9"/>
            </w:tcBorders>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shd w:val="clear" w:color="auto" w:fill="A0DBF9"/>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260" w:type="dxa"/>
            <w:vAlign w:val="bottom"/>
            <w:tcBorders>
              <w:left w:val="single" w:sz="8" w:color="A0DBF9"/>
              <w:bottom w:val="single" w:sz="8" w:color="A0DBF9"/>
              <w:right w:val="single" w:sz="8" w:color="A0DBF9"/>
            </w:tcBorders>
          </w:tcPr>
          <w:p>
            <w:pPr>
              <w:spacing w:after="0"/>
              <w:rPr>
                <w:sz w:val="5"/>
                <w:szCs w:val="5"/>
                <w:color w:val="auto"/>
              </w:rPr>
            </w:pPr>
          </w:p>
        </w:tc>
        <w:tc>
          <w:tcPr>
            <w:tcW w:w="1060" w:type="dxa"/>
            <w:vAlign w:val="bottom"/>
            <w:tcBorders>
              <w:bottom w:val="single" w:sz="8" w:color="A0DBF9"/>
              <w:right w:val="single" w:sz="8" w:color="A0DBF9"/>
            </w:tcBorders>
            <w:gridSpan w:val="2"/>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tcBorders>
          </w:tcPr>
          <w:p>
            <w:pPr>
              <w:spacing w:after="0"/>
              <w:rPr>
                <w:sz w:val="5"/>
                <w:szCs w:val="5"/>
                <w:color w:val="auto"/>
              </w:rPr>
            </w:pPr>
          </w:p>
        </w:tc>
        <w:tc>
          <w:tcPr>
            <w:tcW w:w="20" w:type="dxa"/>
            <w:vAlign w:val="bottom"/>
            <w:tcBorders>
              <w:bottom w:val="single" w:sz="8" w:color="A0DBF9"/>
            </w:tcBorders>
            <w:shd w:val="clear" w:color="auto" w:fill="A0DBF9"/>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2"/>
              </w:rPr>
              <w:t>22,043</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8"/>
              </w:rPr>
              <w:t>44,085</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8"/>
              </w:rPr>
              <w:t>88,170</w:t>
            </w:r>
          </w:p>
        </w:tc>
        <w:tc>
          <w:tcPr>
            <w:tcW w:w="1100" w:type="dxa"/>
            <w:vAlign w:val="bottom"/>
            <w:tcBorders>
              <w:right w:val="single" w:sz="8" w:color="A0DBF9"/>
            </w:tcBorders>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$1,759,873</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1060" w:type="dxa"/>
            <w:vAlign w:val="bottom"/>
            <w:tcBorders>
              <w:bottom w:val="single" w:sz="8" w:color="A0DBF9"/>
              <w:right w:val="single" w:sz="8" w:color="A0DBF9"/>
            </w:tcBorders>
            <w:gridSpan w:val="2"/>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ind w:left="1"/>
              <w:spacing w:after="0"/>
              <w:rPr>
                <w:sz w:val="20"/>
                <w:szCs w:val="20"/>
                <w:color w:val="auto"/>
              </w:rPr>
            </w:pPr>
            <w:r>
              <w:rPr>
                <w:rFonts w:ascii="Arial" w:cs="Arial" w:eastAsia="Arial" w:hAnsi="Arial"/>
                <w:sz w:val="17"/>
                <w:szCs w:val="17"/>
                <w:color w:val="auto"/>
                <w:w w:val="88"/>
              </w:rPr>
              <w:t>44,084</w:t>
            </w:r>
          </w:p>
        </w:tc>
        <w:tc>
          <w:tcPr>
            <w:tcW w:w="1080" w:type="dxa"/>
            <w:vAlign w:val="bottom"/>
          </w:tcPr>
          <w:p>
            <w:pPr>
              <w:jc w:val="center"/>
              <w:spacing w:after="0"/>
              <w:rPr>
                <w:sz w:val="20"/>
                <w:szCs w:val="20"/>
                <w:color w:val="auto"/>
              </w:rPr>
            </w:pPr>
            <w:r>
              <w:rPr>
                <w:rFonts w:ascii="Arial" w:cs="Arial" w:eastAsia="Arial" w:hAnsi="Arial"/>
                <w:sz w:val="17"/>
                <w:szCs w:val="17"/>
                <w:color w:val="auto"/>
                <w:w w:val="89"/>
              </w:rPr>
              <w:t>$1,029,361</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80" w:type="dxa"/>
            <w:vAlign w:val="bottom"/>
            <w:tcBorders>
              <w:bottom w:val="single" w:sz="8" w:color="A0DBF9"/>
            </w:tcBorders>
          </w:tcPr>
          <w:p>
            <w:pPr>
              <w:spacing w:after="0"/>
              <w:rPr>
                <w:sz w:val="4"/>
                <w:szCs w:val="4"/>
                <w:color w:val="auto"/>
              </w:rPr>
            </w:pPr>
          </w:p>
        </w:tc>
        <w:tc>
          <w:tcPr>
            <w:tcW w:w="9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0DBF9"/>
              <w:right w:val="single" w:sz="8" w:color="A0DBF9"/>
            </w:tcBorders>
            <w:shd w:val="clear" w:color="auto" w:fill="E2F4FC"/>
          </w:tcPr>
          <w:p>
            <w:pPr>
              <w:ind w:left="240"/>
              <w:spacing w:after="0" w:line="188" w:lineRule="exact"/>
              <w:rPr>
                <w:sz w:val="20"/>
                <w:szCs w:val="20"/>
                <w:color w:val="auto"/>
              </w:rPr>
            </w:pPr>
            <w:r>
              <w:rPr>
                <w:rFonts w:ascii="Arial" w:cs="Arial" w:eastAsia="Arial" w:hAnsi="Arial"/>
                <w:sz w:val="17"/>
                <w:szCs w:val="17"/>
                <w:b w:val="1"/>
                <w:bCs w:val="1"/>
                <w:color w:val="auto"/>
              </w:rPr>
              <w:t>Robert J.</w:t>
            </w:r>
          </w:p>
        </w:tc>
        <w:tc>
          <w:tcPr>
            <w:tcW w:w="80" w:type="dxa"/>
            <w:vAlign w:val="bottom"/>
            <w:shd w:val="clear" w:color="auto" w:fill="E2F4FC"/>
          </w:tcPr>
          <w:p>
            <w:pPr>
              <w:spacing w:after="0"/>
              <w:rPr>
                <w:sz w:val="16"/>
                <w:szCs w:val="16"/>
                <w:color w:val="auto"/>
              </w:rPr>
            </w:pPr>
          </w:p>
        </w:tc>
        <w:tc>
          <w:tcPr>
            <w:tcW w:w="9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shd w:val="clear" w:color="auto" w:fill="E2F4FC"/>
          </w:tcPr>
          <w:p>
            <w:pPr>
              <w:spacing w:after="0"/>
              <w:rPr>
                <w:sz w:val="16"/>
                <w:szCs w:val="16"/>
                <w:color w:val="auto"/>
              </w:rPr>
            </w:pPr>
          </w:p>
        </w:tc>
        <w:tc>
          <w:tcPr>
            <w:tcW w:w="20" w:type="dxa"/>
            <w:vAlign w:val="bottom"/>
            <w:shd w:val="clear" w:color="auto" w:fill="A0DBF9"/>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7"/>
                <w:szCs w:val="17"/>
                <w:b w:val="1"/>
                <w:bCs w:val="1"/>
                <w:color w:val="auto"/>
                <w:w w:val="98"/>
              </w:rPr>
              <w:t>Marshall, Jr.</w:t>
            </w:r>
          </w:p>
        </w:tc>
        <w:tc>
          <w:tcPr>
            <w:tcW w:w="80" w:type="dxa"/>
            <w:vAlign w:val="bottom"/>
            <w:tcBorders>
              <w:bottom w:val="single" w:sz="8" w:color="E2F4FC"/>
            </w:tcBorders>
            <w:shd w:val="clear" w:color="auto" w:fill="E2F4FC"/>
          </w:tcPr>
          <w:p>
            <w:pPr>
              <w:spacing w:after="0"/>
              <w:rPr>
                <w:sz w:val="24"/>
                <w:szCs w:val="24"/>
                <w:color w:val="auto"/>
              </w:rPr>
            </w:pPr>
          </w:p>
        </w:tc>
        <w:tc>
          <w:tcPr>
            <w:tcW w:w="9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0"/>
              </w:rPr>
              <w:t>$231,660</w:t>
            </w:r>
          </w:p>
        </w:tc>
        <w:tc>
          <w:tcPr>
            <w:tcW w:w="11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0"/>
              </w:rPr>
              <w:t>$521,235</w:t>
            </w:r>
          </w:p>
        </w:tc>
        <w:tc>
          <w:tcPr>
            <w:tcW w:w="110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10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tcBorders>
            <w:shd w:val="clear" w:color="auto" w:fill="E2F4FC"/>
          </w:tcPr>
          <w:p>
            <w:pPr>
              <w:spacing w:after="0"/>
              <w:rPr>
                <w:sz w:val="24"/>
                <w:szCs w:val="24"/>
                <w:color w:val="auto"/>
              </w:rPr>
            </w:pPr>
          </w:p>
        </w:tc>
        <w:tc>
          <w:tcPr>
            <w:tcW w:w="20" w:type="dxa"/>
            <w:vAlign w:val="bottom"/>
            <w:tcBorders>
              <w:bottom w:val="single" w:sz="8" w:color="A0DBF9"/>
            </w:tcBorders>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2"/>
                <w:szCs w:val="22"/>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4,987</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9"/>
              </w:rPr>
              <w:t>9,973</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8"/>
              </w:rPr>
              <w:t>19,946</w:t>
            </w: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$398,122</w:t>
            </w:r>
          </w:p>
        </w:tc>
        <w:tc>
          <w:tcPr>
            <w:tcW w:w="20" w:type="dxa"/>
            <w:vAlign w:val="bottom"/>
            <w:tcBorders>
              <w:top w:val="single" w:sz="8" w:color="A0DBF9"/>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2"/>
                <w:szCs w:val="22"/>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ind w:left="1"/>
              <w:spacing w:after="0"/>
              <w:rPr>
                <w:sz w:val="20"/>
                <w:szCs w:val="20"/>
                <w:color w:val="auto"/>
              </w:rPr>
            </w:pPr>
            <w:r>
              <w:rPr>
                <w:rFonts w:ascii="Arial" w:cs="Arial" w:eastAsia="Arial" w:hAnsi="Arial"/>
                <w:sz w:val="17"/>
                <w:szCs w:val="17"/>
                <w:color w:val="auto"/>
                <w:w w:val="89"/>
              </w:rPr>
              <w:t>9,973</w:t>
            </w: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$232,870</w:t>
            </w:r>
          </w:p>
        </w:tc>
        <w:tc>
          <w:tcPr>
            <w:tcW w:w="20" w:type="dxa"/>
            <w:vAlign w:val="bottom"/>
            <w:tcBorders>
              <w:top w:val="single" w:sz="8" w:color="A0DBF9"/>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214"/>
        </w:trPr>
        <w:tc>
          <w:tcPr>
            <w:tcW w:w="1260" w:type="dxa"/>
            <w:vAlign w:val="bottom"/>
            <w:tcBorders>
              <w:top w:val="single" w:sz="8" w:color="A0DBF9"/>
              <w:left w:val="single" w:sz="8" w:color="A0DBF9"/>
              <w:right w:val="single" w:sz="8" w:color="A0DBF9"/>
            </w:tcBorders>
          </w:tcPr>
          <w:p>
            <w:pPr>
              <w:ind w:left="240"/>
              <w:spacing w:after="0"/>
              <w:rPr>
                <w:sz w:val="20"/>
                <w:szCs w:val="20"/>
                <w:color w:val="auto"/>
              </w:rPr>
            </w:pPr>
            <w:r>
              <w:rPr>
                <w:rFonts w:ascii="Arial" w:cs="Arial" w:eastAsia="Arial" w:hAnsi="Arial"/>
                <w:sz w:val="17"/>
                <w:szCs w:val="17"/>
                <w:b w:val="1"/>
                <w:bCs w:val="1"/>
                <w:color w:val="auto"/>
              </w:rPr>
              <w:t>John Bolla</w:t>
            </w:r>
          </w:p>
        </w:tc>
        <w:tc>
          <w:tcPr>
            <w:tcW w:w="80" w:type="dxa"/>
            <w:vAlign w:val="bottom"/>
            <w:tcBorders>
              <w:top w:val="single" w:sz="8" w:color="A0DBF9"/>
            </w:tcBorders>
          </w:tcPr>
          <w:p>
            <w:pPr>
              <w:spacing w:after="0"/>
              <w:rPr>
                <w:sz w:val="18"/>
                <w:szCs w:val="18"/>
                <w:color w:val="auto"/>
              </w:rPr>
            </w:pPr>
          </w:p>
        </w:tc>
        <w:tc>
          <w:tcPr>
            <w:tcW w:w="980" w:type="dxa"/>
            <w:vAlign w:val="bottom"/>
            <w:tcBorders>
              <w:top w:val="single" w:sz="8" w:color="A0DBF9"/>
              <w:right w:val="single" w:sz="8" w:color="A0DBF9"/>
            </w:tcBorders>
          </w:tcPr>
          <w:p>
            <w:pPr>
              <w:spacing w:after="0"/>
              <w:rPr>
                <w:sz w:val="18"/>
                <w:szCs w:val="18"/>
                <w:color w:val="auto"/>
              </w:rPr>
            </w:pPr>
          </w:p>
        </w:tc>
        <w:tc>
          <w:tcPr>
            <w:tcW w:w="1080" w:type="dxa"/>
            <w:vAlign w:val="bottom"/>
            <w:tcBorders>
              <w:top w:val="single" w:sz="8" w:color="A0DBF9"/>
              <w:right w:val="single" w:sz="8" w:color="A0DBF9"/>
            </w:tcBorders>
          </w:tcPr>
          <w:p>
            <w:pPr>
              <w:spacing w:after="0"/>
              <w:rPr>
                <w:sz w:val="18"/>
                <w:szCs w:val="18"/>
                <w:color w:val="auto"/>
              </w:rPr>
            </w:pPr>
          </w:p>
        </w:tc>
        <w:tc>
          <w:tcPr>
            <w:tcW w:w="108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7"/>
                <w:szCs w:val="17"/>
                <w:color w:val="auto"/>
                <w:w w:val="90"/>
              </w:rPr>
              <w:t>$162,000</w:t>
            </w:r>
          </w:p>
        </w:tc>
        <w:tc>
          <w:tcPr>
            <w:tcW w:w="110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7"/>
                <w:szCs w:val="17"/>
                <w:color w:val="auto"/>
                <w:w w:val="90"/>
              </w:rPr>
              <w:t>$364,500</w:t>
            </w:r>
          </w:p>
        </w:tc>
        <w:tc>
          <w:tcPr>
            <w:tcW w:w="1100" w:type="dxa"/>
            <w:vAlign w:val="bottom"/>
            <w:tcBorders>
              <w:top w:val="single" w:sz="8" w:color="A0DBF9"/>
              <w:right w:val="single" w:sz="8" w:color="A0DBF9"/>
            </w:tcBorders>
          </w:tcPr>
          <w:p>
            <w:pPr>
              <w:spacing w:after="0"/>
              <w:rPr>
                <w:sz w:val="18"/>
                <w:szCs w:val="18"/>
                <w:color w:val="auto"/>
              </w:rPr>
            </w:pPr>
          </w:p>
        </w:tc>
        <w:tc>
          <w:tcPr>
            <w:tcW w:w="1080" w:type="dxa"/>
            <w:vAlign w:val="bottom"/>
            <w:tcBorders>
              <w:top w:val="single" w:sz="8" w:color="A0DBF9"/>
              <w:right w:val="single" w:sz="8" w:color="A0DBF9"/>
            </w:tcBorders>
          </w:tcPr>
          <w:p>
            <w:pPr>
              <w:spacing w:after="0"/>
              <w:rPr>
                <w:sz w:val="18"/>
                <w:szCs w:val="18"/>
                <w:color w:val="auto"/>
              </w:rPr>
            </w:pPr>
          </w:p>
        </w:tc>
        <w:tc>
          <w:tcPr>
            <w:tcW w:w="1080" w:type="dxa"/>
            <w:vAlign w:val="bottom"/>
            <w:tcBorders>
              <w:top w:val="single" w:sz="8" w:color="A0DBF9"/>
              <w:right w:val="single" w:sz="8" w:color="A0DBF9"/>
            </w:tcBorders>
          </w:tcPr>
          <w:p>
            <w:pPr>
              <w:spacing w:after="0"/>
              <w:rPr>
                <w:sz w:val="18"/>
                <w:szCs w:val="18"/>
                <w:color w:val="auto"/>
              </w:rPr>
            </w:pPr>
          </w:p>
        </w:tc>
        <w:tc>
          <w:tcPr>
            <w:tcW w:w="1100" w:type="dxa"/>
            <w:vAlign w:val="bottom"/>
            <w:tcBorders>
              <w:top w:val="single" w:sz="8" w:color="A0DBF9"/>
              <w:right w:val="single" w:sz="8" w:color="A0DBF9"/>
            </w:tcBorders>
          </w:tcPr>
          <w:p>
            <w:pPr>
              <w:spacing w:after="0"/>
              <w:rPr>
                <w:sz w:val="18"/>
                <w:szCs w:val="18"/>
                <w:color w:val="auto"/>
              </w:rPr>
            </w:pPr>
          </w:p>
        </w:tc>
        <w:tc>
          <w:tcPr>
            <w:tcW w:w="1080" w:type="dxa"/>
            <w:vAlign w:val="bottom"/>
            <w:tcBorders>
              <w:top w:val="single" w:sz="8" w:color="A0DBF9"/>
            </w:tcBorders>
          </w:tcPr>
          <w:p>
            <w:pPr>
              <w:spacing w:after="0"/>
              <w:rPr>
                <w:sz w:val="18"/>
                <w:szCs w:val="18"/>
                <w:color w:val="auto"/>
              </w:rPr>
            </w:pPr>
          </w:p>
        </w:tc>
        <w:tc>
          <w:tcPr>
            <w:tcW w:w="20" w:type="dxa"/>
            <w:vAlign w:val="bottom"/>
            <w:tcBorders>
              <w:top w:val="single" w:sz="8" w:color="A0DBF9"/>
            </w:tcBorders>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0"/>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1060" w:type="dxa"/>
            <w:vAlign w:val="bottom"/>
            <w:tcBorders>
              <w:bottom w:val="single" w:sz="8" w:color="A0DBF9"/>
              <w:right w:val="single" w:sz="8" w:color="A0DBF9"/>
            </w:tcBorders>
            <w:gridSpan w:val="2"/>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3"/>
              </w:rPr>
              <w:t>4,039</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9"/>
              </w:rPr>
              <w:t>8,077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8"/>
              </w:rPr>
              <w:t>16,154</w:t>
            </w:r>
          </w:p>
        </w:tc>
        <w:tc>
          <w:tcPr>
            <w:tcW w:w="1100" w:type="dxa"/>
            <w:vAlign w:val="bottom"/>
            <w:tcBorders>
              <w:right w:val="single" w:sz="8" w:color="A0DBF9"/>
            </w:tcBorders>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$322,434</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1060" w:type="dxa"/>
            <w:vAlign w:val="bottom"/>
            <w:tcBorders>
              <w:bottom w:val="single" w:sz="8" w:color="A0DBF9"/>
              <w:right w:val="single" w:sz="8" w:color="A0DBF9"/>
            </w:tcBorders>
            <w:gridSpan w:val="2"/>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ind w:left="1"/>
              <w:spacing w:after="0"/>
              <w:rPr>
                <w:sz w:val="20"/>
                <w:szCs w:val="20"/>
                <w:color w:val="auto"/>
              </w:rPr>
            </w:pPr>
            <w:r>
              <w:rPr>
                <w:rFonts w:ascii="Arial" w:cs="Arial" w:eastAsia="Arial" w:hAnsi="Arial"/>
                <w:sz w:val="17"/>
                <w:szCs w:val="17"/>
                <w:color w:val="auto"/>
                <w:w w:val="89"/>
              </w:rPr>
              <w:t>8,077</w:t>
            </w: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$188,598</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80" w:type="dxa"/>
            <w:vAlign w:val="bottom"/>
            <w:tcBorders>
              <w:bottom w:val="single" w:sz="8" w:color="A0DBF9"/>
            </w:tcBorders>
          </w:tcPr>
          <w:p>
            <w:pPr>
              <w:spacing w:after="0"/>
              <w:rPr>
                <w:sz w:val="4"/>
                <w:szCs w:val="4"/>
                <w:color w:val="auto"/>
              </w:rPr>
            </w:pPr>
          </w:p>
        </w:tc>
        <w:tc>
          <w:tcPr>
            <w:tcW w:w="9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0DBF9"/>
              <w:right w:val="single" w:sz="8" w:color="A0DBF9"/>
            </w:tcBorders>
            <w:shd w:val="clear" w:color="auto" w:fill="E2F4FC"/>
          </w:tcPr>
          <w:p>
            <w:pPr>
              <w:ind w:left="240"/>
              <w:spacing w:after="0" w:line="188" w:lineRule="exact"/>
              <w:rPr>
                <w:sz w:val="20"/>
                <w:szCs w:val="20"/>
                <w:color w:val="auto"/>
              </w:rPr>
            </w:pPr>
            <w:r>
              <w:rPr>
                <w:rFonts w:ascii="Arial" w:cs="Arial" w:eastAsia="Arial" w:hAnsi="Arial"/>
                <w:sz w:val="17"/>
                <w:szCs w:val="17"/>
                <w:b w:val="1"/>
                <w:bCs w:val="1"/>
                <w:color w:val="auto"/>
              </w:rPr>
              <w:t>Michael P.</w:t>
            </w:r>
          </w:p>
        </w:tc>
        <w:tc>
          <w:tcPr>
            <w:tcW w:w="80" w:type="dxa"/>
            <w:vAlign w:val="bottom"/>
            <w:shd w:val="clear" w:color="auto" w:fill="E2F4FC"/>
          </w:tcPr>
          <w:p>
            <w:pPr>
              <w:spacing w:after="0"/>
              <w:rPr>
                <w:sz w:val="16"/>
                <w:szCs w:val="16"/>
                <w:color w:val="auto"/>
              </w:rPr>
            </w:pPr>
          </w:p>
        </w:tc>
        <w:tc>
          <w:tcPr>
            <w:tcW w:w="9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shd w:val="clear" w:color="auto" w:fill="E2F4FC"/>
          </w:tcPr>
          <w:p>
            <w:pPr>
              <w:spacing w:after="0"/>
              <w:rPr>
                <w:sz w:val="16"/>
                <w:szCs w:val="16"/>
                <w:color w:val="auto"/>
              </w:rPr>
            </w:pPr>
          </w:p>
        </w:tc>
        <w:tc>
          <w:tcPr>
            <w:tcW w:w="20" w:type="dxa"/>
            <w:vAlign w:val="bottom"/>
            <w:shd w:val="clear" w:color="auto" w:fill="A0DBF9"/>
          </w:tcPr>
          <w:p>
            <w:pPr>
              <w:spacing w:after="0"/>
              <w:rPr>
                <w:sz w:val="16"/>
                <w:szCs w:val="16"/>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7"/>
                <w:szCs w:val="17"/>
                <w:b w:val="1"/>
                <w:bCs w:val="1"/>
                <w:color w:val="auto"/>
              </w:rPr>
              <w:t>Duffy</w:t>
            </w:r>
          </w:p>
        </w:tc>
        <w:tc>
          <w:tcPr>
            <w:tcW w:w="80" w:type="dxa"/>
            <w:vAlign w:val="bottom"/>
            <w:tcBorders>
              <w:bottom w:val="single" w:sz="8" w:color="E2F4FC"/>
            </w:tcBorders>
            <w:shd w:val="clear" w:color="auto" w:fill="E2F4FC"/>
          </w:tcPr>
          <w:p>
            <w:pPr>
              <w:spacing w:after="0"/>
              <w:rPr>
                <w:sz w:val="24"/>
                <w:szCs w:val="24"/>
                <w:color w:val="auto"/>
              </w:rPr>
            </w:pPr>
          </w:p>
        </w:tc>
        <w:tc>
          <w:tcPr>
            <w:tcW w:w="9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0"/>
              </w:rPr>
              <w:t>$211,640</w:t>
            </w:r>
          </w:p>
        </w:tc>
        <w:tc>
          <w:tcPr>
            <w:tcW w:w="11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0"/>
              </w:rPr>
              <w:t>$476,190</w:t>
            </w:r>
          </w:p>
        </w:tc>
        <w:tc>
          <w:tcPr>
            <w:tcW w:w="110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10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tcBorders>
            <w:shd w:val="clear" w:color="auto" w:fill="E2F4FC"/>
          </w:tcPr>
          <w:p>
            <w:pPr>
              <w:spacing w:after="0"/>
              <w:rPr>
                <w:sz w:val="24"/>
                <w:szCs w:val="24"/>
                <w:color w:val="auto"/>
              </w:rPr>
            </w:pPr>
          </w:p>
        </w:tc>
        <w:tc>
          <w:tcPr>
            <w:tcW w:w="20" w:type="dxa"/>
            <w:vAlign w:val="bottom"/>
            <w:tcBorders>
              <w:bottom w:val="single" w:sz="8" w:color="A0DBF9"/>
            </w:tcBorders>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269"/>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2"/>
                <w:szCs w:val="22"/>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9"/>
              </w:rPr>
              <w:t>5,011</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8"/>
              </w:rPr>
              <w:t>10,022</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8"/>
              </w:rPr>
              <w:t>20,044</w:t>
            </w: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$400,078</w:t>
            </w:r>
          </w:p>
        </w:tc>
        <w:tc>
          <w:tcPr>
            <w:tcW w:w="20" w:type="dxa"/>
            <w:vAlign w:val="bottom"/>
            <w:tcBorders>
              <w:top w:val="single" w:sz="8" w:color="A0DBF9"/>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2"/>
                <w:szCs w:val="22"/>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ind w:left="1"/>
              <w:spacing w:after="0"/>
              <w:rPr>
                <w:sz w:val="20"/>
                <w:szCs w:val="20"/>
                <w:color w:val="auto"/>
              </w:rPr>
            </w:pPr>
            <w:r>
              <w:rPr>
                <w:rFonts w:ascii="Arial" w:cs="Arial" w:eastAsia="Arial" w:hAnsi="Arial"/>
                <w:sz w:val="17"/>
                <w:szCs w:val="17"/>
                <w:color w:val="auto"/>
                <w:w w:val="88"/>
              </w:rPr>
              <w:t>10,022</w:t>
            </w: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$234,014</w:t>
            </w:r>
          </w:p>
        </w:tc>
        <w:tc>
          <w:tcPr>
            <w:tcW w:w="20" w:type="dxa"/>
            <w:vAlign w:val="bottom"/>
            <w:tcBorders>
              <w:top w:val="single" w:sz="8" w:color="A0DBF9"/>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188"/>
        </w:trPr>
        <w:tc>
          <w:tcPr>
            <w:tcW w:w="1260" w:type="dxa"/>
            <w:vAlign w:val="bottom"/>
            <w:tcBorders>
              <w:top w:val="single" w:sz="8" w:color="A0DBF9"/>
              <w:left w:val="single" w:sz="8" w:color="A0DBF9"/>
              <w:right w:val="single" w:sz="8" w:color="A0DBF9"/>
            </w:tcBorders>
          </w:tcPr>
          <w:p>
            <w:pPr>
              <w:ind w:left="240"/>
              <w:spacing w:after="0" w:line="188" w:lineRule="exact"/>
              <w:rPr>
                <w:sz w:val="20"/>
                <w:szCs w:val="20"/>
                <w:color w:val="auto"/>
              </w:rPr>
            </w:pPr>
            <w:r>
              <w:rPr>
                <w:rFonts w:ascii="Arial" w:cs="Arial" w:eastAsia="Arial" w:hAnsi="Arial"/>
                <w:sz w:val="17"/>
                <w:szCs w:val="17"/>
                <w:b w:val="1"/>
                <w:bCs w:val="1"/>
                <w:color w:val="auto"/>
              </w:rPr>
              <w:t>Simon</w:t>
            </w:r>
          </w:p>
        </w:tc>
        <w:tc>
          <w:tcPr>
            <w:tcW w:w="80" w:type="dxa"/>
            <w:vAlign w:val="bottom"/>
            <w:tcBorders>
              <w:top w:val="single" w:sz="8" w:color="A0DBF9"/>
            </w:tcBorders>
          </w:tcPr>
          <w:p>
            <w:pPr>
              <w:spacing w:after="0"/>
              <w:rPr>
                <w:sz w:val="16"/>
                <w:szCs w:val="16"/>
                <w:color w:val="auto"/>
              </w:rPr>
            </w:pPr>
          </w:p>
        </w:tc>
        <w:tc>
          <w:tcPr>
            <w:tcW w:w="9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right w:val="single" w:sz="8" w:color="A0DBF9"/>
            </w:tcBorders>
          </w:tcPr>
          <w:p>
            <w:pPr>
              <w:spacing w:after="0"/>
              <w:rPr>
                <w:sz w:val="16"/>
                <w:szCs w:val="16"/>
                <w:color w:val="auto"/>
              </w:rPr>
            </w:pPr>
          </w:p>
        </w:tc>
        <w:tc>
          <w:tcPr>
            <w:tcW w:w="1100" w:type="dxa"/>
            <w:vAlign w:val="bottom"/>
            <w:tcBorders>
              <w:top w:val="single" w:sz="8" w:color="A0DBF9"/>
              <w:right w:val="single" w:sz="8" w:color="A0DBF9"/>
            </w:tcBorders>
          </w:tcPr>
          <w:p>
            <w:pPr>
              <w:spacing w:after="0"/>
              <w:rPr>
                <w:sz w:val="16"/>
                <w:szCs w:val="16"/>
                <w:color w:val="auto"/>
              </w:rPr>
            </w:pPr>
          </w:p>
        </w:tc>
        <w:tc>
          <w:tcPr>
            <w:tcW w:w="1080" w:type="dxa"/>
            <w:vAlign w:val="bottom"/>
            <w:tcBorders>
              <w:top w:val="single" w:sz="8" w:color="A0DBF9"/>
            </w:tcBorders>
          </w:tcPr>
          <w:p>
            <w:pPr>
              <w:spacing w:after="0"/>
              <w:rPr>
                <w:sz w:val="16"/>
                <w:szCs w:val="16"/>
                <w:color w:val="auto"/>
              </w:rPr>
            </w:pPr>
          </w:p>
        </w:tc>
        <w:tc>
          <w:tcPr>
            <w:tcW w:w="20" w:type="dxa"/>
            <w:vAlign w:val="bottom"/>
            <w:tcBorders>
              <w:top w:val="single" w:sz="8" w:color="A0DBF9"/>
            </w:tcBorders>
            <w:shd w:val="clear" w:color="auto" w:fill="A0DBF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7"/>
                <w:szCs w:val="17"/>
                <w:b w:val="1"/>
                <w:bCs w:val="1"/>
                <w:color w:val="auto"/>
              </w:rPr>
              <w:t>Robinson,</w:t>
            </w:r>
          </w:p>
        </w:tc>
        <w:tc>
          <w:tcPr>
            <w:tcW w:w="80" w:type="dxa"/>
            <w:vAlign w:val="bottom"/>
          </w:tcPr>
          <w:p>
            <w:pPr>
              <w:spacing w:after="0"/>
              <w:rPr>
                <w:sz w:val="17"/>
                <w:szCs w:val="17"/>
                <w:color w:val="auto"/>
              </w:rPr>
            </w:pPr>
          </w:p>
        </w:tc>
        <w:tc>
          <w:tcPr>
            <w:tcW w:w="980" w:type="dxa"/>
            <w:vAlign w:val="bottom"/>
            <w:tcBorders>
              <w:right w:val="single" w:sz="8" w:color="A0DBF9"/>
            </w:tcBorders>
          </w:tcPr>
          <w:p>
            <w:pPr>
              <w:spacing w:after="0"/>
              <w:rPr>
                <w:sz w:val="17"/>
                <w:szCs w:val="17"/>
                <w:color w:val="auto"/>
              </w:rPr>
            </w:pPr>
          </w:p>
        </w:tc>
        <w:tc>
          <w:tcPr>
            <w:tcW w:w="1080" w:type="dxa"/>
            <w:vAlign w:val="bottom"/>
            <w:tcBorders>
              <w:right w:val="single" w:sz="8" w:color="A0DBF9"/>
            </w:tcBorders>
          </w:tcPr>
          <w:p>
            <w:pPr>
              <w:spacing w:after="0"/>
              <w:rPr>
                <w:sz w:val="17"/>
                <w:szCs w:val="17"/>
                <w:color w:val="auto"/>
              </w:rPr>
            </w:pPr>
          </w:p>
        </w:tc>
        <w:tc>
          <w:tcPr>
            <w:tcW w:w="1080" w:type="dxa"/>
            <w:vAlign w:val="bottom"/>
            <w:tcBorders>
              <w:right w:val="single" w:sz="8" w:color="A0DBF9"/>
            </w:tcBorders>
          </w:tcPr>
          <w:p>
            <w:pPr>
              <w:spacing w:after="0"/>
              <w:rPr>
                <w:sz w:val="17"/>
                <w:szCs w:val="17"/>
                <w:color w:val="auto"/>
              </w:rPr>
            </w:pPr>
          </w:p>
        </w:tc>
        <w:tc>
          <w:tcPr>
            <w:tcW w:w="1100" w:type="dxa"/>
            <w:vAlign w:val="bottom"/>
            <w:tcBorders>
              <w:right w:val="single" w:sz="8" w:color="A0DBF9"/>
            </w:tcBorders>
          </w:tcPr>
          <w:p>
            <w:pPr>
              <w:spacing w:after="0"/>
              <w:rPr>
                <w:sz w:val="17"/>
                <w:szCs w:val="17"/>
                <w:color w:val="auto"/>
              </w:rPr>
            </w:pPr>
          </w:p>
        </w:tc>
        <w:tc>
          <w:tcPr>
            <w:tcW w:w="1100" w:type="dxa"/>
            <w:vAlign w:val="bottom"/>
            <w:tcBorders>
              <w:right w:val="single" w:sz="8" w:color="A0DBF9"/>
            </w:tcBorders>
          </w:tcPr>
          <w:p>
            <w:pPr>
              <w:spacing w:after="0"/>
              <w:rPr>
                <w:sz w:val="17"/>
                <w:szCs w:val="17"/>
                <w:color w:val="auto"/>
              </w:rPr>
            </w:pPr>
          </w:p>
        </w:tc>
        <w:tc>
          <w:tcPr>
            <w:tcW w:w="1080" w:type="dxa"/>
            <w:vAlign w:val="bottom"/>
            <w:tcBorders>
              <w:right w:val="single" w:sz="8" w:color="A0DBF9"/>
            </w:tcBorders>
          </w:tcPr>
          <w:p>
            <w:pPr>
              <w:spacing w:after="0"/>
              <w:rPr>
                <w:sz w:val="17"/>
                <w:szCs w:val="17"/>
                <w:color w:val="auto"/>
              </w:rPr>
            </w:pPr>
          </w:p>
        </w:tc>
        <w:tc>
          <w:tcPr>
            <w:tcW w:w="1080" w:type="dxa"/>
            <w:vAlign w:val="bottom"/>
            <w:tcBorders>
              <w:right w:val="single" w:sz="8" w:color="A0DBF9"/>
            </w:tcBorders>
          </w:tcPr>
          <w:p>
            <w:pPr>
              <w:spacing w:after="0"/>
              <w:rPr>
                <w:sz w:val="17"/>
                <w:szCs w:val="17"/>
                <w:color w:val="auto"/>
              </w:rPr>
            </w:pPr>
          </w:p>
        </w:tc>
        <w:tc>
          <w:tcPr>
            <w:tcW w:w="1100" w:type="dxa"/>
            <w:vAlign w:val="bottom"/>
            <w:tcBorders>
              <w:right w:val="single" w:sz="8" w:color="A0DBF9"/>
            </w:tcBorders>
          </w:tcPr>
          <w:p>
            <w:pPr>
              <w:spacing w:after="0"/>
              <w:rPr>
                <w:sz w:val="17"/>
                <w:szCs w:val="17"/>
                <w:color w:val="auto"/>
              </w:rPr>
            </w:pPr>
          </w:p>
        </w:tc>
        <w:tc>
          <w:tcPr>
            <w:tcW w:w="1080" w:type="dxa"/>
            <w:vAlign w:val="bottom"/>
          </w:tcPr>
          <w:p>
            <w:pPr>
              <w:spacing w:after="0"/>
              <w:rPr>
                <w:sz w:val="17"/>
                <w:szCs w:val="17"/>
                <w:color w:val="auto"/>
              </w:rPr>
            </w:pPr>
          </w:p>
        </w:tc>
        <w:tc>
          <w:tcPr>
            <w:tcW w:w="20" w:type="dxa"/>
            <w:vAlign w:val="bottom"/>
            <w:shd w:val="clear" w:color="auto" w:fill="A0DBF9"/>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12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7"/>
                <w:szCs w:val="17"/>
                <w:b w:val="1"/>
                <w:bCs w:val="1"/>
                <w:color w:val="auto"/>
              </w:rPr>
              <w:t>Ph.D.</w:t>
            </w:r>
          </w:p>
        </w:tc>
        <w:tc>
          <w:tcPr>
            <w:tcW w:w="80" w:type="dxa"/>
            <w:vAlign w:val="bottom"/>
          </w:tcPr>
          <w:p>
            <w:pPr>
              <w:spacing w:after="0"/>
              <w:rPr>
                <w:sz w:val="19"/>
                <w:szCs w:val="19"/>
                <w:color w:val="auto"/>
              </w:rPr>
            </w:pPr>
          </w:p>
        </w:tc>
        <w:tc>
          <w:tcPr>
            <w:tcW w:w="9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0"/>
              </w:rPr>
              <w:t>$136,448</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0"/>
              </w:rPr>
              <w:t>$307,008</w:t>
            </w:r>
          </w:p>
        </w:tc>
        <w:tc>
          <w:tcPr>
            <w:tcW w:w="110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100" w:type="dxa"/>
            <w:vAlign w:val="bottom"/>
            <w:tcBorders>
              <w:right w:val="single" w:sz="8" w:color="A0DBF9"/>
            </w:tcBorders>
          </w:tcPr>
          <w:p>
            <w:pPr>
              <w:spacing w:after="0"/>
              <w:rPr>
                <w:sz w:val="19"/>
                <w:szCs w:val="19"/>
                <w:color w:val="auto"/>
              </w:rPr>
            </w:pPr>
          </w:p>
        </w:tc>
        <w:tc>
          <w:tcPr>
            <w:tcW w:w="1080" w:type="dxa"/>
            <w:vAlign w:val="bottom"/>
          </w:tcPr>
          <w:p>
            <w:pPr>
              <w:spacing w:after="0"/>
              <w:rPr>
                <w:sz w:val="19"/>
                <w:szCs w:val="19"/>
                <w:color w:val="auto"/>
              </w:rPr>
            </w:pPr>
          </w:p>
        </w:tc>
        <w:tc>
          <w:tcPr>
            <w:tcW w:w="20" w:type="dxa"/>
            <w:vAlign w:val="bottom"/>
            <w:shd w:val="clear" w:color="auto" w:fill="A0DBF9"/>
          </w:tcPr>
          <w:p>
            <w:pPr>
              <w:spacing w:after="0"/>
              <w:rPr>
                <w:sz w:val="19"/>
                <w:szCs w:val="19"/>
                <w:color w:val="auto"/>
              </w:rPr>
            </w:pPr>
          </w:p>
        </w:tc>
        <w:tc>
          <w:tcPr>
            <w:tcW w:w="0" w:type="dxa"/>
            <w:vAlign w:val="bottom"/>
          </w:tcPr>
          <w:p>
            <w:pPr>
              <w:spacing w:after="0"/>
              <w:rPr>
                <w:sz w:val="1"/>
                <w:szCs w:val="1"/>
                <w:color w:val="auto"/>
              </w:rPr>
            </w:pPr>
          </w:p>
        </w:tc>
      </w:tr>
      <w:tr>
        <w:trPr>
          <w:trHeight w:val="58"/>
        </w:trPr>
        <w:tc>
          <w:tcPr>
            <w:tcW w:w="1260" w:type="dxa"/>
            <w:vAlign w:val="bottom"/>
            <w:tcBorders>
              <w:left w:val="single" w:sz="8" w:color="A0DBF9"/>
              <w:bottom w:val="single" w:sz="8" w:color="A0DBF9"/>
              <w:right w:val="single" w:sz="8" w:color="A0DBF9"/>
            </w:tcBorders>
          </w:tcPr>
          <w:p>
            <w:pPr>
              <w:spacing w:after="0"/>
              <w:rPr>
                <w:sz w:val="5"/>
                <w:szCs w:val="5"/>
                <w:color w:val="auto"/>
              </w:rPr>
            </w:pPr>
          </w:p>
        </w:tc>
        <w:tc>
          <w:tcPr>
            <w:tcW w:w="1060" w:type="dxa"/>
            <w:vAlign w:val="bottom"/>
            <w:tcBorders>
              <w:bottom w:val="single" w:sz="8" w:color="A0DBF9"/>
              <w:right w:val="single" w:sz="8" w:color="A0DBF9"/>
            </w:tcBorders>
            <w:gridSpan w:val="2"/>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right w:val="single" w:sz="8" w:color="A0DBF9"/>
            </w:tcBorders>
          </w:tcPr>
          <w:p>
            <w:pPr>
              <w:spacing w:after="0"/>
              <w:rPr>
                <w:sz w:val="5"/>
                <w:szCs w:val="5"/>
                <w:color w:val="auto"/>
              </w:rPr>
            </w:pPr>
          </w:p>
        </w:tc>
        <w:tc>
          <w:tcPr>
            <w:tcW w:w="1100" w:type="dxa"/>
            <w:vAlign w:val="bottom"/>
            <w:tcBorders>
              <w:bottom w:val="single" w:sz="8" w:color="A0DBF9"/>
              <w:right w:val="single" w:sz="8" w:color="A0DBF9"/>
            </w:tcBorders>
          </w:tcPr>
          <w:p>
            <w:pPr>
              <w:spacing w:after="0"/>
              <w:rPr>
                <w:sz w:val="5"/>
                <w:szCs w:val="5"/>
                <w:color w:val="auto"/>
              </w:rPr>
            </w:pPr>
          </w:p>
        </w:tc>
        <w:tc>
          <w:tcPr>
            <w:tcW w:w="1080" w:type="dxa"/>
            <w:vAlign w:val="bottom"/>
            <w:tcBorders>
              <w:bottom w:val="single" w:sz="8" w:color="A0DBF9"/>
            </w:tcBorders>
          </w:tcPr>
          <w:p>
            <w:pPr>
              <w:spacing w:after="0"/>
              <w:rPr>
                <w:sz w:val="5"/>
                <w:szCs w:val="5"/>
                <w:color w:val="auto"/>
              </w:rPr>
            </w:pPr>
          </w:p>
        </w:tc>
        <w:tc>
          <w:tcPr>
            <w:tcW w:w="20" w:type="dxa"/>
            <w:vAlign w:val="bottom"/>
            <w:tcBorders>
              <w:bottom w:val="single" w:sz="8" w:color="A0DBF9"/>
            </w:tcBorders>
            <w:shd w:val="clear" w:color="auto" w:fill="A0DBF9"/>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3"/>
              </w:rPr>
              <w:t>4,039</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9"/>
              </w:rPr>
              <w:t>8,077</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88"/>
              </w:rPr>
              <w:t>16,154</w:t>
            </w:r>
          </w:p>
        </w:tc>
        <w:tc>
          <w:tcPr>
            <w:tcW w:w="1100" w:type="dxa"/>
            <w:vAlign w:val="bottom"/>
            <w:tcBorders>
              <w:right w:val="single" w:sz="8" w:color="A0DBF9"/>
            </w:tcBorders>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$322,434</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1060" w:type="dxa"/>
            <w:vAlign w:val="bottom"/>
            <w:tcBorders>
              <w:bottom w:val="single" w:sz="8" w:color="A0DBF9"/>
              <w:right w:val="single" w:sz="8" w:color="A0DBF9"/>
            </w:tcBorders>
            <w:gridSpan w:val="2"/>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right w:val="single" w:sz="8" w:color="A0DBF9"/>
            </w:tcBorders>
          </w:tcPr>
          <w:p>
            <w:pPr>
              <w:spacing w:after="0"/>
              <w:rPr>
                <w:sz w:val="18"/>
                <w:szCs w:val="18"/>
                <w:color w:val="auto"/>
              </w:rPr>
            </w:pPr>
          </w:p>
        </w:tc>
        <w:tc>
          <w:tcPr>
            <w:tcW w:w="1060" w:type="dxa"/>
            <w:vAlign w:val="bottom"/>
            <w:tcBorders>
              <w:right w:val="single" w:sz="8" w:color="A0DBF9"/>
            </w:tcBorders>
            <w:gridSpan w:val="2"/>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080" w:type="dxa"/>
            <w:vAlign w:val="bottom"/>
            <w:tcBorders>
              <w:right w:val="single" w:sz="8" w:color="A0DBF9"/>
            </w:tcBorders>
          </w:tcPr>
          <w:p>
            <w:pPr>
              <w:spacing w:after="0"/>
              <w:rPr>
                <w:sz w:val="18"/>
                <w:szCs w:val="18"/>
                <w:color w:val="auto"/>
              </w:rPr>
            </w:pPr>
          </w:p>
        </w:tc>
        <w:tc>
          <w:tcPr>
            <w:tcW w:w="1100" w:type="dxa"/>
            <w:vAlign w:val="bottom"/>
            <w:tcBorders>
              <w:right w:val="single" w:sz="8" w:color="A0DBF9"/>
            </w:tcBorders>
          </w:tcPr>
          <w:p>
            <w:pPr>
              <w:jc w:val="center"/>
              <w:ind w:left="1"/>
              <w:spacing w:after="0"/>
              <w:rPr>
                <w:sz w:val="20"/>
                <w:szCs w:val="20"/>
                <w:color w:val="auto"/>
              </w:rPr>
            </w:pPr>
            <w:r>
              <w:rPr>
                <w:rFonts w:ascii="Arial" w:cs="Arial" w:eastAsia="Arial" w:hAnsi="Arial"/>
                <w:sz w:val="17"/>
                <w:szCs w:val="17"/>
                <w:color w:val="auto"/>
                <w:w w:val="89"/>
              </w:rPr>
              <w:t>8,077</w:t>
            </w:r>
          </w:p>
        </w:tc>
        <w:tc>
          <w:tcPr>
            <w:tcW w:w="1080" w:type="dxa"/>
            <w:vAlign w:val="bottom"/>
          </w:tcPr>
          <w:p>
            <w:pPr>
              <w:jc w:val="center"/>
              <w:spacing w:after="0"/>
              <w:rPr>
                <w:sz w:val="20"/>
                <w:szCs w:val="20"/>
                <w:color w:val="auto"/>
              </w:rPr>
            </w:pPr>
            <w:r>
              <w:rPr>
                <w:rFonts w:ascii="Arial" w:cs="Arial" w:eastAsia="Arial" w:hAnsi="Arial"/>
                <w:sz w:val="17"/>
                <w:szCs w:val="17"/>
                <w:color w:val="auto"/>
                <w:w w:val="90"/>
              </w:rPr>
              <w:t>$188,598</w:t>
            </w:r>
          </w:p>
        </w:tc>
        <w:tc>
          <w:tcPr>
            <w:tcW w:w="20" w:type="dxa"/>
            <w:vAlign w:val="bottom"/>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260" w:type="dxa"/>
            <w:vAlign w:val="bottom"/>
            <w:tcBorders>
              <w:left w:val="single" w:sz="8" w:color="A0DBF9"/>
              <w:bottom w:val="single" w:sz="8" w:color="A0DBF9"/>
              <w:right w:val="single" w:sz="8" w:color="A0DBF9"/>
            </w:tcBorders>
          </w:tcPr>
          <w:p>
            <w:pPr>
              <w:spacing w:after="0"/>
              <w:rPr>
                <w:sz w:val="4"/>
                <w:szCs w:val="4"/>
                <w:color w:val="auto"/>
              </w:rPr>
            </w:pPr>
          </w:p>
        </w:tc>
        <w:tc>
          <w:tcPr>
            <w:tcW w:w="80" w:type="dxa"/>
            <w:vAlign w:val="bottom"/>
            <w:tcBorders>
              <w:bottom w:val="single" w:sz="8" w:color="A0DBF9"/>
            </w:tcBorders>
          </w:tcPr>
          <w:p>
            <w:pPr>
              <w:spacing w:after="0"/>
              <w:rPr>
                <w:sz w:val="4"/>
                <w:szCs w:val="4"/>
                <w:color w:val="auto"/>
              </w:rPr>
            </w:pPr>
          </w:p>
        </w:tc>
        <w:tc>
          <w:tcPr>
            <w:tcW w:w="9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right w:val="single" w:sz="8" w:color="A0DBF9"/>
            </w:tcBorders>
          </w:tcPr>
          <w:p>
            <w:pPr>
              <w:spacing w:after="0"/>
              <w:rPr>
                <w:sz w:val="4"/>
                <w:szCs w:val="4"/>
                <w:color w:val="auto"/>
              </w:rPr>
            </w:pPr>
          </w:p>
        </w:tc>
        <w:tc>
          <w:tcPr>
            <w:tcW w:w="1100" w:type="dxa"/>
            <w:vAlign w:val="bottom"/>
            <w:tcBorders>
              <w:bottom w:val="single" w:sz="8" w:color="A0DBF9"/>
              <w:right w:val="single" w:sz="8" w:color="A0DBF9"/>
            </w:tcBorders>
          </w:tcPr>
          <w:p>
            <w:pPr>
              <w:spacing w:after="0"/>
              <w:rPr>
                <w:sz w:val="4"/>
                <w:szCs w:val="4"/>
                <w:color w:val="auto"/>
              </w:rPr>
            </w:pPr>
          </w:p>
        </w:tc>
        <w:tc>
          <w:tcPr>
            <w:tcW w:w="108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10"/>
        </w:trPr>
        <w:tc>
          <w:tcPr>
            <w:tcW w:w="1260" w:type="dxa"/>
            <w:vAlign w:val="bottom"/>
            <w:tcBorders>
              <w:left w:val="single" w:sz="8" w:color="A0DBF9"/>
              <w:bottom w:val="single" w:sz="8" w:color="A0DBF9"/>
              <w:right w:val="single" w:sz="8" w:color="A0DBF9"/>
            </w:tcBorders>
          </w:tcPr>
          <w:p>
            <w:pPr>
              <w:spacing w:after="0"/>
              <w:rPr>
                <w:sz w:val="18"/>
                <w:szCs w:val="18"/>
                <w:color w:val="auto"/>
              </w:rPr>
            </w:pPr>
          </w:p>
        </w:tc>
        <w:tc>
          <w:tcPr>
            <w:tcW w:w="80" w:type="dxa"/>
            <w:vAlign w:val="bottom"/>
            <w:tcBorders>
              <w:bottom w:val="single" w:sz="8" w:color="A0DBF9"/>
            </w:tcBorders>
          </w:tcPr>
          <w:p>
            <w:pPr>
              <w:spacing w:after="0"/>
              <w:rPr>
                <w:sz w:val="18"/>
                <w:szCs w:val="18"/>
                <w:color w:val="auto"/>
              </w:rPr>
            </w:pPr>
          </w:p>
        </w:tc>
        <w:tc>
          <w:tcPr>
            <w:tcW w:w="980" w:type="dxa"/>
            <w:vAlign w:val="bottom"/>
            <w:tcBorders>
              <w:bottom w:val="single" w:sz="8" w:color="A0DBF9"/>
              <w:right w:val="single" w:sz="8" w:color="A0DBF9"/>
            </w:tcBorders>
          </w:tcPr>
          <w:p>
            <w:pPr>
              <w:spacing w:after="0"/>
              <w:rPr>
                <w:sz w:val="18"/>
                <w:szCs w:val="18"/>
                <w:color w:val="auto"/>
              </w:rPr>
            </w:pPr>
          </w:p>
        </w:tc>
        <w:tc>
          <w:tcPr>
            <w:tcW w:w="1080" w:type="dxa"/>
            <w:vAlign w:val="bottom"/>
            <w:tcBorders>
              <w:bottom w:val="single" w:sz="8" w:color="A0DBF9"/>
              <w:right w:val="single" w:sz="8" w:color="A0DBF9"/>
            </w:tcBorders>
          </w:tcPr>
          <w:p>
            <w:pPr>
              <w:spacing w:after="0"/>
              <w:rPr>
                <w:sz w:val="18"/>
                <w:szCs w:val="18"/>
                <w:color w:val="auto"/>
              </w:rPr>
            </w:pPr>
          </w:p>
        </w:tc>
        <w:tc>
          <w:tcPr>
            <w:tcW w:w="1080" w:type="dxa"/>
            <w:vAlign w:val="bottom"/>
            <w:tcBorders>
              <w:bottom w:val="single" w:sz="8" w:color="A0DBF9"/>
              <w:right w:val="single" w:sz="8" w:color="A0DBF9"/>
            </w:tcBorders>
          </w:tcPr>
          <w:p>
            <w:pPr>
              <w:spacing w:after="0"/>
              <w:rPr>
                <w:sz w:val="18"/>
                <w:szCs w:val="18"/>
                <w:color w:val="auto"/>
              </w:rPr>
            </w:pPr>
          </w:p>
        </w:tc>
        <w:tc>
          <w:tcPr>
            <w:tcW w:w="1100" w:type="dxa"/>
            <w:vAlign w:val="bottom"/>
            <w:tcBorders>
              <w:bottom w:val="single" w:sz="8" w:color="A0DBF9"/>
              <w:right w:val="single" w:sz="8" w:color="A0DBF9"/>
            </w:tcBorders>
          </w:tcPr>
          <w:p>
            <w:pPr>
              <w:spacing w:after="0"/>
              <w:rPr>
                <w:sz w:val="18"/>
                <w:szCs w:val="18"/>
                <w:color w:val="auto"/>
              </w:rPr>
            </w:pPr>
          </w:p>
        </w:tc>
        <w:tc>
          <w:tcPr>
            <w:tcW w:w="1100" w:type="dxa"/>
            <w:vAlign w:val="bottom"/>
            <w:tcBorders>
              <w:bottom w:val="single" w:sz="8" w:color="A0DBF9"/>
              <w:right w:val="single" w:sz="8" w:color="A0DBF9"/>
            </w:tcBorders>
          </w:tcPr>
          <w:p>
            <w:pPr>
              <w:spacing w:after="0"/>
              <w:rPr>
                <w:sz w:val="18"/>
                <w:szCs w:val="18"/>
                <w:color w:val="auto"/>
              </w:rPr>
            </w:pPr>
          </w:p>
        </w:tc>
        <w:tc>
          <w:tcPr>
            <w:tcW w:w="1080" w:type="dxa"/>
            <w:vAlign w:val="bottom"/>
            <w:tcBorders>
              <w:bottom w:val="single" w:sz="8" w:color="A0DBF9"/>
              <w:right w:val="single" w:sz="8" w:color="A0DBF9"/>
            </w:tcBorders>
          </w:tcPr>
          <w:p>
            <w:pPr>
              <w:spacing w:after="0"/>
              <w:rPr>
                <w:sz w:val="18"/>
                <w:szCs w:val="18"/>
                <w:color w:val="auto"/>
              </w:rPr>
            </w:pPr>
          </w:p>
        </w:tc>
        <w:tc>
          <w:tcPr>
            <w:tcW w:w="1080" w:type="dxa"/>
            <w:vAlign w:val="bottom"/>
            <w:tcBorders>
              <w:bottom w:val="single" w:sz="8" w:color="A0DBF9"/>
              <w:right w:val="single" w:sz="8" w:color="A0DBF9"/>
            </w:tcBorders>
          </w:tcPr>
          <w:p>
            <w:pPr>
              <w:spacing w:after="0"/>
              <w:rPr>
                <w:sz w:val="18"/>
                <w:szCs w:val="18"/>
                <w:color w:val="auto"/>
              </w:rPr>
            </w:pPr>
          </w:p>
        </w:tc>
        <w:tc>
          <w:tcPr>
            <w:tcW w:w="1100" w:type="dxa"/>
            <w:vAlign w:val="bottom"/>
            <w:tcBorders>
              <w:bottom w:val="single" w:sz="8" w:color="A0DBF9"/>
              <w:right w:val="single" w:sz="8" w:color="A0DBF9"/>
            </w:tcBorders>
          </w:tcPr>
          <w:p>
            <w:pPr>
              <w:spacing w:after="0"/>
              <w:rPr>
                <w:sz w:val="18"/>
                <w:szCs w:val="18"/>
                <w:color w:val="auto"/>
              </w:rPr>
            </w:pPr>
          </w:p>
        </w:tc>
        <w:tc>
          <w:tcPr>
            <w:tcW w:w="1080" w:type="dxa"/>
            <w:vAlign w:val="bottom"/>
            <w:tcBorders>
              <w:bottom w:val="single" w:sz="8" w:color="A0DBF9"/>
            </w:tcBorders>
          </w:tcPr>
          <w:p>
            <w:pPr>
              <w:spacing w:after="0"/>
              <w:rPr>
                <w:sz w:val="18"/>
                <w:szCs w:val="18"/>
                <w:color w:val="auto"/>
              </w:rPr>
            </w:pPr>
          </w:p>
        </w:tc>
        <w:tc>
          <w:tcPr>
            <w:tcW w:w="20" w:type="dxa"/>
            <w:vAlign w:val="bottom"/>
            <w:tcBorders>
              <w:bottom w:val="single" w:sz="8" w:color="A0DBF9"/>
            </w:tcBorders>
            <w:shd w:val="clear" w:color="auto" w:fill="A0DBF9"/>
          </w:tcPr>
          <w:p>
            <w:pPr>
              <w:spacing w:after="0"/>
              <w:rPr>
                <w:sz w:val="18"/>
                <w:szCs w:val="18"/>
                <w:color w:val="auto"/>
              </w:rPr>
            </w:pPr>
          </w:p>
        </w:tc>
        <w:tc>
          <w:tcPr>
            <w:tcW w:w="0" w:type="dxa"/>
            <w:vAlign w:val="bottom"/>
          </w:tcPr>
          <w:p>
            <w:pPr>
              <w:spacing w:after="0"/>
              <w:rPr>
                <w:sz w:val="1"/>
                <w:szCs w:val="1"/>
                <w:color w:val="auto"/>
              </w:rPr>
            </w:pPr>
          </w:p>
        </w:tc>
      </w:tr>
      <w:tr>
        <w:trPr>
          <w:trHeight w:val="188"/>
        </w:trPr>
        <w:tc>
          <w:tcPr>
            <w:tcW w:w="1260" w:type="dxa"/>
            <w:vAlign w:val="bottom"/>
            <w:tcBorders>
              <w:left w:val="single" w:sz="8" w:color="A0DBF9"/>
              <w:right w:val="single" w:sz="8" w:color="A0DBF9"/>
            </w:tcBorders>
            <w:shd w:val="clear" w:color="auto" w:fill="E2F4FC"/>
          </w:tcPr>
          <w:p>
            <w:pPr>
              <w:ind w:left="240"/>
              <w:spacing w:after="0" w:line="188" w:lineRule="exact"/>
              <w:rPr>
                <w:sz w:val="20"/>
                <w:szCs w:val="20"/>
                <w:color w:val="auto"/>
              </w:rPr>
            </w:pPr>
            <w:r>
              <w:rPr>
                <w:rFonts w:ascii="Arial" w:cs="Arial" w:eastAsia="Arial" w:hAnsi="Arial"/>
                <w:sz w:val="17"/>
                <w:szCs w:val="17"/>
                <w:b w:val="1"/>
                <w:bCs w:val="1"/>
                <w:color w:val="auto"/>
              </w:rPr>
              <w:t>Cesare</w:t>
            </w:r>
          </w:p>
        </w:tc>
        <w:tc>
          <w:tcPr>
            <w:tcW w:w="80" w:type="dxa"/>
            <w:vAlign w:val="bottom"/>
            <w:shd w:val="clear" w:color="auto" w:fill="E2F4FC"/>
          </w:tcPr>
          <w:p>
            <w:pPr>
              <w:spacing w:after="0"/>
              <w:rPr>
                <w:sz w:val="16"/>
                <w:szCs w:val="16"/>
                <w:color w:val="auto"/>
              </w:rPr>
            </w:pPr>
          </w:p>
        </w:tc>
        <w:tc>
          <w:tcPr>
            <w:tcW w:w="9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080" w:type="dxa"/>
            <w:vAlign w:val="bottom"/>
            <w:tcBorders>
              <w:right w:val="single" w:sz="8" w:color="A0DBF9"/>
            </w:tcBorders>
            <w:shd w:val="clear" w:color="auto" w:fill="E2F4FC"/>
          </w:tcPr>
          <w:p>
            <w:pPr>
              <w:spacing w:after="0"/>
              <w:rPr>
                <w:sz w:val="16"/>
                <w:szCs w:val="16"/>
                <w:color w:val="auto"/>
              </w:rPr>
            </w:pPr>
          </w:p>
        </w:tc>
        <w:tc>
          <w:tcPr>
            <w:tcW w:w="1100" w:type="dxa"/>
            <w:vAlign w:val="bottom"/>
            <w:tcBorders>
              <w:right w:val="single" w:sz="8" w:color="A0DBF9"/>
            </w:tcBorders>
            <w:shd w:val="clear" w:color="auto" w:fill="E2F4FC"/>
          </w:tcPr>
          <w:p>
            <w:pPr>
              <w:spacing w:after="0"/>
              <w:rPr>
                <w:sz w:val="16"/>
                <w:szCs w:val="16"/>
                <w:color w:val="auto"/>
              </w:rPr>
            </w:pPr>
          </w:p>
        </w:tc>
        <w:tc>
          <w:tcPr>
            <w:tcW w:w="1080" w:type="dxa"/>
            <w:vAlign w:val="bottom"/>
            <w:shd w:val="clear" w:color="auto" w:fill="E2F4FC"/>
          </w:tcPr>
          <w:p>
            <w:pPr>
              <w:spacing w:after="0"/>
              <w:rPr>
                <w:sz w:val="16"/>
                <w:szCs w:val="16"/>
                <w:color w:val="auto"/>
              </w:rPr>
            </w:pPr>
          </w:p>
        </w:tc>
        <w:tc>
          <w:tcPr>
            <w:tcW w:w="20" w:type="dxa"/>
            <w:vAlign w:val="bottom"/>
            <w:shd w:val="clear" w:color="auto" w:fill="A0DBF9"/>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12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7"/>
                <w:szCs w:val="17"/>
                <w:b w:val="1"/>
                <w:bCs w:val="1"/>
                <w:color w:val="auto"/>
              </w:rPr>
              <w:t>Orlandi,</w:t>
            </w:r>
          </w:p>
        </w:tc>
        <w:tc>
          <w:tcPr>
            <w:tcW w:w="80" w:type="dxa"/>
            <w:vAlign w:val="bottom"/>
            <w:shd w:val="clear" w:color="auto" w:fill="E2F4FC"/>
          </w:tcPr>
          <w:p>
            <w:pPr>
              <w:spacing w:after="0"/>
              <w:rPr>
                <w:sz w:val="17"/>
                <w:szCs w:val="17"/>
                <w:color w:val="auto"/>
              </w:rPr>
            </w:pPr>
          </w:p>
        </w:tc>
        <w:tc>
          <w:tcPr>
            <w:tcW w:w="980" w:type="dxa"/>
            <w:vAlign w:val="bottom"/>
            <w:tcBorders>
              <w:right w:val="single" w:sz="8" w:color="A0DBF9"/>
            </w:tcBorders>
            <w:shd w:val="clear" w:color="auto" w:fill="E2F4FC"/>
          </w:tcPr>
          <w:p>
            <w:pPr>
              <w:spacing w:after="0"/>
              <w:rPr>
                <w:sz w:val="17"/>
                <w:szCs w:val="17"/>
                <w:color w:val="auto"/>
              </w:rPr>
            </w:pPr>
          </w:p>
        </w:tc>
        <w:tc>
          <w:tcPr>
            <w:tcW w:w="1080" w:type="dxa"/>
            <w:vAlign w:val="bottom"/>
            <w:tcBorders>
              <w:right w:val="single" w:sz="8" w:color="A0DBF9"/>
            </w:tcBorders>
            <w:shd w:val="clear" w:color="auto" w:fill="E2F4FC"/>
          </w:tcPr>
          <w:p>
            <w:pPr>
              <w:spacing w:after="0"/>
              <w:rPr>
                <w:sz w:val="17"/>
                <w:szCs w:val="17"/>
                <w:color w:val="auto"/>
              </w:rPr>
            </w:pPr>
          </w:p>
        </w:tc>
        <w:tc>
          <w:tcPr>
            <w:tcW w:w="1080" w:type="dxa"/>
            <w:vAlign w:val="bottom"/>
            <w:tcBorders>
              <w:right w:val="single" w:sz="8" w:color="A0DBF9"/>
            </w:tcBorders>
            <w:shd w:val="clear" w:color="auto" w:fill="E2F4FC"/>
          </w:tcPr>
          <w:p>
            <w:pPr>
              <w:spacing w:after="0"/>
              <w:rPr>
                <w:sz w:val="17"/>
                <w:szCs w:val="17"/>
                <w:color w:val="auto"/>
              </w:rPr>
            </w:pPr>
          </w:p>
        </w:tc>
        <w:tc>
          <w:tcPr>
            <w:tcW w:w="1100" w:type="dxa"/>
            <w:vAlign w:val="bottom"/>
            <w:tcBorders>
              <w:right w:val="single" w:sz="8" w:color="A0DBF9"/>
            </w:tcBorders>
            <w:shd w:val="clear" w:color="auto" w:fill="E2F4FC"/>
          </w:tcPr>
          <w:p>
            <w:pPr>
              <w:spacing w:after="0"/>
              <w:rPr>
                <w:sz w:val="17"/>
                <w:szCs w:val="17"/>
                <w:color w:val="auto"/>
              </w:rPr>
            </w:pPr>
          </w:p>
        </w:tc>
        <w:tc>
          <w:tcPr>
            <w:tcW w:w="1100" w:type="dxa"/>
            <w:vAlign w:val="bottom"/>
            <w:tcBorders>
              <w:right w:val="single" w:sz="8" w:color="A0DBF9"/>
            </w:tcBorders>
            <w:shd w:val="clear" w:color="auto" w:fill="E2F4FC"/>
          </w:tcPr>
          <w:p>
            <w:pPr>
              <w:spacing w:after="0"/>
              <w:rPr>
                <w:sz w:val="17"/>
                <w:szCs w:val="17"/>
                <w:color w:val="auto"/>
              </w:rPr>
            </w:pPr>
          </w:p>
        </w:tc>
        <w:tc>
          <w:tcPr>
            <w:tcW w:w="1080" w:type="dxa"/>
            <w:vAlign w:val="bottom"/>
            <w:tcBorders>
              <w:right w:val="single" w:sz="8" w:color="A0DBF9"/>
            </w:tcBorders>
            <w:shd w:val="clear" w:color="auto" w:fill="E2F4FC"/>
          </w:tcPr>
          <w:p>
            <w:pPr>
              <w:spacing w:after="0"/>
              <w:rPr>
                <w:sz w:val="17"/>
                <w:szCs w:val="17"/>
                <w:color w:val="auto"/>
              </w:rPr>
            </w:pPr>
          </w:p>
        </w:tc>
        <w:tc>
          <w:tcPr>
            <w:tcW w:w="1080" w:type="dxa"/>
            <w:vAlign w:val="bottom"/>
            <w:tcBorders>
              <w:right w:val="single" w:sz="8" w:color="A0DBF9"/>
            </w:tcBorders>
            <w:shd w:val="clear" w:color="auto" w:fill="E2F4FC"/>
          </w:tcPr>
          <w:p>
            <w:pPr>
              <w:spacing w:after="0"/>
              <w:rPr>
                <w:sz w:val="17"/>
                <w:szCs w:val="17"/>
                <w:color w:val="auto"/>
              </w:rPr>
            </w:pPr>
          </w:p>
        </w:tc>
        <w:tc>
          <w:tcPr>
            <w:tcW w:w="1100" w:type="dxa"/>
            <w:vAlign w:val="bottom"/>
            <w:tcBorders>
              <w:right w:val="single" w:sz="8" w:color="A0DBF9"/>
            </w:tcBorders>
            <w:shd w:val="clear" w:color="auto" w:fill="E2F4FC"/>
          </w:tcPr>
          <w:p>
            <w:pPr>
              <w:spacing w:after="0"/>
              <w:rPr>
                <w:sz w:val="17"/>
                <w:szCs w:val="17"/>
                <w:color w:val="auto"/>
              </w:rPr>
            </w:pPr>
          </w:p>
        </w:tc>
        <w:tc>
          <w:tcPr>
            <w:tcW w:w="1080" w:type="dxa"/>
            <w:vAlign w:val="bottom"/>
            <w:shd w:val="clear" w:color="auto" w:fill="E2F4FC"/>
          </w:tcPr>
          <w:p>
            <w:pPr>
              <w:spacing w:after="0"/>
              <w:rPr>
                <w:sz w:val="17"/>
                <w:szCs w:val="17"/>
                <w:color w:val="auto"/>
              </w:rPr>
            </w:pPr>
          </w:p>
        </w:tc>
        <w:tc>
          <w:tcPr>
            <w:tcW w:w="20" w:type="dxa"/>
            <w:vAlign w:val="bottom"/>
            <w:shd w:val="clear" w:color="auto" w:fill="A0DBF9"/>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126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7"/>
                <w:szCs w:val="17"/>
                <w:b w:val="1"/>
                <w:bCs w:val="1"/>
                <w:color w:val="auto"/>
              </w:rPr>
              <w:t>M.D.</w:t>
            </w:r>
          </w:p>
        </w:tc>
        <w:tc>
          <w:tcPr>
            <w:tcW w:w="80" w:type="dxa"/>
            <w:vAlign w:val="bottom"/>
            <w:tcBorders>
              <w:bottom w:val="single" w:sz="8" w:color="E2F4FC"/>
            </w:tcBorders>
            <w:shd w:val="clear" w:color="auto" w:fill="E2F4FC"/>
          </w:tcPr>
          <w:p>
            <w:pPr>
              <w:spacing w:after="0"/>
              <w:rPr>
                <w:sz w:val="24"/>
                <w:szCs w:val="24"/>
                <w:color w:val="auto"/>
              </w:rPr>
            </w:pPr>
          </w:p>
        </w:tc>
        <w:tc>
          <w:tcPr>
            <w:tcW w:w="9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spacing w:after="0"/>
              <w:rPr>
                <w:sz w:val="24"/>
                <w:szCs w:val="24"/>
                <w:color w:val="auto"/>
              </w:rPr>
            </w:pPr>
          </w:p>
        </w:tc>
        <w:tc>
          <w:tcPr>
            <w:tcW w:w="10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w:t>
            </w:r>
          </w:p>
        </w:tc>
        <w:tc>
          <w:tcPr>
            <w:tcW w:w="11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w:t>
            </w:r>
          </w:p>
        </w:tc>
        <w:tc>
          <w:tcPr>
            <w:tcW w:w="10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E2F4FC"/>
              <w:right w:val="single" w:sz="8" w:color="A0DBF9"/>
            </w:tcBorders>
            <w:shd w:val="clear" w:color="auto" w:fill="E2F4FC"/>
          </w:tcPr>
          <w:p>
            <w:pPr>
              <w:jc w:val="center"/>
              <w:ind w:left="1"/>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3"/>
              </w:rPr>
              <w:t>—</w:t>
            </w:r>
          </w:p>
        </w:tc>
        <w:tc>
          <w:tcPr>
            <w:tcW w:w="20" w:type="dxa"/>
            <w:vAlign w:val="bottom"/>
            <w:tcBorders>
              <w:bottom w:val="single" w:sz="8" w:color="A0DBF9"/>
            </w:tcBorders>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2"/>
                <w:szCs w:val="22"/>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3,357</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9"/>
              </w:rPr>
              <w:t>6,713</w:t>
            </w:r>
          </w:p>
        </w:tc>
        <w:tc>
          <w:tcPr>
            <w:tcW w:w="1080" w:type="dxa"/>
            <w:vAlign w:val="bottom"/>
            <w:tcBorders>
              <w:top w:val="single" w:sz="8" w:color="A0DBF9"/>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88"/>
              </w:rPr>
              <w:t>13,426</w:t>
            </w:r>
          </w:p>
        </w:tc>
        <w:tc>
          <w:tcPr>
            <w:tcW w:w="1100" w:type="dxa"/>
            <w:vAlign w:val="bottom"/>
            <w:tcBorders>
              <w:top w:val="single" w:sz="8" w:color="A0DBF9"/>
              <w:bottom w:val="single" w:sz="8" w:color="E2F4FC"/>
              <w:right w:val="single" w:sz="8" w:color="A0DBF9"/>
            </w:tcBorders>
            <w:shd w:val="clear" w:color="auto" w:fill="E2F4FC"/>
          </w:tcPr>
          <w:p>
            <w:pPr>
              <w:spacing w:after="0"/>
              <w:rPr>
                <w:sz w:val="22"/>
                <w:szCs w:val="22"/>
                <w:color w:val="auto"/>
              </w:rPr>
            </w:pP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$267,983</w:t>
            </w:r>
          </w:p>
        </w:tc>
        <w:tc>
          <w:tcPr>
            <w:tcW w:w="20" w:type="dxa"/>
            <w:vAlign w:val="bottom"/>
            <w:tcBorders>
              <w:top w:val="single" w:sz="8" w:color="A0DBF9"/>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1260" w:type="dxa"/>
            <w:vAlign w:val="bottom"/>
            <w:tcBorders>
              <w:top w:val="single" w:sz="8" w:color="A0DBF9"/>
              <w:left w:val="single" w:sz="8" w:color="A0DBF9"/>
              <w:bottom w:val="single" w:sz="8" w:color="E2F4FC"/>
              <w:right w:val="single" w:sz="8" w:color="A0DBF9"/>
            </w:tcBorders>
            <w:shd w:val="clear" w:color="auto" w:fill="E2F4FC"/>
          </w:tcPr>
          <w:p>
            <w:pPr>
              <w:spacing w:after="0"/>
              <w:rPr>
                <w:sz w:val="21"/>
                <w:szCs w:val="21"/>
                <w:color w:val="auto"/>
              </w:rPr>
            </w:pPr>
          </w:p>
        </w:tc>
        <w:tc>
          <w:tcPr>
            <w:tcW w:w="1060" w:type="dxa"/>
            <w:vAlign w:val="bottom"/>
            <w:tcBorders>
              <w:top w:val="single" w:sz="8" w:color="A0DBF9"/>
              <w:bottom w:val="single" w:sz="8" w:color="E2F4FC"/>
              <w:right w:val="single" w:sz="8" w:color="A0DBF9"/>
            </w:tcBorders>
            <w:gridSpan w:val="2"/>
            <w:shd w:val="clear" w:color="auto" w:fill="E2F4FC"/>
          </w:tcPr>
          <w:p>
            <w:pPr>
              <w:ind w:left="220"/>
              <w:spacing w:after="0"/>
              <w:rPr>
                <w:sz w:val="20"/>
                <w:szCs w:val="20"/>
                <w:color w:val="auto"/>
              </w:rPr>
            </w:pPr>
            <w:r>
              <w:rPr>
                <w:rFonts w:ascii="Arial" w:cs="Arial" w:eastAsia="Arial" w:hAnsi="Arial"/>
                <w:sz w:val="17"/>
                <w:szCs w:val="17"/>
                <w:color w:val="auto"/>
              </w:rPr>
              <w:t>2/26/2019</w:t>
            </w:r>
          </w:p>
        </w:tc>
        <w:tc>
          <w:tcPr>
            <w:tcW w:w="108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10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080" w:type="dxa"/>
            <w:vAlign w:val="bottom"/>
            <w:tcBorders>
              <w:top w:val="single" w:sz="8" w:color="A0DBF9"/>
              <w:bottom w:val="single" w:sz="8" w:color="E2F4FC"/>
              <w:right w:val="single" w:sz="8" w:color="A0DBF9"/>
            </w:tcBorders>
            <w:shd w:val="clear" w:color="auto" w:fill="E2F4FC"/>
          </w:tcPr>
          <w:p>
            <w:pPr>
              <w:spacing w:after="0"/>
              <w:rPr>
                <w:sz w:val="21"/>
                <w:szCs w:val="21"/>
                <w:color w:val="auto"/>
              </w:rPr>
            </w:pPr>
          </w:p>
        </w:tc>
        <w:tc>
          <w:tcPr>
            <w:tcW w:w="1100" w:type="dxa"/>
            <w:vAlign w:val="bottom"/>
            <w:tcBorders>
              <w:top w:val="single" w:sz="8" w:color="A0DBF9"/>
              <w:bottom w:val="single" w:sz="8" w:color="E2F4FC"/>
              <w:right w:val="single" w:sz="8" w:color="A0DBF9"/>
            </w:tcBorders>
            <w:shd w:val="clear" w:color="auto" w:fill="E2F4FC"/>
          </w:tcPr>
          <w:p>
            <w:pPr>
              <w:jc w:val="center"/>
              <w:ind w:left="1"/>
              <w:spacing w:after="0"/>
              <w:rPr>
                <w:sz w:val="20"/>
                <w:szCs w:val="20"/>
                <w:color w:val="auto"/>
              </w:rPr>
            </w:pPr>
            <w:r>
              <w:rPr>
                <w:rFonts w:ascii="Arial" w:cs="Arial" w:eastAsia="Arial" w:hAnsi="Arial"/>
                <w:sz w:val="17"/>
                <w:szCs w:val="17"/>
                <w:color w:val="auto"/>
                <w:w w:val="89"/>
              </w:rPr>
              <w:t>6,713</w:t>
            </w:r>
          </w:p>
        </w:tc>
        <w:tc>
          <w:tcPr>
            <w:tcW w:w="1080" w:type="dxa"/>
            <w:vAlign w:val="bottom"/>
            <w:tcBorders>
              <w:top w:val="single" w:sz="8" w:color="A0DBF9"/>
              <w:bottom w:val="single" w:sz="8" w:color="E2F4FC"/>
            </w:tcBorders>
            <w:shd w:val="clear" w:color="auto" w:fill="E2F4FC"/>
          </w:tcPr>
          <w:p>
            <w:pPr>
              <w:jc w:val="center"/>
              <w:spacing w:after="0"/>
              <w:rPr>
                <w:sz w:val="20"/>
                <w:szCs w:val="20"/>
                <w:color w:val="auto"/>
              </w:rPr>
            </w:pPr>
            <w:r>
              <w:rPr>
                <w:rFonts w:ascii="Arial" w:cs="Arial" w:eastAsia="Arial" w:hAnsi="Arial"/>
                <w:sz w:val="17"/>
                <w:szCs w:val="17"/>
                <w:color w:val="auto"/>
                <w:w w:val="90"/>
              </w:rPr>
              <w:t>$156,749</w:t>
            </w:r>
          </w:p>
        </w:tc>
        <w:tc>
          <w:tcPr>
            <w:tcW w:w="20" w:type="dxa"/>
            <w:vAlign w:val="bottom"/>
            <w:tcBorders>
              <w:top w:val="single" w:sz="8" w:color="A0DBF9"/>
              <w:bottom w:val="single" w:sz="8" w:color="A0DBF9"/>
            </w:tcBorders>
            <w:shd w:val="clear" w:color="auto" w:fill="A0DBF9"/>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1260" w:type="dxa"/>
            <w:vAlign w:val="bottom"/>
            <w:tcBorders>
              <w:left w:val="single" w:sz="8" w:color="A0DBF9"/>
              <w:right w:val="single" w:sz="8" w:color="A0DBF9"/>
            </w:tcBorders>
            <w:shd w:val="clear" w:color="auto" w:fill="A0DBF9"/>
          </w:tcPr>
          <w:p>
            <w:pPr>
              <w:spacing w:after="0" w:line="20" w:lineRule="exact"/>
              <w:rPr>
                <w:sz w:val="1"/>
                <w:szCs w:val="1"/>
                <w:color w:val="auto"/>
              </w:rPr>
            </w:pPr>
          </w:p>
        </w:tc>
        <w:tc>
          <w:tcPr>
            <w:tcW w:w="80" w:type="dxa"/>
            <w:vAlign w:val="bottom"/>
            <w:shd w:val="clear" w:color="auto" w:fill="A0DBF9"/>
          </w:tcPr>
          <w:p>
            <w:pPr>
              <w:spacing w:after="0" w:line="20" w:lineRule="exact"/>
              <w:rPr>
                <w:sz w:val="1"/>
                <w:szCs w:val="1"/>
                <w:color w:val="auto"/>
              </w:rPr>
            </w:pPr>
          </w:p>
        </w:tc>
        <w:tc>
          <w:tcPr>
            <w:tcW w:w="980" w:type="dxa"/>
            <w:vAlign w:val="bottom"/>
            <w:tcBorders>
              <w:right w:val="single" w:sz="8" w:color="A0DBF9"/>
            </w:tcBorders>
            <w:shd w:val="clear" w:color="auto" w:fill="A0DBF9"/>
          </w:tcPr>
          <w:p>
            <w:pPr>
              <w:spacing w:after="0" w:line="20" w:lineRule="exact"/>
              <w:rPr>
                <w:sz w:val="1"/>
                <w:szCs w:val="1"/>
                <w:color w:val="auto"/>
              </w:rPr>
            </w:pPr>
          </w:p>
        </w:tc>
        <w:tc>
          <w:tcPr>
            <w:tcW w:w="1080" w:type="dxa"/>
            <w:vAlign w:val="bottom"/>
            <w:tcBorders>
              <w:right w:val="single" w:sz="8" w:color="A0DBF9"/>
            </w:tcBorders>
            <w:shd w:val="clear" w:color="auto" w:fill="A0DBF9"/>
          </w:tcPr>
          <w:p>
            <w:pPr>
              <w:spacing w:after="0" w:line="20" w:lineRule="exact"/>
              <w:rPr>
                <w:sz w:val="1"/>
                <w:szCs w:val="1"/>
                <w:color w:val="auto"/>
              </w:rPr>
            </w:pPr>
          </w:p>
        </w:tc>
        <w:tc>
          <w:tcPr>
            <w:tcW w:w="1080" w:type="dxa"/>
            <w:vAlign w:val="bottom"/>
            <w:tcBorders>
              <w:right w:val="single" w:sz="8" w:color="A0DBF9"/>
            </w:tcBorders>
            <w:shd w:val="clear" w:color="auto" w:fill="A0DBF9"/>
          </w:tcPr>
          <w:p>
            <w:pPr>
              <w:spacing w:after="0" w:line="20" w:lineRule="exact"/>
              <w:rPr>
                <w:sz w:val="1"/>
                <w:szCs w:val="1"/>
                <w:color w:val="auto"/>
              </w:rPr>
            </w:pPr>
          </w:p>
        </w:tc>
        <w:tc>
          <w:tcPr>
            <w:tcW w:w="1100" w:type="dxa"/>
            <w:vAlign w:val="bottom"/>
            <w:tcBorders>
              <w:right w:val="single" w:sz="8" w:color="A0DBF9"/>
            </w:tcBorders>
            <w:shd w:val="clear" w:color="auto" w:fill="A0DBF9"/>
          </w:tcPr>
          <w:p>
            <w:pPr>
              <w:spacing w:after="0" w:line="20" w:lineRule="exact"/>
              <w:rPr>
                <w:sz w:val="1"/>
                <w:szCs w:val="1"/>
                <w:color w:val="auto"/>
              </w:rPr>
            </w:pPr>
          </w:p>
        </w:tc>
        <w:tc>
          <w:tcPr>
            <w:tcW w:w="1100" w:type="dxa"/>
            <w:vAlign w:val="bottom"/>
            <w:tcBorders>
              <w:right w:val="single" w:sz="8" w:color="A0DBF9"/>
            </w:tcBorders>
            <w:shd w:val="clear" w:color="auto" w:fill="A0DBF9"/>
          </w:tcPr>
          <w:p>
            <w:pPr>
              <w:spacing w:after="0" w:line="20" w:lineRule="exact"/>
              <w:rPr>
                <w:sz w:val="1"/>
                <w:szCs w:val="1"/>
                <w:color w:val="auto"/>
              </w:rPr>
            </w:pPr>
          </w:p>
        </w:tc>
        <w:tc>
          <w:tcPr>
            <w:tcW w:w="1080" w:type="dxa"/>
            <w:vAlign w:val="bottom"/>
            <w:tcBorders>
              <w:right w:val="single" w:sz="8" w:color="A0DBF9"/>
            </w:tcBorders>
            <w:shd w:val="clear" w:color="auto" w:fill="A0DBF9"/>
          </w:tcPr>
          <w:p>
            <w:pPr>
              <w:spacing w:after="0" w:line="20" w:lineRule="exact"/>
              <w:rPr>
                <w:sz w:val="1"/>
                <w:szCs w:val="1"/>
                <w:color w:val="auto"/>
              </w:rPr>
            </w:pPr>
          </w:p>
        </w:tc>
        <w:tc>
          <w:tcPr>
            <w:tcW w:w="1080" w:type="dxa"/>
            <w:vAlign w:val="bottom"/>
            <w:tcBorders>
              <w:right w:val="single" w:sz="8" w:color="A0DBF9"/>
            </w:tcBorders>
            <w:shd w:val="clear" w:color="auto" w:fill="A0DBF9"/>
          </w:tcPr>
          <w:p>
            <w:pPr>
              <w:spacing w:after="0" w:line="20" w:lineRule="exact"/>
              <w:rPr>
                <w:sz w:val="1"/>
                <w:szCs w:val="1"/>
                <w:color w:val="auto"/>
              </w:rPr>
            </w:pPr>
          </w:p>
        </w:tc>
        <w:tc>
          <w:tcPr>
            <w:tcW w:w="1100" w:type="dxa"/>
            <w:vAlign w:val="bottom"/>
            <w:tcBorders>
              <w:right w:val="single" w:sz="8" w:color="A0DBF9"/>
            </w:tcBorders>
            <w:shd w:val="clear" w:color="auto" w:fill="A0DBF9"/>
          </w:tcPr>
          <w:p>
            <w:pPr>
              <w:spacing w:after="0" w:line="20" w:lineRule="exact"/>
              <w:rPr>
                <w:sz w:val="1"/>
                <w:szCs w:val="1"/>
                <w:color w:val="auto"/>
              </w:rPr>
            </w:pPr>
          </w:p>
        </w:tc>
        <w:tc>
          <w:tcPr>
            <w:tcW w:w="1080" w:type="dxa"/>
            <w:vAlign w:val="bottom"/>
            <w:shd w:val="clear" w:color="auto" w:fill="A0DBF9"/>
          </w:tcPr>
          <w:p>
            <w:pPr>
              <w:spacing w:after="0" w:line="20" w:lineRule="exact"/>
              <w:rPr>
                <w:sz w:val="1"/>
                <w:szCs w:val="1"/>
                <w:color w:val="auto"/>
              </w:rPr>
            </w:pPr>
          </w:p>
        </w:tc>
        <w:tc>
          <w:tcPr>
            <w:tcW w:w="20" w:type="dxa"/>
            <w:vAlign w:val="bottom"/>
            <w:shd w:val="clear" w:color="auto" w:fill="A0DB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3" w:lineRule="exact"/>
        <w:rPr>
          <w:sz w:val="20"/>
          <w:szCs w:val="20"/>
          <w:color w:val="auto"/>
        </w:rPr>
      </w:pPr>
    </w:p>
    <w:p>
      <w:pPr>
        <w:ind w:left="540" w:right="40" w:hanging="424"/>
        <w:spacing w:after="0" w:line="242" w:lineRule="auto"/>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The amounts in these columns reflect target and maximum payouts under the 2019 Executive Bonus Plan. There is no threshold-level payout under the 2019 Annual Bonus Plan. The maximum payout under the 2019 Annual Bonus Plan is 225% of the target payout, representing the product of (i) a maximum of 150% of the target payout based on Company performance metrics and (ii) a maximum of 150% of the target payout based on individual performance. The actual amount earned by each NEO under the 2019 Executive Bonus Plan is reported under the ‘‘Non-Equity Incentive Plan Compensation’’ column in the Summary Compensation Table. For additional information about our 2019 Executive Bonus Plan and a discussion of how these amounts are determined, please see the Compensation Discussion and Analysis section titled ‘‘</w:t>
      </w:r>
      <w:r>
        <w:rPr>
          <w:rFonts w:ascii="Arial" w:cs="Arial" w:eastAsia="Arial" w:hAnsi="Arial"/>
          <w:sz w:val="13"/>
          <w:szCs w:val="13"/>
          <w:i w:val="1"/>
          <w:iCs w:val="1"/>
          <w:color w:val="auto"/>
        </w:rPr>
        <w:t>Executive Leadership Team Incentive Bonus Plan</w:t>
      </w:r>
      <w:r>
        <w:rPr>
          <w:rFonts w:ascii="Arial" w:cs="Arial" w:eastAsia="Arial" w:hAnsi="Arial"/>
          <w:sz w:val="13"/>
          <w:szCs w:val="13"/>
          <w:color w:val="auto"/>
        </w:rPr>
        <w:t>.”</w:t>
      </w:r>
    </w:p>
    <w:p>
      <w:pPr>
        <w:ind w:left="540" w:right="80" w:hanging="424"/>
        <w:spacing w:after="0" w:line="221"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these columns reflect threshold, target and maximum shares that may be earned in respect of PSUs granted in 2019, which are eligible to be earned based on our rTSR over a three-year performance period. For additional information about these awards and a discussion of how these amounts are determined, please see the Compensation and Discussion Analysis section titled “</w:t>
      </w:r>
      <w:r>
        <w:rPr>
          <w:rFonts w:ascii="Arial" w:cs="Arial" w:eastAsia="Arial" w:hAnsi="Arial"/>
          <w:sz w:val="14"/>
          <w:szCs w:val="14"/>
          <w:i w:val="1"/>
          <w:iCs w:val="1"/>
          <w:color w:val="auto"/>
        </w:rPr>
        <w:t>2019 Long-Term Incentive Award Decisions</w:t>
      </w:r>
      <w:r>
        <w:rPr>
          <w:rFonts w:ascii="Arial" w:cs="Arial" w:eastAsia="Arial" w:hAnsi="Arial"/>
          <w:sz w:val="14"/>
          <w:szCs w:val="14"/>
          <w:color w:val="auto"/>
        </w:rPr>
        <w:t>.”</w:t>
      </w:r>
    </w:p>
    <w:p>
      <w:pPr>
        <w:ind w:left="540" w:right="300" w:hanging="424"/>
        <w:spacing w:after="0" w:line="221"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these columns reflect the number of RSUs granted to our NEOs in 2019, which RSUs vest in three equal installments on each of the first three anniversaries of the grant date, and are generally subject to continued employment of the NEO.</w:t>
      </w:r>
    </w:p>
    <w:p>
      <w:pPr>
        <w:ind w:left="540" w:right="220" w:hanging="424"/>
        <w:spacing w:after="0" w:line="232" w:lineRule="auto"/>
        <w:tabs>
          <w:tab w:leader="none" w:pos="5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The amounts in this column have been determined in accordance with FASB ASC Topic 718, excluding the effect of estimated forfeitures. See footnote 1 to the Summary Compensation Table for a description of the assumptions used in determining the grant date fair value of these awards and the grant date fair value of PSUs if the maximum level of performance was achieved.</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Outstanding Equity Awards at December 31, 2019</w:t>
      </w:r>
    </w:p>
    <w:p>
      <w:pPr>
        <w:spacing w:after="0" w:line="229" w:lineRule="exact"/>
        <w:rPr>
          <w:sz w:val="20"/>
          <w:szCs w:val="20"/>
          <w:color w:val="auto"/>
        </w:rPr>
      </w:pPr>
    </w:p>
    <w:p>
      <w:pPr>
        <w:ind w:left="120" w:right="180" w:firstLine="440"/>
        <w:spacing w:after="0" w:line="277" w:lineRule="auto"/>
        <w:rPr>
          <w:sz w:val="20"/>
          <w:szCs w:val="20"/>
          <w:color w:val="auto"/>
        </w:rPr>
      </w:pPr>
      <w:r>
        <w:rPr>
          <w:rFonts w:ascii="Arial" w:cs="Arial" w:eastAsia="Arial" w:hAnsi="Arial"/>
          <w:sz w:val="18"/>
          <w:szCs w:val="18"/>
          <w:color w:val="auto"/>
        </w:rPr>
        <w:t>The following tables include certain information with respect to equity awards held by our NEOs as of December 31, 2019, based on the closing stock price of a share of our common stock of $20.51 on that date:</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190"/>
        </w:trPr>
        <w:tc>
          <w:tcPr>
            <w:tcW w:w="1160" w:type="dxa"/>
            <w:vAlign w:val="bottom"/>
            <w:tcBorders>
              <w:left w:val="single" w:sz="8" w:color="5EB5FC"/>
              <w:right w:val="single" w:sz="8" w:color="5EB5FC"/>
            </w:tcBorders>
            <w:shd w:val="clear" w:color="auto" w:fill="5EB5FC"/>
          </w:tcPr>
          <w:p>
            <w:pPr>
              <w:spacing w:after="0"/>
              <w:rPr>
                <w:sz w:val="16"/>
                <w:szCs w:val="16"/>
                <w:color w:val="auto"/>
              </w:rPr>
            </w:pPr>
          </w:p>
        </w:tc>
        <w:tc>
          <w:tcPr>
            <w:tcW w:w="1020" w:type="dxa"/>
            <w:vAlign w:val="bottom"/>
            <w:tcBorders>
              <w:right w:val="single" w:sz="8" w:color="5EB5FC"/>
            </w:tcBorders>
            <w:shd w:val="clear" w:color="auto" w:fill="5EB5FC"/>
          </w:tcPr>
          <w:p>
            <w:pPr>
              <w:spacing w:after="0"/>
              <w:rPr>
                <w:sz w:val="16"/>
                <w:szCs w:val="16"/>
                <w:color w:val="auto"/>
              </w:rPr>
            </w:pPr>
          </w:p>
        </w:tc>
        <w:tc>
          <w:tcPr>
            <w:tcW w:w="1000" w:type="dxa"/>
            <w:vAlign w:val="bottom"/>
            <w:tcBorders>
              <w:right w:val="single" w:sz="8" w:color="5EB5FC"/>
            </w:tcBorders>
            <w:shd w:val="clear" w:color="auto" w:fill="5EB5FC"/>
          </w:tcPr>
          <w:p>
            <w:pPr>
              <w:spacing w:after="0"/>
              <w:rPr>
                <w:sz w:val="16"/>
                <w:szCs w:val="16"/>
                <w:color w:val="auto"/>
              </w:rPr>
            </w:pPr>
          </w:p>
        </w:tc>
        <w:tc>
          <w:tcPr>
            <w:tcW w:w="1020" w:type="dxa"/>
            <w:vAlign w:val="bottom"/>
            <w:tcBorders>
              <w:right w:val="single" w:sz="8" w:color="5EB5FC"/>
            </w:tcBorders>
            <w:shd w:val="clear" w:color="auto" w:fill="5EB5FC"/>
          </w:tcPr>
          <w:p>
            <w:pPr>
              <w:spacing w:after="0"/>
              <w:rPr>
                <w:sz w:val="16"/>
                <w:szCs w:val="16"/>
                <w:color w:val="auto"/>
              </w:rPr>
            </w:pPr>
          </w:p>
        </w:tc>
        <w:tc>
          <w:tcPr>
            <w:tcW w:w="1000" w:type="dxa"/>
            <w:vAlign w:val="bottom"/>
            <w:tcBorders>
              <w:right w:val="single" w:sz="8" w:color="5EB5FC"/>
            </w:tcBorders>
            <w:shd w:val="clear" w:color="auto" w:fill="5EB5FC"/>
          </w:tcPr>
          <w:p>
            <w:pPr>
              <w:spacing w:after="0"/>
              <w:rPr>
                <w:sz w:val="16"/>
                <w:szCs w:val="16"/>
                <w:color w:val="auto"/>
              </w:rPr>
            </w:pPr>
          </w:p>
        </w:tc>
        <w:tc>
          <w:tcPr>
            <w:tcW w:w="900" w:type="dxa"/>
            <w:vAlign w:val="bottom"/>
            <w:tcBorders>
              <w:right w:val="single" w:sz="8" w:color="5EB5FC"/>
            </w:tcBorders>
            <w:shd w:val="clear" w:color="auto" w:fill="5EB5FC"/>
          </w:tcPr>
          <w:p>
            <w:pPr>
              <w:spacing w:after="0"/>
              <w:rPr>
                <w:sz w:val="16"/>
                <w:szCs w:val="16"/>
                <w:color w:val="auto"/>
              </w:rPr>
            </w:pPr>
          </w:p>
        </w:tc>
        <w:tc>
          <w:tcPr>
            <w:tcW w:w="1020" w:type="dxa"/>
            <w:vAlign w:val="bottom"/>
            <w:tcBorders>
              <w:right w:val="single" w:sz="8" w:color="5EB5FC"/>
            </w:tcBorders>
            <w:shd w:val="clear" w:color="auto" w:fill="5EB5FC"/>
          </w:tcPr>
          <w:p>
            <w:pPr>
              <w:spacing w:after="0"/>
              <w:rPr>
                <w:sz w:val="16"/>
                <w:szCs w:val="16"/>
                <w:color w:val="auto"/>
              </w:rPr>
            </w:pPr>
          </w:p>
        </w:tc>
        <w:tc>
          <w:tcPr>
            <w:tcW w:w="1020" w:type="dxa"/>
            <w:vAlign w:val="bottom"/>
            <w:tcBorders>
              <w:right w:val="single" w:sz="8" w:color="5EB5FC"/>
            </w:tcBorders>
            <w:shd w:val="clear" w:color="auto" w:fill="5EB5FC"/>
          </w:tcPr>
          <w:p>
            <w:pPr>
              <w:spacing w:after="0"/>
              <w:rPr>
                <w:sz w:val="16"/>
                <w:szCs w:val="16"/>
                <w:color w:val="auto"/>
              </w:rPr>
            </w:pPr>
          </w:p>
        </w:tc>
        <w:tc>
          <w:tcPr>
            <w:tcW w:w="1140" w:type="dxa"/>
            <w:vAlign w:val="bottom"/>
            <w:tcBorders>
              <w:right w:val="single" w:sz="8" w:color="5EB5FC"/>
            </w:tcBorders>
            <w:shd w:val="clear" w:color="auto" w:fill="5EB5FC"/>
          </w:tcPr>
          <w:p>
            <w:pPr>
              <w:spacing w:after="0"/>
              <w:rPr>
                <w:sz w:val="16"/>
                <w:szCs w:val="16"/>
                <w:color w:val="auto"/>
              </w:rPr>
            </w:pPr>
          </w:p>
        </w:tc>
        <w:tc>
          <w:tcPr>
            <w:tcW w:w="920" w:type="dxa"/>
            <w:vAlign w:val="bottom"/>
            <w:tcBorders>
              <w:right w:val="single" w:sz="8" w:color="5EB5FC"/>
            </w:tcBorders>
            <w:shd w:val="clear" w:color="auto" w:fill="5EB5FC"/>
          </w:tcPr>
          <w:p>
            <w:pPr>
              <w:spacing w:after="0"/>
              <w:rPr>
                <w:sz w:val="16"/>
                <w:szCs w:val="16"/>
                <w:color w:val="auto"/>
              </w:rPr>
            </w:pP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spacing w:after="0"/>
              <w:rPr>
                <w:sz w:val="12"/>
                <w:szCs w:val="12"/>
                <w:color w:val="auto"/>
              </w:rPr>
            </w:pP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Equity</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rPr>
              <w:t>Equity</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35"/>
        </w:trPr>
        <w:tc>
          <w:tcPr>
            <w:tcW w:w="1160" w:type="dxa"/>
            <w:vAlign w:val="bottom"/>
            <w:tcBorders>
              <w:left w:val="single" w:sz="8" w:color="5EB5FC"/>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0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00" w:type="dxa"/>
            <w:vAlign w:val="bottom"/>
            <w:tcBorders>
              <w:right w:val="single" w:sz="8" w:color="5EB5FC"/>
            </w:tcBorders>
            <w:vMerge w:val="continue"/>
            <w:shd w:val="clear" w:color="auto" w:fill="5EB5FC"/>
          </w:tcPr>
          <w:p>
            <w:pPr>
              <w:spacing w:after="0"/>
              <w:rPr>
                <w:sz w:val="11"/>
                <w:szCs w:val="11"/>
                <w:color w:val="auto"/>
              </w:rPr>
            </w:pPr>
          </w:p>
        </w:tc>
        <w:tc>
          <w:tcPr>
            <w:tcW w:w="90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140" w:type="dxa"/>
            <w:vAlign w:val="bottom"/>
            <w:tcBorders>
              <w:right w:val="single" w:sz="8" w:color="5EB5FC"/>
            </w:tcBorders>
            <w:shd w:val="clear" w:color="auto" w:fill="5EB5FC"/>
          </w:tcPr>
          <w:p>
            <w:pPr>
              <w:spacing w:after="0"/>
              <w:rPr>
                <w:sz w:val="11"/>
                <w:szCs w:val="11"/>
                <w:color w:val="auto"/>
              </w:rPr>
            </w:pPr>
          </w:p>
        </w:tc>
        <w:tc>
          <w:tcPr>
            <w:tcW w:w="920" w:type="dxa"/>
            <w:vAlign w:val="bottom"/>
            <w:tcBorders>
              <w:right w:val="single" w:sz="8" w:color="5EB5FC"/>
            </w:tcBorders>
            <w:shd w:val="clear" w:color="auto" w:fill="5EB5FC"/>
          </w:tcPr>
          <w:p>
            <w:pPr>
              <w:jc w:val="center"/>
              <w:ind w:left="7"/>
              <w:spacing w:after="0" w:line="135" w:lineRule="exact"/>
              <w:rPr>
                <w:sz w:val="20"/>
                <w:szCs w:val="20"/>
                <w:color w:val="auto"/>
              </w:rPr>
            </w:pPr>
            <w:r>
              <w:rPr>
                <w:rFonts w:ascii="Arial" w:cs="Arial" w:eastAsia="Arial" w:hAnsi="Arial"/>
                <w:sz w:val="13"/>
                <w:szCs w:val="13"/>
                <w:b w:val="1"/>
                <w:bCs w:val="1"/>
                <w:color w:val="FFFFFF"/>
                <w:w w:val="92"/>
              </w:rPr>
              <w:t>Incentive</w:t>
            </w:r>
          </w:p>
        </w:tc>
        <w:tc>
          <w:tcPr>
            <w:tcW w:w="840" w:type="dxa"/>
            <w:vAlign w:val="bottom"/>
            <w:tcBorders>
              <w:right w:val="single" w:sz="8" w:color="5EB5FC"/>
            </w:tcBorders>
            <w:shd w:val="clear" w:color="auto" w:fill="5EB5FC"/>
          </w:tcPr>
          <w:p>
            <w:pPr>
              <w:jc w:val="center"/>
              <w:spacing w:after="0" w:line="135" w:lineRule="exact"/>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Plan</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9"/>
              </w:rPr>
              <w:t>Market or</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Plan</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w w:val="93"/>
              </w:rPr>
              <w:t>Awards:</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49"/>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Value</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8"/>
              </w:rPr>
              <w:t>Number of</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w w:val="93"/>
              </w:rPr>
              <w:t>Unearned</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2"/>
              </w:rPr>
              <w:t>of Unearned</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Securities</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0"/>
              </w:rPr>
              <w:t>Securities</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Securities of</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95"/>
              </w:rPr>
              <w:t>Number of</w:t>
            </w:r>
          </w:p>
        </w:tc>
        <w:tc>
          <w:tcPr>
            <w:tcW w:w="1140" w:type="dxa"/>
            <w:vAlign w:val="bottom"/>
            <w:tcBorders>
              <w:right w:val="single" w:sz="8" w:color="5EB5FC"/>
            </w:tcBorders>
            <w:shd w:val="clear" w:color="auto" w:fill="5EB5FC"/>
          </w:tcPr>
          <w:p>
            <w:pPr>
              <w:spacing w:after="0"/>
              <w:rPr>
                <w:sz w:val="12"/>
                <w:szCs w:val="12"/>
                <w:color w:val="auto"/>
              </w:rPr>
            </w:pP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Shares,</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Shares,</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Underlying</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Underlying</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Shares or</w:t>
            </w:r>
          </w:p>
        </w:tc>
        <w:tc>
          <w:tcPr>
            <w:tcW w:w="11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9"/>
              </w:rPr>
              <w:t>Market Value</w:t>
            </w: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w w:val="97"/>
              </w:rPr>
              <w:t>Units or</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2"/>
              </w:rPr>
              <w:t>Units</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0"/>
              </w:rPr>
              <w:t>Unexerci</w:t>
            </w:r>
          </w:p>
        </w:tc>
        <w:tc>
          <w:tcPr>
            <w:tcW w:w="1020" w:type="dxa"/>
            <w:vAlign w:val="bottom"/>
            <w:tcBorders>
              <w:right w:val="single" w:sz="8" w:color="5EB5FC"/>
            </w:tcBorders>
            <w:shd w:val="clear" w:color="auto" w:fill="5EB5FC"/>
          </w:tcPr>
          <w:p>
            <w:pPr>
              <w:jc w:val="center"/>
              <w:ind w:left="11"/>
              <w:spacing w:after="0"/>
              <w:rPr>
                <w:sz w:val="20"/>
                <w:szCs w:val="20"/>
                <w:color w:val="auto"/>
              </w:rPr>
            </w:pPr>
            <w:r>
              <w:rPr>
                <w:rFonts w:ascii="Arial" w:cs="Arial" w:eastAsia="Arial" w:hAnsi="Arial"/>
                <w:sz w:val="13"/>
                <w:szCs w:val="13"/>
                <w:b w:val="1"/>
                <w:bCs w:val="1"/>
                <w:color w:val="FFFFFF"/>
                <w:w w:val="90"/>
              </w:rPr>
              <w:t>Unexercised</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Unexercis</w:t>
            </w:r>
          </w:p>
        </w:tc>
        <w:tc>
          <w:tcPr>
            <w:tcW w:w="90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94"/>
              </w:rPr>
              <w:t>Units of</w:t>
            </w:r>
          </w:p>
        </w:tc>
        <w:tc>
          <w:tcPr>
            <w:tcW w:w="114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92"/>
              </w:rPr>
              <w:t>of Shares or</w:t>
            </w: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Other</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or Other</w:t>
            </w:r>
          </w:p>
        </w:tc>
        <w:tc>
          <w:tcPr>
            <w:tcW w:w="0" w:type="dxa"/>
            <w:vAlign w:val="bottom"/>
          </w:tcPr>
          <w:p>
            <w:pPr>
              <w:spacing w:after="0"/>
              <w:rPr>
                <w:sz w:val="1"/>
                <w:szCs w:val="1"/>
                <w:color w:val="auto"/>
              </w:rPr>
            </w:pPr>
          </w:p>
        </w:tc>
      </w:tr>
      <w:tr>
        <w:trPr>
          <w:trHeight w:val="149"/>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0"/>
              </w:rPr>
              <w:t>sed</w:t>
            </w:r>
          </w:p>
        </w:tc>
        <w:tc>
          <w:tcPr>
            <w:tcW w:w="1020" w:type="dxa"/>
            <w:vAlign w:val="bottom"/>
            <w:tcBorders>
              <w:right w:val="single" w:sz="8" w:color="5EB5FC"/>
            </w:tcBorders>
            <w:shd w:val="clear" w:color="auto" w:fill="5EB5FC"/>
          </w:tcPr>
          <w:p>
            <w:pPr>
              <w:jc w:val="center"/>
              <w:ind w:left="11"/>
              <w:spacing w:after="0"/>
              <w:rPr>
                <w:sz w:val="20"/>
                <w:szCs w:val="20"/>
                <w:color w:val="auto"/>
              </w:rPr>
            </w:pPr>
            <w:r>
              <w:rPr>
                <w:rFonts w:ascii="Arial" w:cs="Arial" w:eastAsia="Arial" w:hAnsi="Arial"/>
                <w:sz w:val="13"/>
                <w:szCs w:val="13"/>
                <w:b w:val="1"/>
                <w:bCs w:val="1"/>
                <w:color w:val="FFFFFF"/>
                <w:w w:val="93"/>
              </w:rPr>
              <w:t>Options</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1"/>
              </w:rPr>
              <w:t>ed</w:t>
            </w:r>
          </w:p>
        </w:tc>
        <w:tc>
          <w:tcPr>
            <w:tcW w:w="9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Stock that</w:t>
            </w:r>
          </w:p>
        </w:tc>
        <w:tc>
          <w:tcPr>
            <w:tcW w:w="11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1"/>
              </w:rPr>
              <w:t>Units of Stock</w:t>
            </w: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w w:val="94"/>
              </w:rPr>
              <w:t>Rights that</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Rights that</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rPr>
              <w:t>(#)</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9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Exercise</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95"/>
              </w:rPr>
              <w:t>Have Not</w:t>
            </w:r>
          </w:p>
        </w:tc>
        <w:tc>
          <w:tcPr>
            <w:tcW w:w="11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that Have</w:t>
            </w: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00" w:type="dxa"/>
            <w:vAlign w:val="bottom"/>
            <w:tcBorders>
              <w:right w:val="single" w:sz="8" w:color="5EB5FC"/>
            </w:tcBorders>
            <w:shd w:val="clear" w:color="auto" w:fill="5EB5FC"/>
          </w:tcPr>
          <w:p>
            <w:pPr>
              <w:jc w:val="right"/>
              <w:ind w:right="331"/>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2"/>
              </w:rPr>
              <w:t>Unexercisa</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9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Price</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Expiration</w:t>
            </w:r>
          </w:p>
        </w:tc>
        <w:tc>
          <w:tcPr>
            <w:tcW w:w="102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89"/>
              </w:rPr>
              <w:t>Vested</w:t>
            </w:r>
          </w:p>
        </w:tc>
        <w:tc>
          <w:tcPr>
            <w:tcW w:w="1140" w:type="dxa"/>
            <w:vAlign w:val="bottom"/>
            <w:tcBorders>
              <w:right w:val="single" w:sz="8" w:color="5EB5FC"/>
            </w:tcBorders>
            <w:shd w:val="clear" w:color="auto" w:fill="5EB5FC"/>
          </w:tcPr>
          <w:p>
            <w:pPr>
              <w:jc w:val="center"/>
              <w:ind w:left="5"/>
              <w:spacing w:after="0"/>
              <w:rPr>
                <w:sz w:val="20"/>
                <w:szCs w:val="20"/>
                <w:color w:val="auto"/>
              </w:rPr>
            </w:pPr>
            <w:r>
              <w:rPr>
                <w:rFonts w:ascii="Arial" w:cs="Arial" w:eastAsia="Arial" w:hAnsi="Arial"/>
                <w:sz w:val="13"/>
                <w:szCs w:val="13"/>
                <w:b w:val="1"/>
                <w:bCs w:val="1"/>
                <w:color w:val="FFFFFF"/>
                <w:w w:val="91"/>
              </w:rPr>
              <w:t>Not Vested</w:t>
            </w:r>
          </w:p>
        </w:tc>
        <w:tc>
          <w:tcPr>
            <w:tcW w:w="9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Vested</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Vested</w:t>
            </w:r>
          </w:p>
        </w:tc>
        <w:tc>
          <w:tcPr>
            <w:tcW w:w="0" w:type="dxa"/>
            <w:vAlign w:val="bottom"/>
          </w:tcPr>
          <w:p>
            <w:pPr>
              <w:spacing w:after="0"/>
              <w:rPr>
                <w:sz w:val="1"/>
                <w:szCs w:val="1"/>
                <w:color w:val="auto"/>
              </w:rPr>
            </w:pPr>
          </w:p>
        </w:tc>
      </w:tr>
      <w:tr>
        <w:trPr>
          <w:trHeight w:val="188"/>
        </w:trPr>
        <w:tc>
          <w:tcPr>
            <w:tcW w:w="1160" w:type="dxa"/>
            <w:vAlign w:val="bottom"/>
            <w:tcBorders>
              <w:left w:val="single" w:sz="8" w:color="5EB5FC"/>
              <w:right w:val="single" w:sz="8" w:color="5EB5FC"/>
            </w:tcBorders>
            <w:shd w:val="clear" w:color="auto" w:fill="5EB5FC"/>
          </w:tcPr>
          <w:p>
            <w:pPr>
              <w:ind w:left="480"/>
              <w:spacing w:after="0"/>
              <w:rPr>
                <w:sz w:val="20"/>
                <w:szCs w:val="20"/>
                <w:color w:val="auto"/>
              </w:rPr>
            </w:pPr>
            <w:r>
              <w:rPr>
                <w:rFonts w:ascii="Arial" w:cs="Arial" w:eastAsia="Arial" w:hAnsi="Arial"/>
                <w:sz w:val="13"/>
                <w:szCs w:val="13"/>
                <w:b w:val="1"/>
                <w:bCs w:val="1"/>
                <w:color w:val="FFFFFF"/>
              </w:rPr>
              <w:t>Name</w:t>
            </w:r>
          </w:p>
        </w:tc>
        <w:tc>
          <w:tcPr>
            <w:tcW w:w="1020" w:type="dxa"/>
            <w:vAlign w:val="bottom"/>
            <w:tcBorders>
              <w:right w:val="single" w:sz="8" w:color="5EB5FC"/>
            </w:tcBorders>
            <w:shd w:val="clear" w:color="auto" w:fill="5EB5FC"/>
          </w:tcPr>
          <w:p>
            <w:pPr>
              <w:ind w:left="200"/>
              <w:spacing w:after="0"/>
              <w:rPr>
                <w:sz w:val="20"/>
                <w:szCs w:val="20"/>
                <w:color w:val="auto"/>
              </w:rPr>
            </w:pPr>
            <w:r>
              <w:rPr>
                <w:rFonts w:ascii="Arial" w:cs="Arial" w:eastAsia="Arial" w:hAnsi="Arial"/>
                <w:sz w:val="13"/>
                <w:szCs w:val="13"/>
                <w:b w:val="1"/>
                <w:bCs w:val="1"/>
                <w:color w:val="FFFFFF"/>
              </w:rPr>
              <w:t>Grant Date</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1"/>
              </w:rPr>
              <w:t>Exercisable</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4"/>
              </w:rPr>
              <w:t>ble</w:t>
            </w:r>
          </w:p>
        </w:tc>
        <w:tc>
          <w:tcPr>
            <w:tcW w:w="10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rPr>
              <w:t>(#)</w:t>
            </w:r>
          </w:p>
        </w:tc>
        <w:tc>
          <w:tcPr>
            <w:tcW w:w="900" w:type="dxa"/>
            <w:vAlign w:val="bottom"/>
            <w:tcBorders>
              <w:right w:val="single" w:sz="8" w:color="5EB5FC"/>
            </w:tcBorders>
            <w:shd w:val="clear" w:color="auto" w:fill="5EB5FC"/>
          </w:tcPr>
          <w:p>
            <w:pPr>
              <w:jc w:val="right"/>
              <w:ind w:right="270"/>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9"/>
              </w:rPr>
              <w:t>Date</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rPr>
              <w:t>(#)</w:t>
            </w:r>
          </w:p>
        </w:tc>
        <w:tc>
          <w:tcPr>
            <w:tcW w:w="11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w:t>
            </w:r>
            <w:r>
              <w:rPr>
                <w:rFonts w:ascii="Arial" w:cs="Arial" w:eastAsia="Arial" w:hAnsi="Arial"/>
                <w:sz w:val="11"/>
                <w:szCs w:val="11"/>
                <w:b w:val="1"/>
                <w:bCs w:val="1"/>
                <w:color w:val="FFFFFF"/>
                <w:w w:val="95"/>
              </w:rPr>
              <w:t>(1)</w:t>
            </w:r>
          </w:p>
        </w:tc>
        <w:tc>
          <w:tcPr>
            <w:tcW w:w="920" w:type="dxa"/>
            <w:vAlign w:val="bottom"/>
            <w:tcBorders>
              <w:right w:val="single" w:sz="8" w:color="5EB5FC"/>
            </w:tcBorders>
            <w:shd w:val="clear" w:color="auto" w:fill="5EB5FC"/>
          </w:tcPr>
          <w:p>
            <w:pPr>
              <w:jc w:val="center"/>
              <w:ind w:left="7"/>
              <w:spacing w:after="0"/>
              <w:rPr>
                <w:sz w:val="20"/>
                <w:szCs w:val="20"/>
                <w:color w:val="auto"/>
              </w:rPr>
            </w:pPr>
            <w:r>
              <w:rPr>
                <w:rFonts w:ascii="Arial" w:cs="Arial" w:eastAsia="Arial" w:hAnsi="Arial"/>
                <w:sz w:val="13"/>
                <w:szCs w:val="13"/>
                <w:b w:val="1"/>
                <w:bCs w:val="1"/>
                <w:color w:val="FFFFFF"/>
              </w:rPr>
              <w:t>(#)</w:t>
            </w:r>
          </w:p>
        </w:tc>
        <w:tc>
          <w:tcPr>
            <w:tcW w:w="8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95"/>
        </w:trPr>
        <w:tc>
          <w:tcPr>
            <w:tcW w:w="1160" w:type="dxa"/>
            <w:vAlign w:val="bottom"/>
            <w:tcBorders>
              <w:left w:val="single" w:sz="8" w:color="5EB5FC"/>
              <w:right w:val="single" w:sz="8" w:color="5EB5FC"/>
            </w:tcBorders>
            <w:shd w:val="clear" w:color="auto" w:fill="5EB5FC"/>
          </w:tcPr>
          <w:p>
            <w:pPr>
              <w:spacing w:after="0"/>
              <w:rPr>
                <w:sz w:val="8"/>
                <w:szCs w:val="8"/>
                <w:color w:val="auto"/>
              </w:rPr>
            </w:pPr>
          </w:p>
        </w:tc>
        <w:tc>
          <w:tcPr>
            <w:tcW w:w="1020" w:type="dxa"/>
            <w:vAlign w:val="bottom"/>
            <w:tcBorders>
              <w:right w:val="single" w:sz="8" w:color="5EB5FC"/>
            </w:tcBorders>
            <w:shd w:val="clear" w:color="auto" w:fill="5EB5FC"/>
          </w:tcPr>
          <w:p>
            <w:pPr>
              <w:spacing w:after="0"/>
              <w:rPr>
                <w:sz w:val="8"/>
                <w:szCs w:val="8"/>
                <w:color w:val="auto"/>
              </w:rPr>
            </w:pPr>
          </w:p>
        </w:tc>
        <w:tc>
          <w:tcPr>
            <w:tcW w:w="1000" w:type="dxa"/>
            <w:vAlign w:val="bottom"/>
            <w:tcBorders>
              <w:right w:val="single" w:sz="8" w:color="5EB5FC"/>
            </w:tcBorders>
            <w:shd w:val="clear" w:color="auto" w:fill="5EB5FC"/>
          </w:tcPr>
          <w:p>
            <w:pPr>
              <w:spacing w:after="0"/>
              <w:rPr>
                <w:sz w:val="8"/>
                <w:szCs w:val="8"/>
                <w:color w:val="auto"/>
              </w:rPr>
            </w:pPr>
          </w:p>
        </w:tc>
        <w:tc>
          <w:tcPr>
            <w:tcW w:w="1020" w:type="dxa"/>
            <w:vAlign w:val="bottom"/>
            <w:tcBorders>
              <w:right w:val="single" w:sz="8" w:color="5EB5FC"/>
            </w:tcBorders>
            <w:shd w:val="clear" w:color="auto" w:fill="5EB5FC"/>
          </w:tcPr>
          <w:p>
            <w:pPr>
              <w:spacing w:after="0"/>
              <w:rPr>
                <w:sz w:val="8"/>
                <w:szCs w:val="8"/>
                <w:color w:val="auto"/>
              </w:rPr>
            </w:pPr>
          </w:p>
        </w:tc>
        <w:tc>
          <w:tcPr>
            <w:tcW w:w="1000" w:type="dxa"/>
            <w:vAlign w:val="bottom"/>
            <w:tcBorders>
              <w:right w:val="single" w:sz="8" w:color="5EB5FC"/>
            </w:tcBorders>
            <w:shd w:val="clear" w:color="auto" w:fill="5EB5FC"/>
          </w:tcPr>
          <w:p>
            <w:pPr>
              <w:spacing w:after="0"/>
              <w:rPr>
                <w:sz w:val="8"/>
                <w:szCs w:val="8"/>
                <w:color w:val="auto"/>
              </w:rPr>
            </w:pPr>
          </w:p>
        </w:tc>
        <w:tc>
          <w:tcPr>
            <w:tcW w:w="900" w:type="dxa"/>
            <w:vAlign w:val="bottom"/>
            <w:tcBorders>
              <w:right w:val="single" w:sz="8" w:color="5EB5FC"/>
            </w:tcBorders>
            <w:shd w:val="clear" w:color="auto" w:fill="5EB5FC"/>
          </w:tcPr>
          <w:p>
            <w:pPr>
              <w:spacing w:after="0"/>
              <w:rPr>
                <w:sz w:val="8"/>
                <w:szCs w:val="8"/>
                <w:color w:val="auto"/>
              </w:rPr>
            </w:pPr>
          </w:p>
        </w:tc>
        <w:tc>
          <w:tcPr>
            <w:tcW w:w="1020" w:type="dxa"/>
            <w:vAlign w:val="bottom"/>
            <w:tcBorders>
              <w:right w:val="single" w:sz="8" w:color="5EB5FC"/>
            </w:tcBorders>
            <w:shd w:val="clear" w:color="auto" w:fill="5EB5FC"/>
          </w:tcPr>
          <w:p>
            <w:pPr>
              <w:spacing w:after="0"/>
              <w:rPr>
                <w:sz w:val="8"/>
                <w:szCs w:val="8"/>
                <w:color w:val="auto"/>
              </w:rPr>
            </w:pPr>
          </w:p>
        </w:tc>
        <w:tc>
          <w:tcPr>
            <w:tcW w:w="1020" w:type="dxa"/>
            <w:vAlign w:val="bottom"/>
            <w:tcBorders>
              <w:right w:val="single" w:sz="8" w:color="5EB5FC"/>
            </w:tcBorders>
            <w:shd w:val="clear" w:color="auto" w:fill="5EB5FC"/>
          </w:tcPr>
          <w:p>
            <w:pPr>
              <w:spacing w:after="0"/>
              <w:rPr>
                <w:sz w:val="8"/>
                <w:szCs w:val="8"/>
                <w:color w:val="auto"/>
              </w:rPr>
            </w:pPr>
          </w:p>
        </w:tc>
        <w:tc>
          <w:tcPr>
            <w:tcW w:w="1140" w:type="dxa"/>
            <w:vAlign w:val="bottom"/>
            <w:tcBorders>
              <w:right w:val="single" w:sz="8" w:color="5EB5FC"/>
            </w:tcBorders>
            <w:shd w:val="clear" w:color="auto" w:fill="5EB5FC"/>
          </w:tcPr>
          <w:p>
            <w:pPr>
              <w:spacing w:after="0"/>
              <w:rPr>
                <w:sz w:val="8"/>
                <w:szCs w:val="8"/>
                <w:color w:val="auto"/>
              </w:rPr>
            </w:pPr>
          </w:p>
        </w:tc>
        <w:tc>
          <w:tcPr>
            <w:tcW w:w="920" w:type="dxa"/>
            <w:vAlign w:val="bottom"/>
            <w:tcBorders>
              <w:right w:val="single" w:sz="8" w:color="5EB5FC"/>
            </w:tcBorders>
            <w:shd w:val="clear" w:color="auto" w:fill="5EB5FC"/>
          </w:tcPr>
          <w:p>
            <w:pPr>
              <w:spacing w:after="0"/>
              <w:rPr>
                <w:sz w:val="8"/>
                <w:szCs w:val="8"/>
                <w:color w:val="auto"/>
              </w:rPr>
            </w:pPr>
          </w:p>
        </w:tc>
        <w:tc>
          <w:tcPr>
            <w:tcW w:w="840" w:type="dxa"/>
            <w:vAlign w:val="bottom"/>
            <w:tcBorders>
              <w:right w:val="single" w:sz="8" w:color="5EB5FC"/>
            </w:tcBorders>
            <w:shd w:val="clear" w:color="auto" w:fill="5EB5FC"/>
          </w:tcPr>
          <w:p>
            <w:pPr>
              <w:spacing w:after="0"/>
              <w:rPr>
                <w:sz w:val="8"/>
                <w:szCs w:val="8"/>
                <w:color w:val="auto"/>
              </w:rPr>
            </w:pPr>
          </w:p>
        </w:tc>
        <w:tc>
          <w:tcPr>
            <w:tcW w:w="0" w:type="dxa"/>
            <w:vAlign w:val="bottom"/>
          </w:tcPr>
          <w:p>
            <w:pPr>
              <w:spacing w:after="0"/>
              <w:rPr>
                <w:sz w:val="1"/>
                <w:szCs w:val="1"/>
                <w:color w:val="auto"/>
              </w:rPr>
            </w:pPr>
          </w:p>
        </w:tc>
      </w:tr>
      <w:tr>
        <w:trPr>
          <w:trHeight w:val="251"/>
        </w:trPr>
        <w:tc>
          <w:tcPr>
            <w:tcW w:w="2180" w:type="dxa"/>
            <w:vAlign w:val="bottom"/>
            <w:tcBorders>
              <w:left w:val="single" w:sz="8" w:color="A0DBF9"/>
              <w:right w:val="single" w:sz="8" w:color="E2F4FC"/>
            </w:tcBorders>
            <w:gridSpan w:val="2"/>
            <w:shd w:val="clear" w:color="auto" w:fill="E2F4FC"/>
          </w:tcPr>
          <w:p>
            <w:pPr>
              <w:ind w:left="240"/>
              <w:spacing w:after="0"/>
              <w:rPr>
                <w:sz w:val="20"/>
                <w:szCs w:val="20"/>
                <w:color w:val="auto"/>
              </w:rPr>
            </w:pPr>
            <w:r>
              <w:rPr>
                <w:rFonts w:ascii="Arial" w:cs="Arial" w:eastAsia="Arial" w:hAnsi="Arial"/>
                <w:sz w:val="16"/>
                <w:szCs w:val="16"/>
                <w:b w:val="1"/>
                <w:bCs w:val="1"/>
                <w:color w:val="auto"/>
              </w:rPr>
              <w:t>Mary Anne Heino</w:t>
            </w:r>
          </w:p>
        </w:tc>
        <w:tc>
          <w:tcPr>
            <w:tcW w:w="1000" w:type="dxa"/>
            <w:vAlign w:val="bottom"/>
            <w:tcBorders>
              <w:right w:val="single" w:sz="8" w:color="A0DBF9"/>
            </w:tcBorders>
            <w:shd w:val="clear" w:color="auto" w:fill="E2F4FC"/>
          </w:tcPr>
          <w:p>
            <w:pPr>
              <w:spacing w:after="0"/>
              <w:rPr>
                <w:sz w:val="21"/>
                <w:szCs w:val="21"/>
                <w:color w:val="auto"/>
              </w:rPr>
            </w:pPr>
          </w:p>
        </w:tc>
        <w:tc>
          <w:tcPr>
            <w:tcW w:w="1020" w:type="dxa"/>
            <w:vAlign w:val="bottom"/>
            <w:tcBorders>
              <w:right w:val="single" w:sz="8" w:color="A0DBF9"/>
            </w:tcBorders>
            <w:shd w:val="clear" w:color="auto" w:fill="E2F4FC"/>
          </w:tcPr>
          <w:p>
            <w:pPr>
              <w:spacing w:after="0"/>
              <w:rPr>
                <w:sz w:val="21"/>
                <w:szCs w:val="21"/>
                <w:color w:val="auto"/>
              </w:rPr>
            </w:pPr>
          </w:p>
        </w:tc>
        <w:tc>
          <w:tcPr>
            <w:tcW w:w="1000" w:type="dxa"/>
            <w:vAlign w:val="bottom"/>
            <w:tcBorders>
              <w:right w:val="single" w:sz="8" w:color="A0DBF9"/>
            </w:tcBorders>
            <w:shd w:val="clear" w:color="auto" w:fill="E2F4FC"/>
          </w:tcPr>
          <w:p>
            <w:pPr>
              <w:spacing w:after="0"/>
              <w:rPr>
                <w:sz w:val="21"/>
                <w:szCs w:val="21"/>
                <w:color w:val="auto"/>
              </w:rPr>
            </w:pPr>
          </w:p>
        </w:tc>
        <w:tc>
          <w:tcPr>
            <w:tcW w:w="900" w:type="dxa"/>
            <w:vAlign w:val="bottom"/>
            <w:tcBorders>
              <w:right w:val="single" w:sz="8" w:color="A0DBF9"/>
            </w:tcBorders>
            <w:shd w:val="clear" w:color="auto" w:fill="E2F4FC"/>
          </w:tcPr>
          <w:p>
            <w:pPr>
              <w:spacing w:after="0"/>
              <w:rPr>
                <w:sz w:val="21"/>
                <w:szCs w:val="21"/>
                <w:color w:val="auto"/>
              </w:rPr>
            </w:pPr>
          </w:p>
        </w:tc>
        <w:tc>
          <w:tcPr>
            <w:tcW w:w="1020" w:type="dxa"/>
            <w:vAlign w:val="bottom"/>
            <w:tcBorders>
              <w:right w:val="single" w:sz="8" w:color="A0DBF9"/>
            </w:tcBorders>
            <w:shd w:val="clear" w:color="auto" w:fill="E2F4FC"/>
          </w:tcPr>
          <w:p>
            <w:pPr>
              <w:spacing w:after="0"/>
              <w:rPr>
                <w:sz w:val="21"/>
                <w:szCs w:val="21"/>
                <w:color w:val="auto"/>
              </w:rPr>
            </w:pPr>
          </w:p>
        </w:tc>
        <w:tc>
          <w:tcPr>
            <w:tcW w:w="1020" w:type="dxa"/>
            <w:vAlign w:val="bottom"/>
            <w:tcBorders>
              <w:right w:val="single" w:sz="8" w:color="A0DBF9"/>
            </w:tcBorders>
            <w:shd w:val="clear" w:color="auto" w:fill="E2F4FC"/>
          </w:tcPr>
          <w:p>
            <w:pPr>
              <w:spacing w:after="0"/>
              <w:rPr>
                <w:sz w:val="21"/>
                <w:szCs w:val="21"/>
                <w:color w:val="auto"/>
              </w:rPr>
            </w:pPr>
          </w:p>
        </w:tc>
        <w:tc>
          <w:tcPr>
            <w:tcW w:w="1140" w:type="dxa"/>
            <w:vAlign w:val="bottom"/>
            <w:tcBorders>
              <w:right w:val="single" w:sz="8" w:color="A0DBF9"/>
            </w:tcBorders>
            <w:shd w:val="clear" w:color="auto" w:fill="E2F4FC"/>
          </w:tcPr>
          <w:p>
            <w:pPr>
              <w:spacing w:after="0"/>
              <w:rPr>
                <w:sz w:val="21"/>
                <w:szCs w:val="21"/>
                <w:color w:val="auto"/>
              </w:rPr>
            </w:pPr>
          </w:p>
        </w:tc>
        <w:tc>
          <w:tcPr>
            <w:tcW w:w="920" w:type="dxa"/>
            <w:vAlign w:val="bottom"/>
            <w:tcBorders>
              <w:right w:val="single" w:sz="8" w:color="A0DBF9"/>
            </w:tcBorders>
            <w:shd w:val="clear" w:color="auto" w:fill="E2F4FC"/>
          </w:tcPr>
          <w:p>
            <w:pPr>
              <w:spacing w:after="0"/>
              <w:rPr>
                <w:sz w:val="21"/>
                <w:szCs w:val="21"/>
                <w:color w:val="auto"/>
              </w:rPr>
            </w:pPr>
          </w:p>
        </w:tc>
        <w:tc>
          <w:tcPr>
            <w:tcW w:w="840" w:type="dxa"/>
            <w:vAlign w:val="bottom"/>
            <w:tcBorders>
              <w:right w:val="single" w:sz="8" w:color="A0DBF9"/>
            </w:tcBorders>
            <w:shd w:val="clear" w:color="auto" w:fill="E2F4FC"/>
          </w:tcPr>
          <w:p>
            <w:pPr>
              <w:spacing w:after="0"/>
              <w:rPr>
                <w:sz w:val="21"/>
                <w:szCs w:val="21"/>
                <w:color w:val="auto"/>
              </w:rPr>
            </w:pPr>
          </w:p>
        </w:tc>
        <w:tc>
          <w:tcPr>
            <w:tcW w:w="0" w:type="dxa"/>
            <w:vAlign w:val="bottom"/>
          </w:tcPr>
          <w:p>
            <w:pPr>
              <w:spacing w:after="0"/>
              <w:rPr>
                <w:sz w:val="1"/>
                <w:szCs w:val="1"/>
                <w:color w:val="auto"/>
              </w:rPr>
            </w:pPr>
          </w:p>
        </w:tc>
      </w:tr>
      <w:tr>
        <w:trPr>
          <w:trHeight w:val="87"/>
        </w:trPr>
        <w:tc>
          <w:tcPr>
            <w:tcW w:w="1160" w:type="dxa"/>
            <w:vAlign w:val="bottom"/>
            <w:tcBorders>
              <w:left w:val="single" w:sz="8" w:color="A0DBF9"/>
              <w:bottom w:val="single" w:sz="8" w:color="A0DBF9"/>
              <w:right w:val="single" w:sz="8" w:color="E2F4FC"/>
            </w:tcBorders>
            <w:shd w:val="clear" w:color="auto" w:fill="E2F4FC"/>
          </w:tcPr>
          <w:p>
            <w:pPr>
              <w:spacing w:after="0"/>
              <w:rPr>
                <w:sz w:val="7"/>
                <w:szCs w:val="7"/>
                <w:color w:val="auto"/>
              </w:rPr>
            </w:pPr>
          </w:p>
        </w:tc>
        <w:tc>
          <w:tcPr>
            <w:tcW w:w="1020" w:type="dxa"/>
            <w:vAlign w:val="bottom"/>
            <w:tcBorders>
              <w:bottom w:val="single" w:sz="8" w:color="A0DBF9"/>
              <w:right w:val="single" w:sz="8" w:color="E2F4FC"/>
            </w:tcBorders>
            <w:shd w:val="clear" w:color="auto" w:fill="E2F4FC"/>
          </w:tcPr>
          <w:p>
            <w:pPr>
              <w:spacing w:after="0"/>
              <w:rPr>
                <w:sz w:val="7"/>
                <w:szCs w:val="7"/>
                <w:color w:val="auto"/>
              </w:rPr>
            </w:pPr>
          </w:p>
        </w:tc>
        <w:tc>
          <w:tcPr>
            <w:tcW w:w="100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0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140" w:type="dxa"/>
            <w:vAlign w:val="bottom"/>
            <w:tcBorders>
              <w:bottom w:val="single" w:sz="8" w:color="A0DBF9"/>
              <w:right w:val="single" w:sz="8" w:color="A0DBF9"/>
            </w:tcBorders>
            <w:shd w:val="clear" w:color="auto" w:fill="E2F4FC"/>
          </w:tcPr>
          <w:p>
            <w:pPr>
              <w:spacing w:after="0"/>
              <w:rPr>
                <w:sz w:val="7"/>
                <w:szCs w:val="7"/>
                <w:color w:val="auto"/>
              </w:rPr>
            </w:pPr>
          </w:p>
        </w:tc>
        <w:tc>
          <w:tcPr>
            <w:tcW w:w="920" w:type="dxa"/>
            <w:vAlign w:val="bottom"/>
            <w:tcBorders>
              <w:bottom w:val="single" w:sz="8" w:color="A0DBF9"/>
              <w:right w:val="single" w:sz="8" w:color="A0DBF9"/>
            </w:tcBorders>
            <w:shd w:val="clear" w:color="auto" w:fill="E2F4FC"/>
          </w:tcPr>
          <w:p>
            <w:pPr>
              <w:spacing w:after="0"/>
              <w:rPr>
                <w:sz w:val="7"/>
                <w:szCs w:val="7"/>
                <w:color w:val="auto"/>
              </w:rPr>
            </w:pPr>
          </w:p>
        </w:tc>
        <w:tc>
          <w:tcPr>
            <w:tcW w:w="84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Options</w:t>
            </w:r>
            <w:r>
              <w:rPr>
                <w:rFonts w:ascii="Arial" w:cs="Arial" w:eastAsia="Arial" w:hAnsi="Arial"/>
                <w:sz w:val="27"/>
                <w:szCs w:val="27"/>
                <w:color w:val="auto"/>
                <w:vertAlign w:val="superscript"/>
              </w:rPr>
              <w:t>(2)</w:t>
            </w: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jc w:val="right"/>
              <w:ind w:right="171"/>
              <w:spacing w:after="0"/>
              <w:rPr>
                <w:sz w:val="20"/>
                <w:szCs w:val="20"/>
                <w:color w:val="auto"/>
              </w:rPr>
            </w:pPr>
            <w:r>
              <w:rPr>
                <w:rFonts w:ascii="Arial" w:cs="Arial" w:eastAsia="Arial" w:hAnsi="Arial"/>
                <w:sz w:val="16"/>
                <w:szCs w:val="16"/>
                <w:color w:val="auto"/>
              </w:rPr>
              <w:t>44,484</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9"/>
              </w:rPr>
              <w:t>—</w:t>
            </w:r>
          </w:p>
        </w:tc>
        <w:tc>
          <w:tcPr>
            <w:tcW w:w="100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9"/>
              </w:rPr>
              <w:t>—</w:t>
            </w:r>
          </w:p>
        </w:tc>
        <w:tc>
          <w:tcPr>
            <w:tcW w:w="900" w:type="dxa"/>
            <w:vAlign w:val="bottom"/>
            <w:tcBorders>
              <w:bottom w:val="single" w:sz="8" w:color="A0DBF9"/>
              <w:right w:val="single" w:sz="8" w:color="A0DBF9"/>
            </w:tcBorders>
            <w:shd w:val="clear" w:color="auto" w:fill="E2F4FC"/>
          </w:tcPr>
          <w:p>
            <w:pPr>
              <w:jc w:val="right"/>
              <w:ind w:right="130"/>
              <w:spacing w:after="0"/>
              <w:rPr>
                <w:sz w:val="20"/>
                <w:szCs w:val="20"/>
                <w:color w:val="auto"/>
              </w:rPr>
            </w:pPr>
            <w:r>
              <w:rPr>
                <w:rFonts w:ascii="Arial" w:cs="Arial" w:eastAsia="Arial" w:hAnsi="Arial"/>
                <w:sz w:val="16"/>
                <w:szCs w:val="16"/>
                <w:color w:val="auto"/>
              </w:rPr>
              <w:t>$19.11</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4/15/2023</w:t>
            </w: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140" w:type="dxa"/>
            <w:vAlign w:val="bottom"/>
            <w:tcBorders>
              <w:bottom w:val="single" w:sz="8" w:color="A0DBF9"/>
              <w:right w:val="single" w:sz="8" w:color="A0DBF9"/>
            </w:tcBorders>
            <w:shd w:val="clear" w:color="auto" w:fill="E2F4FC"/>
          </w:tcPr>
          <w:p>
            <w:pPr>
              <w:spacing w:after="0"/>
              <w:rPr>
                <w:sz w:val="24"/>
                <w:szCs w:val="24"/>
                <w:color w:val="auto"/>
              </w:rPr>
            </w:pPr>
          </w:p>
        </w:tc>
        <w:tc>
          <w:tcPr>
            <w:tcW w:w="920" w:type="dxa"/>
            <w:vAlign w:val="bottom"/>
            <w:tcBorders>
              <w:bottom w:val="single" w:sz="8" w:color="A0DBF9"/>
              <w:right w:val="single" w:sz="8" w:color="A0DBF9"/>
            </w:tcBorders>
            <w:shd w:val="clear" w:color="auto" w:fill="E2F4FC"/>
          </w:tcPr>
          <w:p>
            <w:pPr>
              <w:spacing w:after="0"/>
              <w:rPr>
                <w:sz w:val="24"/>
                <w:szCs w:val="24"/>
                <w:color w:val="auto"/>
              </w:rPr>
            </w:pPr>
          </w:p>
        </w:tc>
        <w:tc>
          <w:tcPr>
            <w:tcW w:w="840" w:type="dxa"/>
            <w:vAlign w:val="bottom"/>
            <w:tcBorders>
              <w:bottom w:val="single" w:sz="8" w:color="A0DBF9"/>
              <w:right w:val="single" w:sz="8" w:color="A0DBF9"/>
            </w:tcBorders>
            <w:shd w:val="clear" w:color="auto" w:fill="E2F4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RSAs</w:t>
            </w:r>
            <w:r>
              <w:rPr>
                <w:rFonts w:ascii="Arial" w:cs="Arial" w:eastAsia="Arial" w:hAnsi="Arial"/>
                <w:sz w:val="27"/>
                <w:szCs w:val="27"/>
                <w:color w:val="auto"/>
                <w:vertAlign w:val="superscript"/>
              </w:rPr>
              <w:t>(3)</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4/26/2016</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66,250</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$1,358,788</w:t>
            </w: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7"/>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RSAs</w:t>
            </w:r>
            <w:r>
              <w:rPr>
                <w:rFonts w:ascii="Arial" w:cs="Arial" w:eastAsia="Arial" w:hAnsi="Arial"/>
                <w:sz w:val="27"/>
                <w:szCs w:val="27"/>
                <w:color w:val="auto"/>
                <w:vertAlign w:val="superscript"/>
              </w:rPr>
              <w:t>(4)</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2/23/2017</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21,996</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$451,138</w:t>
            </w: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RSAs</w:t>
            </w:r>
            <w:r>
              <w:rPr>
                <w:rFonts w:ascii="Arial" w:cs="Arial" w:eastAsia="Arial" w:hAnsi="Arial"/>
                <w:sz w:val="27"/>
                <w:szCs w:val="27"/>
                <w:color w:val="auto"/>
                <w:vertAlign w:val="superscript"/>
              </w:rPr>
              <w:t>(4)</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3"/>
              </w:rPr>
              <w:t>3/5/2018</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40,084</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$822,123</w:t>
            </w: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99"/>
              </w:rPr>
              <w:t>—</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RSUs</w:t>
            </w:r>
            <w:r>
              <w:rPr>
                <w:rFonts w:ascii="Arial" w:cs="Arial" w:eastAsia="Arial" w:hAnsi="Arial"/>
                <w:sz w:val="27"/>
                <w:szCs w:val="27"/>
                <w:color w:val="auto"/>
                <w:vertAlign w:val="superscript"/>
              </w:rPr>
              <w:t>(5)</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44,084</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$904,163</w:t>
            </w:r>
          </w:p>
        </w:tc>
        <w:tc>
          <w:tcPr>
            <w:tcW w:w="920" w:type="dxa"/>
            <w:vAlign w:val="bottom"/>
            <w:tcBorders>
              <w:bottom w:val="single" w:sz="8" w:color="A0DBF9"/>
              <w:right w:val="single" w:sz="8" w:color="A0DBF9"/>
            </w:tcBorders>
            <w:shd w:val="clear" w:color="auto" w:fill="E2F4FC"/>
          </w:tcPr>
          <w:p>
            <w:pPr>
              <w:spacing w:after="0"/>
              <w:rPr>
                <w:sz w:val="24"/>
                <w:szCs w:val="24"/>
                <w:color w:val="auto"/>
              </w:rPr>
            </w:pPr>
          </w:p>
        </w:tc>
        <w:tc>
          <w:tcPr>
            <w:tcW w:w="840" w:type="dxa"/>
            <w:vAlign w:val="bottom"/>
            <w:tcBorders>
              <w:bottom w:val="single" w:sz="8" w:color="A0DBF9"/>
              <w:right w:val="single" w:sz="8" w:color="A0DBF9"/>
            </w:tcBorders>
            <w:shd w:val="clear" w:color="auto" w:fill="E2F4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PSAs</w:t>
            </w:r>
            <w:r>
              <w:rPr>
                <w:rFonts w:ascii="Arial" w:cs="Arial" w:eastAsia="Arial" w:hAnsi="Arial"/>
                <w:sz w:val="27"/>
                <w:szCs w:val="27"/>
                <w:color w:val="auto"/>
                <w:vertAlign w:val="superscript"/>
              </w:rPr>
              <w:t>(6)</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2/23/2017</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140" w:type="dxa"/>
            <w:vAlign w:val="bottom"/>
            <w:tcBorders>
              <w:bottom w:val="single" w:sz="8" w:color="A0DBF9"/>
              <w:right w:val="single" w:sz="8" w:color="A0DBF9"/>
            </w:tcBorders>
            <w:shd w:val="clear" w:color="auto" w:fill="E2F4FC"/>
          </w:tcPr>
          <w:p>
            <w:pPr>
              <w:spacing w:after="0"/>
              <w:rPr>
                <w:sz w:val="24"/>
                <w:szCs w:val="24"/>
                <w:color w:val="auto"/>
              </w:rPr>
            </w:pP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89"/>
              </w:rPr>
              <w:t>68,856</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$1,412,237</w:t>
            </w: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PSAs</w:t>
            </w:r>
            <w:r>
              <w:rPr>
                <w:rFonts w:ascii="Arial" w:cs="Arial" w:eastAsia="Arial" w:hAnsi="Arial"/>
                <w:sz w:val="27"/>
                <w:szCs w:val="27"/>
                <w:color w:val="auto"/>
                <w:vertAlign w:val="superscript"/>
              </w:rPr>
              <w:t>(7)</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3"/>
              </w:rPr>
              <w:t>3/5/2018</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140" w:type="dxa"/>
            <w:vAlign w:val="bottom"/>
            <w:tcBorders>
              <w:bottom w:val="single" w:sz="8" w:color="A0DBF9"/>
              <w:right w:val="single" w:sz="8" w:color="A0DBF9"/>
            </w:tcBorders>
            <w:shd w:val="clear" w:color="auto" w:fill="E2F4FC"/>
          </w:tcPr>
          <w:p>
            <w:pPr>
              <w:spacing w:after="0"/>
              <w:rPr>
                <w:sz w:val="24"/>
                <w:szCs w:val="24"/>
                <w:color w:val="auto"/>
              </w:rPr>
            </w:pP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89"/>
              </w:rPr>
              <w:t>60,127</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$1,233,205</w:t>
            </w: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(8)</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140" w:type="dxa"/>
            <w:vAlign w:val="bottom"/>
            <w:tcBorders>
              <w:bottom w:val="single" w:sz="8" w:color="A0DBF9"/>
              <w:right w:val="single" w:sz="8" w:color="A0DBF9"/>
            </w:tcBorders>
            <w:shd w:val="clear" w:color="auto" w:fill="E2F4FC"/>
          </w:tcPr>
          <w:p>
            <w:pPr>
              <w:spacing w:after="0"/>
              <w:rPr>
                <w:sz w:val="24"/>
                <w:szCs w:val="24"/>
                <w:color w:val="auto"/>
              </w:rPr>
            </w:pP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89"/>
              </w:rPr>
              <w:t>44,085</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$904,183</w:t>
            </w:r>
          </w:p>
        </w:tc>
        <w:tc>
          <w:tcPr>
            <w:tcW w:w="0" w:type="dxa"/>
            <w:vAlign w:val="bottom"/>
          </w:tcPr>
          <w:p>
            <w:pPr>
              <w:spacing w:after="0"/>
              <w:rPr>
                <w:sz w:val="1"/>
                <w:szCs w:val="1"/>
                <w:color w:val="auto"/>
              </w:rPr>
            </w:pPr>
          </w:p>
        </w:tc>
      </w:tr>
      <w:tr>
        <w:trPr>
          <w:trHeight w:val="230"/>
        </w:trPr>
        <w:tc>
          <w:tcPr>
            <w:tcW w:w="2180" w:type="dxa"/>
            <w:vAlign w:val="bottom"/>
            <w:tcBorders>
              <w:left w:val="single" w:sz="8" w:color="A0DBF9"/>
            </w:tcBorders>
            <w:gridSpan w:val="2"/>
          </w:tcPr>
          <w:p>
            <w:pPr>
              <w:ind w:left="240"/>
              <w:spacing w:after="0"/>
              <w:rPr>
                <w:sz w:val="20"/>
                <w:szCs w:val="20"/>
                <w:color w:val="auto"/>
              </w:rPr>
            </w:pPr>
            <w:r>
              <w:rPr>
                <w:rFonts w:ascii="Arial" w:cs="Arial" w:eastAsia="Arial" w:hAnsi="Arial"/>
                <w:sz w:val="16"/>
                <w:szCs w:val="16"/>
                <w:b w:val="1"/>
                <w:bCs w:val="1"/>
                <w:color w:val="auto"/>
              </w:rPr>
              <w:t>Robert J. Marshall, Jr.</w:t>
            </w:r>
          </w:p>
        </w:tc>
        <w:tc>
          <w:tcPr>
            <w:tcW w:w="100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00" w:type="dxa"/>
            <w:vAlign w:val="bottom"/>
            <w:tcBorders>
              <w:right w:val="single" w:sz="8" w:color="A0DBF9"/>
            </w:tcBorders>
          </w:tcPr>
          <w:p>
            <w:pPr>
              <w:spacing w:after="0"/>
              <w:rPr>
                <w:sz w:val="20"/>
                <w:szCs w:val="20"/>
                <w:color w:val="auto"/>
              </w:rPr>
            </w:pPr>
          </w:p>
        </w:tc>
        <w:tc>
          <w:tcPr>
            <w:tcW w:w="90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140" w:type="dxa"/>
            <w:vAlign w:val="bottom"/>
            <w:tcBorders>
              <w:right w:val="single" w:sz="8" w:color="A0DBF9"/>
            </w:tcBorders>
          </w:tcPr>
          <w:p>
            <w:pPr>
              <w:spacing w:after="0"/>
              <w:rPr>
                <w:sz w:val="20"/>
                <w:szCs w:val="20"/>
                <w:color w:val="auto"/>
              </w:rPr>
            </w:pPr>
          </w:p>
        </w:tc>
        <w:tc>
          <w:tcPr>
            <w:tcW w:w="920" w:type="dxa"/>
            <w:vAlign w:val="bottom"/>
            <w:tcBorders>
              <w:right w:val="single" w:sz="8" w:color="A0DBF9"/>
            </w:tcBorders>
          </w:tcPr>
          <w:p>
            <w:pPr>
              <w:spacing w:after="0"/>
              <w:rPr>
                <w:sz w:val="20"/>
                <w:szCs w:val="20"/>
                <w:color w:val="auto"/>
              </w:rPr>
            </w:pPr>
          </w:p>
        </w:tc>
        <w:tc>
          <w:tcPr>
            <w:tcW w:w="840" w:type="dxa"/>
            <w:vAlign w:val="bottom"/>
            <w:tcBorders>
              <w:right w:val="single" w:sz="8" w:color="A0DBF9"/>
            </w:tcBorders>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160" w:type="dxa"/>
            <w:vAlign w:val="bottom"/>
            <w:tcBorders>
              <w:left w:val="single" w:sz="8" w:color="A0DBF9"/>
              <w:bottom w:val="single" w:sz="8" w:color="A0DBF9"/>
            </w:tcBorders>
          </w:tcPr>
          <w:p>
            <w:pPr>
              <w:spacing w:after="0"/>
              <w:rPr>
                <w:sz w:val="7"/>
                <w:szCs w:val="7"/>
                <w:color w:val="auto"/>
              </w:rPr>
            </w:pPr>
          </w:p>
        </w:tc>
        <w:tc>
          <w:tcPr>
            <w:tcW w:w="1020" w:type="dxa"/>
            <w:vAlign w:val="bottom"/>
            <w:tcBorders>
              <w:bottom w:val="single" w:sz="8" w:color="A0DBF9"/>
            </w:tcBorders>
          </w:tcPr>
          <w:p>
            <w:pPr>
              <w:spacing w:after="0"/>
              <w:rPr>
                <w:sz w:val="7"/>
                <w:szCs w:val="7"/>
                <w:color w:val="auto"/>
              </w:rPr>
            </w:pPr>
          </w:p>
        </w:tc>
        <w:tc>
          <w:tcPr>
            <w:tcW w:w="100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0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140" w:type="dxa"/>
            <w:vAlign w:val="bottom"/>
            <w:tcBorders>
              <w:bottom w:val="single" w:sz="8" w:color="A0DBF9"/>
              <w:right w:val="single" w:sz="8" w:color="A0DBF9"/>
            </w:tcBorders>
          </w:tcPr>
          <w:p>
            <w:pPr>
              <w:spacing w:after="0"/>
              <w:rPr>
                <w:sz w:val="7"/>
                <w:szCs w:val="7"/>
                <w:color w:val="auto"/>
              </w:rPr>
            </w:pPr>
          </w:p>
        </w:tc>
        <w:tc>
          <w:tcPr>
            <w:tcW w:w="920" w:type="dxa"/>
            <w:vAlign w:val="bottom"/>
            <w:tcBorders>
              <w:bottom w:val="single" w:sz="8" w:color="A0DBF9"/>
              <w:right w:val="single" w:sz="8" w:color="A0DBF9"/>
            </w:tcBorders>
          </w:tcPr>
          <w:p>
            <w:pPr>
              <w:spacing w:after="0"/>
              <w:rPr>
                <w:sz w:val="7"/>
                <w:szCs w:val="7"/>
                <w:color w:val="auto"/>
              </w:rPr>
            </w:pPr>
          </w:p>
        </w:tc>
        <w:tc>
          <w:tcPr>
            <w:tcW w:w="84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tcPr>
          <w:p>
            <w:pPr>
              <w:ind w:left="320"/>
              <w:spacing w:after="0"/>
              <w:rPr>
                <w:sz w:val="20"/>
                <w:szCs w:val="20"/>
                <w:color w:val="auto"/>
              </w:rPr>
            </w:pPr>
            <w:r>
              <w:rPr>
                <w:rFonts w:ascii="Arial" w:cs="Arial" w:eastAsia="Arial" w:hAnsi="Arial"/>
                <w:sz w:val="16"/>
                <w:szCs w:val="16"/>
                <w:color w:val="auto"/>
              </w:rPr>
              <w:t>RSAs</w:t>
            </w:r>
            <w:r>
              <w:rPr>
                <w:rFonts w:ascii="Arial" w:cs="Arial" w:eastAsia="Arial" w:hAnsi="Arial"/>
                <w:sz w:val="27"/>
                <w:szCs w:val="27"/>
                <w:color w:val="auto"/>
                <w:vertAlign w:val="superscript"/>
              </w:rPr>
              <w:t>(9)</w:t>
            </w:r>
          </w:p>
        </w:tc>
        <w:tc>
          <w:tcPr>
            <w:tcW w:w="10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92"/>
              </w:rPr>
              <w:t>10/15/2018</w:t>
            </w:r>
          </w:p>
        </w:tc>
        <w:tc>
          <w:tcPr>
            <w:tcW w:w="10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00" w:type="dxa"/>
            <w:vAlign w:val="bottom"/>
            <w:tcBorders>
              <w:bottom w:val="single" w:sz="8" w:color="A0DBF9"/>
              <w:right w:val="single" w:sz="8" w:color="A0DBF9"/>
            </w:tcBorders>
          </w:tcPr>
          <w:p>
            <w:pPr>
              <w:spacing w:after="0"/>
              <w:rPr>
                <w:sz w:val="24"/>
                <w:szCs w:val="24"/>
                <w:color w:val="auto"/>
              </w:rPr>
            </w:pPr>
          </w:p>
        </w:tc>
        <w:tc>
          <w:tcPr>
            <w:tcW w:w="9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89"/>
              </w:rPr>
              <w:t>33,482</w:t>
            </w:r>
          </w:p>
        </w:tc>
        <w:tc>
          <w:tcPr>
            <w:tcW w:w="114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89"/>
              </w:rPr>
              <w:t>$686,716</w:t>
            </w:r>
          </w:p>
        </w:tc>
        <w:tc>
          <w:tcPr>
            <w:tcW w:w="920" w:type="dxa"/>
            <w:vAlign w:val="bottom"/>
            <w:tcBorders>
              <w:bottom w:val="single" w:sz="8" w:color="A0DBF9"/>
              <w:right w:val="single" w:sz="8" w:color="A0DBF9"/>
            </w:tcBorders>
          </w:tcPr>
          <w:p>
            <w:pPr>
              <w:spacing w:after="0"/>
              <w:rPr>
                <w:sz w:val="24"/>
                <w:szCs w:val="24"/>
                <w:color w:val="auto"/>
              </w:rPr>
            </w:pPr>
          </w:p>
        </w:tc>
        <w:tc>
          <w:tcPr>
            <w:tcW w:w="840" w:type="dxa"/>
            <w:vAlign w:val="bottom"/>
            <w:tcBorders>
              <w:bottom w:val="single" w:sz="8" w:color="A0DBF9"/>
              <w:right w:val="single" w:sz="8" w:color="A0DBF9"/>
            </w:tcBorders>
          </w:tcPr>
          <w:p>
            <w:pPr>
              <w:spacing w:after="0"/>
              <w:rPr>
                <w:sz w:val="24"/>
                <w:szCs w:val="24"/>
                <w:color w:val="auto"/>
              </w:rPr>
            </w:pPr>
          </w:p>
        </w:tc>
        <w:tc>
          <w:tcPr>
            <w:tcW w:w="0" w:type="dxa"/>
            <w:vAlign w:val="bottom"/>
          </w:tcPr>
          <w:p>
            <w:pPr>
              <w:spacing w:after="0"/>
              <w:rPr>
                <w:sz w:val="1"/>
                <w:szCs w:val="1"/>
                <w:color w:val="auto"/>
              </w:rPr>
            </w:pPr>
          </w:p>
        </w:tc>
      </w:tr>
      <w:tr>
        <w:trPr>
          <w:trHeight w:val="317"/>
        </w:trPr>
        <w:tc>
          <w:tcPr>
            <w:tcW w:w="1160" w:type="dxa"/>
            <w:vAlign w:val="bottom"/>
            <w:tcBorders>
              <w:left w:val="single" w:sz="8" w:color="A0DBF9"/>
              <w:bottom w:val="single" w:sz="8" w:color="A0DBF9"/>
              <w:right w:val="single" w:sz="8" w:color="A0DBF9"/>
            </w:tcBorders>
          </w:tcPr>
          <w:p>
            <w:pPr>
              <w:ind w:left="320"/>
              <w:spacing w:after="0"/>
              <w:rPr>
                <w:sz w:val="20"/>
                <w:szCs w:val="20"/>
                <w:color w:val="auto"/>
              </w:rPr>
            </w:pPr>
            <w:r>
              <w:rPr>
                <w:rFonts w:ascii="Arial" w:cs="Arial" w:eastAsia="Arial" w:hAnsi="Arial"/>
                <w:sz w:val="16"/>
                <w:szCs w:val="16"/>
                <w:color w:val="auto"/>
              </w:rPr>
              <w:t>RSUs</w:t>
            </w:r>
            <w:r>
              <w:rPr>
                <w:rFonts w:ascii="Arial" w:cs="Arial" w:eastAsia="Arial" w:hAnsi="Arial"/>
                <w:sz w:val="27"/>
                <w:szCs w:val="27"/>
                <w:color w:val="auto"/>
                <w:vertAlign w:val="superscript"/>
              </w:rPr>
              <w:t>(5)</w:t>
            </w:r>
          </w:p>
        </w:tc>
        <w:tc>
          <w:tcPr>
            <w:tcW w:w="10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00" w:type="dxa"/>
            <w:vAlign w:val="bottom"/>
            <w:tcBorders>
              <w:bottom w:val="single" w:sz="8" w:color="A0DBF9"/>
              <w:right w:val="single" w:sz="8" w:color="A0DBF9"/>
            </w:tcBorders>
          </w:tcPr>
          <w:p>
            <w:pPr>
              <w:spacing w:after="0"/>
              <w:rPr>
                <w:sz w:val="24"/>
                <w:szCs w:val="24"/>
                <w:color w:val="auto"/>
              </w:rPr>
            </w:pPr>
          </w:p>
        </w:tc>
        <w:tc>
          <w:tcPr>
            <w:tcW w:w="9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89"/>
              </w:rPr>
              <w:t>9,973</w:t>
            </w:r>
          </w:p>
        </w:tc>
        <w:tc>
          <w:tcPr>
            <w:tcW w:w="114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89"/>
              </w:rPr>
              <w:t>$204,546</w:t>
            </w:r>
          </w:p>
        </w:tc>
        <w:tc>
          <w:tcPr>
            <w:tcW w:w="920" w:type="dxa"/>
            <w:vAlign w:val="bottom"/>
            <w:tcBorders>
              <w:bottom w:val="single" w:sz="8" w:color="A0DBF9"/>
              <w:right w:val="single" w:sz="8" w:color="A0DBF9"/>
            </w:tcBorders>
          </w:tcPr>
          <w:p>
            <w:pPr>
              <w:spacing w:after="0"/>
              <w:rPr>
                <w:sz w:val="24"/>
                <w:szCs w:val="24"/>
                <w:color w:val="auto"/>
              </w:rPr>
            </w:pPr>
          </w:p>
        </w:tc>
        <w:tc>
          <w:tcPr>
            <w:tcW w:w="840" w:type="dxa"/>
            <w:vAlign w:val="bottom"/>
            <w:tcBorders>
              <w:bottom w:val="single" w:sz="8" w:color="A0DBF9"/>
              <w:right w:val="single" w:sz="8" w:color="A0DBF9"/>
            </w:tcBorders>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tcPr>
          <w:p>
            <w:pPr>
              <w:ind w:left="32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(8)</w:t>
            </w:r>
          </w:p>
        </w:tc>
        <w:tc>
          <w:tcPr>
            <w:tcW w:w="102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00" w:type="dxa"/>
            <w:vAlign w:val="bottom"/>
            <w:tcBorders>
              <w:bottom w:val="single" w:sz="8" w:color="A0DBF9"/>
              <w:right w:val="single" w:sz="8" w:color="A0DBF9"/>
            </w:tcBorders>
          </w:tcPr>
          <w:p>
            <w:pPr>
              <w:spacing w:after="0"/>
              <w:rPr>
                <w:sz w:val="24"/>
                <w:szCs w:val="24"/>
                <w:color w:val="auto"/>
              </w:rPr>
            </w:pPr>
          </w:p>
        </w:tc>
        <w:tc>
          <w:tcPr>
            <w:tcW w:w="90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020" w:type="dxa"/>
            <w:vAlign w:val="bottom"/>
            <w:tcBorders>
              <w:bottom w:val="single" w:sz="8" w:color="A0DBF9"/>
              <w:right w:val="single" w:sz="8" w:color="A0DBF9"/>
            </w:tcBorders>
          </w:tcPr>
          <w:p>
            <w:pPr>
              <w:spacing w:after="0"/>
              <w:rPr>
                <w:sz w:val="24"/>
                <w:szCs w:val="24"/>
                <w:color w:val="auto"/>
              </w:rPr>
            </w:pPr>
          </w:p>
        </w:tc>
        <w:tc>
          <w:tcPr>
            <w:tcW w:w="1140" w:type="dxa"/>
            <w:vAlign w:val="bottom"/>
            <w:tcBorders>
              <w:bottom w:val="single" w:sz="8" w:color="A0DBF9"/>
              <w:right w:val="single" w:sz="8" w:color="A0DBF9"/>
            </w:tcBorders>
          </w:tcPr>
          <w:p>
            <w:pPr>
              <w:spacing w:after="0"/>
              <w:rPr>
                <w:sz w:val="24"/>
                <w:szCs w:val="24"/>
                <w:color w:val="auto"/>
              </w:rPr>
            </w:pPr>
          </w:p>
        </w:tc>
        <w:tc>
          <w:tcPr>
            <w:tcW w:w="920" w:type="dxa"/>
            <w:vAlign w:val="bottom"/>
            <w:tcBorders>
              <w:bottom w:val="single" w:sz="8" w:color="A0DBF9"/>
              <w:right w:val="single" w:sz="8" w:color="A0DBF9"/>
            </w:tcBorders>
          </w:tcPr>
          <w:p>
            <w:pPr>
              <w:jc w:val="center"/>
              <w:ind w:left="7"/>
              <w:spacing w:after="0"/>
              <w:rPr>
                <w:sz w:val="20"/>
                <w:szCs w:val="20"/>
                <w:color w:val="auto"/>
              </w:rPr>
            </w:pPr>
            <w:r>
              <w:rPr>
                <w:rFonts w:ascii="Arial" w:cs="Arial" w:eastAsia="Arial" w:hAnsi="Arial"/>
                <w:sz w:val="16"/>
                <w:szCs w:val="16"/>
                <w:color w:val="auto"/>
                <w:w w:val="89"/>
              </w:rPr>
              <w:t>9,973</w:t>
            </w:r>
          </w:p>
        </w:tc>
        <w:tc>
          <w:tcPr>
            <w:tcW w:w="840" w:type="dxa"/>
            <w:vAlign w:val="bottom"/>
            <w:tcBorders>
              <w:bottom w:val="single" w:sz="8" w:color="A0DBF9"/>
              <w:right w:val="single" w:sz="8" w:color="A0DBF9"/>
            </w:tcBorders>
          </w:tcPr>
          <w:p>
            <w:pPr>
              <w:jc w:val="center"/>
              <w:spacing w:after="0"/>
              <w:rPr>
                <w:sz w:val="20"/>
                <w:szCs w:val="20"/>
                <w:color w:val="auto"/>
              </w:rPr>
            </w:pPr>
            <w:r>
              <w:rPr>
                <w:rFonts w:ascii="Arial" w:cs="Arial" w:eastAsia="Arial" w:hAnsi="Arial"/>
                <w:sz w:val="16"/>
                <w:szCs w:val="16"/>
                <w:color w:val="auto"/>
                <w:w w:val="92"/>
              </w:rPr>
              <w:t>$204,546</w:t>
            </w:r>
          </w:p>
        </w:tc>
        <w:tc>
          <w:tcPr>
            <w:tcW w:w="0" w:type="dxa"/>
            <w:vAlign w:val="bottom"/>
          </w:tcPr>
          <w:p>
            <w:pPr>
              <w:spacing w:after="0"/>
              <w:rPr>
                <w:sz w:val="1"/>
                <w:szCs w:val="1"/>
                <w:color w:val="auto"/>
              </w:rPr>
            </w:pPr>
          </w:p>
        </w:tc>
      </w:tr>
      <w:tr>
        <w:trPr>
          <w:trHeight w:val="230"/>
        </w:trPr>
        <w:tc>
          <w:tcPr>
            <w:tcW w:w="1160" w:type="dxa"/>
            <w:vAlign w:val="bottom"/>
            <w:tcBorders>
              <w:left w:val="single" w:sz="8" w:color="A0DBF9"/>
              <w:right w:val="single" w:sz="8" w:color="E2F4FC"/>
            </w:tcBorders>
            <w:shd w:val="clear" w:color="auto" w:fill="E2F4FC"/>
          </w:tcPr>
          <w:p>
            <w:pPr>
              <w:ind w:left="260"/>
              <w:spacing w:after="0"/>
              <w:rPr>
                <w:sz w:val="20"/>
                <w:szCs w:val="20"/>
                <w:color w:val="auto"/>
              </w:rPr>
            </w:pPr>
            <w:r>
              <w:rPr>
                <w:rFonts w:ascii="Arial" w:cs="Arial" w:eastAsia="Arial" w:hAnsi="Arial"/>
                <w:sz w:val="16"/>
                <w:szCs w:val="16"/>
                <w:b w:val="1"/>
                <w:bCs w:val="1"/>
                <w:color w:val="auto"/>
              </w:rPr>
              <w:t>John Bolla</w:t>
            </w:r>
          </w:p>
        </w:tc>
        <w:tc>
          <w:tcPr>
            <w:tcW w:w="1020" w:type="dxa"/>
            <w:vAlign w:val="bottom"/>
            <w:tcBorders>
              <w:right w:val="single" w:sz="8" w:color="E2F4FC"/>
            </w:tcBorders>
            <w:shd w:val="clear" w:color="auto" w:fill="E2F4FC"/>
          </w:tcPr>
          <w:p>
            <w:pPr>
              <w:spacing w:after="0"/>
              <w:rPr>
                <w:sz w:val="20"/>
                <w:szCs w:val="20"/>
                <w:color w:val="auto"/>
              </w:rPr>
            </w:pPr>
          </w:p>
        </w:tc>
        <w:tc>
          <w:tcPr>
            <w:tcW w:w="100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0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140" w:type="dxa"/>
            <w:vAlign w:val="bottom"/>
            <w:tcBorders>
              <w:right w:val="single" w:sz="8" w:color="A0DBF9"/>
            </w:tcBorders>
            <w:shd w:val="clear" w:color="auto" w:fill="E2F4FC"/>
          </w:tcPr>
          <w:p>
            <w:pPr>
              <w:spacing w:after="0"/>
              <w:rPr>
                <w:sz w:val="20"/>
                <w:szCs w:val="20"/>
                <w:color w:val="auto"/>
              </w:rPr>
            </w:pPr>
          </w:p>
        </w:tc>
        <w:tc>
          <w:tcPr>
            <w:tcW w:w="920" w:type="dxa"/>
            <w:vAlign w:val="bottom"/>
            <w:tcBorders>
              <w:right w:val="single" w:sz="8" w:color="A0DBF9"/>
            </w:tcBorders>
            <w:shd w:val="clear" w:color="auto" w:fill="E2F4FC"/>
          </w:tcPr>
          <w:p>
            <w:pPr>
              <w:spacing w:after="0"/>
              <w:rPr>
                <w:sz w:val="20"/>
                <w:szCs w:val="20"/>
                <w:color w:val="auto"/>
              </w:rPr>
            </w:pPr>
          </w:p>
        </w:tc>
        <w:tc>
          <w:tcPr>
            <w:tcW w:w="84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87"/>
        </w:trPr>
        <w:tc>
          <w:tcPr>
            <w:tcW w:w="1160" w:type="dxa"/>
            <w:vAlign w:val="bottom"/>
            <w:tcBorders>
              <w:left w:val="single" w:sz="8" w:color="A0DBF9"/>
              <w:bottom w:val="single" w:sz="8" w:color="A0DBF9"/>
              <w:right w:val="single" w:sz="8" w:color="E2F4FC"/>
            </w:tcBorders>
            <w:shd w:val="clear" w:color="auto" w:fill="E2F4FC"/>
          </w:tcPr>
          <w:p>
            <w:pPr>
              <w:spacing w:after="0"/>
              <w:rPr>
                <w:sz w:val="7"/>
                <w:szCs w:val="7"/>
                <w:color w:val="auto"/>
              </w:rPr>
            </w:pPr>
          </w:p>
        </w:tc>
        <w:tc>
          <w:tcPr>
            <w:tcW w:w="1020" w:type="dxa"/>
            <w:vAlign w:val="bottom"/>
            <w:tcBorders>
              <w:bottom w:val="single" w:sz="8" w:color="A0DBF9"/>
              <w:right w:val="single" w:sz="8" w:color="E2F4FC"/>
            </w:tcBorders>
            <w:shd w:val="clear" w:color="auto" w:fill="E2F4FC"/>
          </w:tcPr>
          <w:p>
            <w:pPr>
              <w:spacing w:after="0"/>
              <w:rPr>
                <w:sz w:val="7"/>
                <w:szCs w:val="7"/>
                <w:color w:val="auto"/>
              </w:rPr>
            </w:pPr>
          </w:p>
        </w:tc>
        <w:tc>
          <w:tcPr>
            <w:tcW w:w="100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0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140" w:type="dxa"/>
            <w:vAlign w:val="bottom"/>
            <w:tcBorders>
              <w:bottom w:val="single" w:sz="8" w:color="A0DBF9"/>
              <w:right w:val="single" w:sz="8" w:color="A0DBF9"/>
            </w:tcBorders>
            <w:shd w:val="clear" w:color="auto" w:fill="E2F4FC"/>
          </w:tcPr>
          <w:p>
            <w:pPr>
              <w:spacing w:after="0"/>
              <w:rPr>
                <w:sz w:val="7"/>
                <w:szCs w:val="7"/>
                <w:color w:val="auto"/>
              </w:rPr>
            </w:pPr>
          </w:p>
        </w:tc>
        <w:tc>
          <w:tcPr>
            <w:tcW w:w="920" w:type="dxa"/>
            <w:vAlign w:val="bottom"/>
            <w:tcBorders>
              <w:bottom w:val="single" w:sz="8" w:color="A0DBF9"/>
              <w:right w:val="single" w:sz="8" w:color="A0DBF9"/>
            </w:tcBorders>
            <w:shd w:val="clear" w:color="auto" w:fill="E2F4FC"/>
          </w:tcPr>
          <w:p>
            <w:pPr>
              <w:spacing w:after="0"/>
              <w:rPr>
                <w:sz w:val="7"/>
                <w:szCs w:val="7"/>
                <w:color w:val="auto"/>
              </w:rPr>
            </w:pPr>
          </w:p>
        </w:tc>
        <w:tc>
          <w:tcPr>
            <w:tcW w:w="84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RSAs</w:t>
            </w:r>
            <w:r>
              <w:rPr>
                <w:rFonts w:ascii="Arial" w:cs="Arial" w:eastAsia="Arial" w:hAnsi="Arial"/>
                <w:sz w:val="27"/>
                <w:szCs w:val="27"/>
                <w:color w:val="auto"/>
                <w:vertAlign w:val="superscript"/>
              </w:rPr>
              <w:t>(10)</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6/15/2018</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16,965</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$347,952</w:t>
            </w:r>
          </w:p>
        </w:tc>
        <w:tc>
          <w:tcPr>
            <w:tcW w:w="920" w:type="dxa"/>
            <w:vAlign w:val="bottom"/>
            <w:tcBorders>
              <w:bottom w:val="single" w:sz="8" w:color="A0DBF9"/>
              <w:right w:val="single" w:sz="8" w:color="A0DBF9"/>
            </w:tcBorders>
            <w:shd w:val="clear" w:color="auto" w:fill="E2F4FC"/>
          </w:tcPr>
          <w:p>
            <w:pPr>
              <w:spacing w:after="0"/>
              <w:rPr>
                <w:sz w:val="24"/>
                <w:szCs w:val="24"/>
                <w:color w:val="auto"/>
              </w:rPr>
            </w:pPr>
          </w:p>
        </w:tc>
        <w:tc>
          <w:tcPr>
            <w:tcW w:w="840" w:type="dxa"/>
            <w:vAlign w:val="bottom"/>
            <w:tcBorders>
              <w:bottom w:val="single" w:sz="8" w:color="A0DBF9"/>
              <w:right w:val="single" w:sz="8" w:color="A0DBF9"/>
            </w:tcBorders>
            <w:shd w:val="clear" w:color="auto" w:fill="E2F4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RSUs</w:t>
            </w:r>
            <w:r>
              <w:rPr>
                <w:rFonts w:ascii="Arial" w:cs="Arial" w:eastAsia="Arial" w:hAnsi="Arial"/>
                <w:sz w:val="27"/>
                <w:szCs w:val="27"/>
                <w:color w:val="auto"/>
                <w:vertAlign w:val="superscript"/>
              </w:rPr>
              <w:t>(5)</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8,077</w:t>
            </w:r>
          </w:p>
        </w:tc>
        <w:tc>
          <w:tcPr>
            <w:tcW w:w="11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89"/>
              </w:rPr>
              <w:t>$165,659</w:t>
            </w:r>
          </w:p>
        </w:tc>
        <w:tc>
          <w:tcPr>
            <w:tcW w:w="920" w:type="dxa"/>
            <w:vAlign w:val="bottom"/>
            <w:tcBorders>
              <w:bottom w:val="single" w:sz="8" w:color="A0DBF9"/>
              <w:right w:val="single" w:sz="8" w:color="A0DBF9"/>
            </w:tcBorders>
            <w:shd w:val="clear" w:color="auto" w:fill="E2F4FC"/>
          </w:tcPr>
          <w:p>
            <w:pPr>
              <w:spacing w:after="0"/>
              <w:rPr>
                <w:sz w:val="24"/>
                <w:szCs w:val="24"/>
                <w:color w:val="auto"/>
              </w:rPr>
            </w:pPr>
          </w:p>
        </w:tc>
        <w:tc>
          <w:tcPr>
            <w:tcW w:w="840" w:type="dxa"/>
            <w:vAlign w:val="bottom"/>
            <w:tcBorders>
              <w:bottom w:val="single" w:sz="8" w:color="A0DBF9"/>
              <w:right w:val="single" w:sz="8" w:color="A0DBF9"/>
            </w:tcBorders>
            <w:shd w:val="clear" w:color="auto" w:fill="E2F4FC"/>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1160" w:type="dxa"/>
            <w:vAlign w:val="bottom"/>
            <w:tcBorders>
              <w:left w:val="single" w:sz="8" w:color="A0DBF9"/>
              <w:bottom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6"/>
                <w:szCs w:val="16"/>
                <w:color w:val="auto"/>
              </w:rPr>
              <w:t>PSUs</w:t>
            </w:r>
            <w:r>
              <w:rPr>
                <w:rFonts w:ascii="Arial" w:cs="Arial" w:eastAsia="Arial" w:hAnsi="Arial"/>
                <w:sz w:val="27"/>
                <w:szCs w:val="27"/>
                <w:color w:val="auto"/>
                <w:vertAlign w:val="superscript"/>
              </w:rPr>
              <w:t>(8)</w:t>
            </w:r>
          </w:p>
        </w:tc>
        <w:tc>
          <w:tcPr>
            <w:tcW w:w="102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2/26/2019</w:t>
            </w: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00" w:type="dxa"/>
            <w:vAlign w:val="bottom"/>
            <w:tcBorders>
              <w:bottom w:val="single" w:sz="8" w:color="A0DBF9"/>
              <w:right w:val="single" w:sz="8" w:color="A0DBF9"/>
            </w:tcBorders>
            <w:shd w:val="clear" w:color="auto" w:fill="E2F4FC"/>
          </w:tcPr>
          <w:p>
            <w:pPr>
              <w:spacing w:after="0"/>
              <w:rPr>
                <w:sz w:val="24"/>
                <w:szCs w:val="24"/>
                <w:color w:val="auto"/>
              </w:rPr>
            </w:pPr>
          </w:p>
        </w:tc>
        <w:tc>
          <w:tcPr>
            <w:tcW w:w="90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020" w:type="dxa"/>
            <w:vAlign w:val="bottom"/>
            <w:tcBorders>
              <w:bottom w:val="single" w:sz="8" w:color="A0DBF9"/>
              <w:right w:val="single" w:sz="8" w:color="A0DBF9"/>
            </w:tcBorders>
            <w:shd w:val="clear" w:color="auto" w:fill="E2F4FC"/>
          </w:tcPr>
          <w:p>
            <w:pPr>
              <w:spacing w:after="0"/>
              <w:rPr>
                <w:sz w:val="24"/>
                <w:szCs w:val="24"/>
                <w:color w:val="auto"/>
              </w:rPr>
            </w:pPr>
          </w:p>
        </w:tc>
        <w:tc>
          <w:tcPr>
            <w:tcW w:w="1140" w:type="dxa"/>
            <w:vAlign w:val="bottom"/>
            <w:tcBorders>
              <w:bottom w:val="single" w:sz="8" w:color="A0DBF9"/>
              <w:right w:val="single" w:sz="8" w:color="A0DBF9"/>
            </w:tcBorders>
            <w:shd w:val="clear" w:color="auto" w:fill="E2F4FC"/>
          </w:tcPr>
          <w:p>
            <w:pPr>
              <w:spacing w:after="0"/>
              <w:rPr>
                <w:sz w:val="24"/>
                <w:szCs w:val="24"/>
                <w:color w:val="auto"/>
              </w:rPr>
            </w:pPr>
          </w:p>
        </w:tc>
        <w:tc>
          <w:tcPr>
            <w:tcW w:w="920" w:type="dxa"/>
            <w:vAlign w:val="bottom"/>
            <w:tcBorders>
              <w:bottom w:val="single" w:sz="8" w:color="A0DBF9"/>
              <w:right w:val="single" w:sz="8" w:color="A0DBF9"/>
            </w:tcBorders>
            <w:shd w:val="clear" w:color="auto" w:fill="E2F4FC"/>
          </w:tcPr>
          <w:p>
            <w:pPr>
              <w:jc w:val="center"/>
              <w:ind w:left="7"/>
              <w:spacing w:after="0"/>
              <w:rPr>
                <w:sz w:val="20"/>
                <w:szCs w:val="20"/>
                <w:color w:val="auto"/>
              </w:rPr>
            </w:pPr>
            <w:r>
              <w:rPr>
                <w:rFonts w:ascii="Arial" w:cs="Arial" w:eastAsia="Arial" w:hAnsi="Arial"/>
                <w:sz w:val="16"/>
                <w:szCs w:val="16"/>
                <w:color w:val="auto"/>
                <w:w w:val="89"/>
              </w:rPr>
              <w:t>8,077</w:t>
            </w:r>
          </w:p>
        </w:tc>
        <w:tc>
          <w:tcPr>
            <w:tcW w:w="840" w:type="dxa"/>
            <w:vAlign w:val="bottom"/>
            <w:tcBorders>
              <w:bottom w:val="single" w:sz="8" w:color="A0DBF9"/>
              <w:right w:val="single" w:sz="8" w:color="A0DBF9"/>
            </w:tcBorders>
            <w:shd w:val="clear" w:color="auto" w:fill="E2F4FC"/>
          </w:tcPr>
          <w:p>
            <w:pPr>
              <w:jc w:val="center"/>
              <w:spacing w:after="0"/>
              <w:rPr>
                <w:sz w:val="20"/>
                <w:szCs w:val="20"/>
                <w:color w:val="auto"/>
              </w:rPr>
            </w:pPr>
            <w:r>
              <w:rPr>
                <w:rFonts w:ascii="Arial" w:cs="Arial" w:eastAsia="Arial" w:hAnsi="Arial"/>
                <w:sz w:val="16"/>
                <w:szCs w:val="16"/>
                <w:color w:val="auto"/>
                <w:w w:val="92"/>
              </w:rPr>
              <w:t>$165,659</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140"/>
          </w:cols>
          <w:pgMar w:left="320" w:top="459" w:right="43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0" w:type="dxa"/>
        <w:tblCellMar>
          <w:top w:w="0" w:type="dxa"/>
          <w:left w:w="0" w:type="dxa"/>
          <w:bottom w:w="0" w:type="dxa"/>
          <w:right w:w="0" w:type="dxa"/>
        </w:tblCellMar>
      </w:tblPr>
      <w:tr>
        <w:trPr>
          <w:trHeight w:val="54"/>
        </w:trPr>
        <w:tc>
          <w:tcPr>
            <w:tcW w:w="1160" w:type="dxa"/>
            <w:vAlign w:val="bottom"/>
            <w:tcBorders>
              <w:left w:val="single" w:sz="8" w:color="5EB5FC"/>
              <w:right w:val="single" w:sz="8" w:color="5EB5FC"/>
            </w:tcBorders>
            <w:shd w:val="clear" w:color="auto" w:fill="5EB5FC"/>
          </w:tcPr>
          <w:p>
            <w:pPr>
              <w:spacing w:after="0"/>
              <w:rPr>
                <w:sz w:val="4"/>
                <w:szCs w:val="4"/>
                <w:color w:val="auto"/>
              </w:rPr>
            </w:pPr>
          </w:p>
        </w:tc>
        <w:tc>
          <w:tcPr>
            <w:tcW w:w="112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40" w:type="dxa"/>
            <w:vAlign w:val="bottom"/>
            <w:tcBorders>
              <w:right w:val="single" w:sz="8" w:color="5EB5FC"/>
            </w:tcBorders>
            <w:shd w:val="clear" w:color="auto" w:fill="5EB5FC"/>
          </w:tcPr>
          <w:p>
            <w:pPr>
              <w:spacing w:after="0"/>
              <w:rPr>
                <w:sz w:val="4"/>
                <w:szCs w:val="4"/>
                <w:color w:val="auto"/>
              </w:rPr>
            </w:pPr>
          </w:p>
        </w:tc>
        <w:tc>
          <w:tcPr>
            <w:tcW w:w="900" w:type="dxa"/>
            <w:vAlign w:val="bottom"/>
            <w:tcBorders>
              <w:right w:val="single" w:sz="8" w:color="5EB5FC"/>
            </w:tcBorders>
            <w:shd w:val="clear" w:color="auto" w:fill="5EB5FC"/>
          </w:tcPr>
          <w:p>
            <w:pPr>
              <w:spacing w:after="0"/>
              <w:rPr>
                <w:sz w:val="4"/>
                <w:szCs w:val="4"/>
                <w:color w:val="auto"/>
              </w:rPr>
            </w:pPr>
          </w:p>
        </w:tc>
        <w:tc>
          <w:tcPr>
            <w:tcW w:w="96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1020" w:type="dxa"/>
            <w:vAlign w:val="bottom"/>
            <w:tcBorders>
              <w:right w:val="single" w:sz="8" w:color="5EB5FC"/>
            </w:tcBorders>
            <w:shd w:val="clear" w:color="auto" w:fill="5EB5FC"/>
          </w:tcPr>
          <w:p>
            <w:pPr>
              <w:spacing w:after="0"/>
              <w:rPr>
                <w:sz w:val="4"/>
                <w:szCs w:val="4"/>
                <w:color w:val="auto"/>
              </w:rPr>
            </w:pPr>
          </w:p>
        </w:tc>
        <w:tc>
          <w:tcPr>
            <w:tcW w:w="760" w:type="dxa"/>
            <w:vAlign w:val="bottom"/>
            <w:tcBorders>
              <w:right w:val="single" w:sz="8" w:color="5EB5FC"/>
            </w:tcBorders>
            <w:shd w:val="clear" w:color="auto" w:fill="5EB5FC"/>
          </w:tcPr>
          <w:p>
            <w:pPr>
              <w:spacing w:after="0"/>
              <w:rPr>
                <w:sz w:val="4"/>
                <w:szCs w:val="4"/>
                <w:color w:val="auto"/>
              </w:rPr>
            </w:pPr>
          </w:p>
        </w:tc>
        <w:tc>
          <w:tcPr>
            <w:tcW w:w="0" w:type="dxa"/>
            <w:vAlign w:val="bottom"/>
          </w:tcPr>
          <w:p>
            <w:pPr>
              <w:spacing w:after="0"/>
              <w:rPr>
                <w:sz w:val="1"/>
                <w:szCs w:val="1"/>
                <w:color w:val="auto"/>
              </w:rPr>
            </w:pPr>
          </w:p>
        </w:tc>
      </w:tr>
      <w:tr>
        <w:trPr>
          <w:trHeight w:val="136"/>
        </w:trPr>
        <w:tc>
          <w:tcPr>
            <w:tcW w:w="1160" w:type="dxa"/>
            <w:vAlign w:val="bottom"/>
            <w:tcBorders>
              <w:left w:val="single" w:sz="8" w:color="5EB5FC"/>
              <w:right w:val="single" w:sz="8" w:color="5EB5FC"/>
            </w:tcBorders>
            <w:shd w:val="clear" w:color="auto" w:fill="5EB5FC"/>
          </w:tcPr>
          <w:p>
            <w:pPr>
              <w:spacing w:after="0"/>
              <w:rPr>
                <w:sz w:val="11"/>
                <w:szCs w:val="11"/>
                <w:color w:val="auto"/>
              </w:rPr>
            </w:pPr>
          </w:p>
        </w:tc>
        <w:tc>
          <w:tcPr>
            <w:tcW w:w="11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40" w:type="dxa"/>
            <w:vAlign w:val="bottom"/>
            <w:tcBorders>
              <w:right w:val="single" w:sz="8" w:color="5EB5FC"/>
            </w:tcBorders>
            <w:shd w:val="clear" w:color="auto" w:fill="5EB5FC"/>
          </w:tcPr>
          <w:p>
            <w:pPr>
              <w:spacing w:after="0"/>
              <w:rPr>
                <w:sz w:val="11"/>
                <w:szCs w:val="11"/>
                <w:color w:val="auto"/>
              </w:rPr>
            </w:pPr>
          </w:p>
        </w:tc>
        <w:tc>
          <w:tcPr>
            <w:tcW w:w="900" w:type="dxa"/>
            <w:vAlign w:val="bottom"/>
            <w:tcBorders>
              <w:right w:val="single" w:sz="8" w:color="5EB5FC"/>
            </w:tcBorders>
            <w:shd w:val="clear" w:color="auto" w:fill="5EB5FC"/>
          </w:tcPr>
          <w:p>
            <w:pPr>
              <w:spacing w:after="0"/>
              <w:rPr>
                <w:sz w:val="11"/>
                <w:szCs w:val="11"/>
                <w:color w:val="auto"/>
              </w:rPr>
            </w:pPr>
          </w:p>
        </w:tc>
        <w:tc>
          <w:tcPr>
            <w:tcW w:w="96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760" w:type="dxa"/>
            <w:vAlign w:val="bottom"/>
            <w:tcBorders>
              <w:right w:val="single" w:sz="8" w:color="5EB5FC"/>
            </w:tcBorders>
            <w:shd w:val="clear" w:color="auto" w:fill="5EB5FC"/>
          </w:tcPr>
          <w:p>
            <w:pPr>
              <w:jc w:val="center"/>
              <w:spacing w:after="0" w:line="136" w:lineRule="exact"/>
              <w:rPr>
                <w:sz w:val="20"/>
                <w:szCs w:val="20"/>
                <w:color w:val="auto"/>
              </w:rPr>
            </w:pPr>
            <w:r>
              <w:rPr>
                <w:rFonts w:ascii="Arial" w:cs="Arial" w:eastAsia="Arial" w:hAnsi="Arial"/>
                <w:sz w:val="13"/>
                <w:szCs w:val="13"/>
                <w:b w:val="1"/>
                <w:bCs w:val="1"/>
                <w:color w:val="FFFFFF"/>
                <w:w w:val="95"/>
              </w:rPr>
              <w:t>Equity</w:t>
            </w:r>
          </w:p>
        </w:tc>
        <w:tc>
          <w:tcPr>
            <w:tcW w:w="0" w:type="dxa"/>
            <w:vAlign w:val="bottom"/>
          </w:tcPr>
          <w:p>
            <w:pPr>
              <w:spacing w:after="0"/>
              <w:rPr>
                <w:sz w:val="1"/>
                <w:szCs w:val="1"/>
                <w:color w:val="auto"/>
              </w:rPr>
            </w:pPr>
          </w:p>
        </w:tc>
      </w:tr>
      <w:tr>
        <w:trPr>
          <w:trHeight w:val="149"/>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spacing w:after="0"/>
              <w:rPr>
                <w:sz w:val="12"/>
                <w:szCs w:val="12"/>
                <w:color w:val="auto"/>
              </w:rPr>
            </w:pP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Incentive</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spacing w:after="0"/>
              <w:rPr>
                <w:sz w:val="12"/>
                <w:szCs w:val="12"/>
                <w:color w:val="auto"/>
              </w:rPr>
            </w:pP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rPr>
              <w:t>Equity</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Plan</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vMerge w:val="restart"/>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rPr>
              <w:t>Equity</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95"/>
              </w:rPr>
              <w:t>Incentive</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Awards:</w:t>
            </w:r>
          </w:p>
        </w:tc>
        <w:tc>
          <w:tcPr>
            <w:tcW w:w="0" w:type="dxa"/>
            <w:vAlign w:val="bottom"/>
          </w:tcPr>
          <w:p>
            <w:pPr>
              <w:spacing w:after="0"/>
              <w:rPr>
                <w:sz w:val="1"/>
                <w:szCs w:val="1"/>
                <w:color w:val="auto"/>
              </w:rPr>
            </w:pPr>
          </w:p>
        </w:tc>
      </w:tr>
      <w:tr>
        <w:trPr>
          <w:trHeight w:val="135"/>
        </w:trPr>
        <w:tc>
          <w:tcPr>
            <w:tcW w:w="1160" w:type="dxa"/>
            <w:vAlign w:val="bottom"/>
            <w:tcBorders>
              <w:left w:val="single" w:sz="8" w:color="5EB5FC"/>
              <w:right w:val="single" w:sz="8" w:color="5EB5FC"/>
            </w:tcBorders>
            <w:shd w:val="clear" w:color="auto" w:fill="5EB5FC"/>
          </w:tcPr>
          <w:p>
            <w:pPr>
              <w:spacing w:after="0"/>
              <w:rPr>
                <w:sz w:val="11"/>
                <w:szCs w:val="11"/>
                <w:color w:val="auto"/>
              </w:rPr>
            </w:pPr>
          </w:p>
        </w:tc>
        <w:tc>
          <w:tcPr>
            <w:tcW w:w="11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40" w:type="dxa"/>
            <w:vAlign w:val="bottom"/>
            <w:tcBorders>
              <w:right w:val="single" w:sz="8" w:color="5EB5FC"/>
            </w:tcBorders>
            <w:vMerge w:val="continue"/>
            <w:shd w:val="clear" w:color="auto" w:fill="5EB5FC"/>
          </w:tcPr>
          <w:p>
            <w:pPr>
              <w:spacing w:after="0"/>
              <w:rPr>
                <w:sz w:val="11"/>
                <w:szCs w:val="11"/>
                <w:color w:val="auto"/>
              </w:rPr>
            </w:pPr>
          </w:p>
        </w:tc>
        <w:tc>
          <w:tcPr>
            <w:tcW w:w="900" w:type="dxa"/>
            <w:vAlign w:val="bottom"/>
            <w:tcBorders>
              <w:right w:val="single" w:sz="8" w:color="5EB5FC"/>
            </w:tcBorders>
            <w:shd w:val="clear" w:color="auto" w:fill="5EB5FC"/>
          </w:tcPr>
          <w:p>
            <w:pPr>
              <w:spacing w:after="0"/>
              <w:rPr>
                <w:sz w:val="11"/>
                <w:szCs w:val="11"/>
                <w:color w:val="auto"/>
              </w:rPr>
            </w:pPr>
          </w:p>
        </w:tc>
        <w:tc>
          <w:tcPr>
            <w:tcW w:w="96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spacing w:after="0"/>
              <w:rPr>
                <w:sz w:val="11"/>
                <w:szCs w:val="11"/>
                <w:color w:val="auto"/>
              </w:rPr>
            </w:pPr>
          </w:p>
        </w:tc>
        <w:tc>
          <w:tcPr>
            <w:tcW w:w="1020" w:type="dxa"/>
            <w:vAlign w:val="bottom"/>
            <w:tcBorders>
              <w:right w:val="single" w:sz="8" w:color="5EB5FC"/>
            </w:tcBorders>
            <w:shd w:val="clear" w:color="auto" w:fill="5EB5FC"/>
          </w:tcPr>
          <w:p>
            <w:pPr>
              <w:jc w:val="center"/>
              <w:ind w:left="16"/>
              <w:spacing w:after="0" w:line="135" w:lineRule="exact"/>
              <w:rPr>
                <w:sz w:val="20"/>
                <w:szCs w:val="20"/>
                <w:color w:val="auto"/>
              </w:rPr>
            </w:pPr>
            <w:r>
              <w:rPr>
                <w:rFonts w:ascii="Arial" w:cs="Arial" w:eastAsia="Arial" w:hAnsi="Arial"/>
                <w:sz w:val="13"/>
                <w:szCs w:val="13"/>
                <w:b w:val="1"/>
                <w:bCs w:val="1"/>
                <w:color w:val="FFFFFF"/>
                <w:w w:val="94"/>
              </w:rPr>
              <w:t>Plan</w:t>
            </w:r>
          </w:p>
        </w:tc>
        <w:tc>
          <w:tcPr>
            <w:tcW w:w="760" w:type="dxa"/>
            <w:vAlign w:val="bottom"/>
            <w:tcBorders>
              <w:right w:val="single" w:sz="8" w:color="5EB5FC"/>
            </w:tcBorders>
            <w:shd w:val="clear" w:color="auto" w:fill="5EB5FC"/>
          </w:tcPr>
          <w:p>
            <w:pPr>
              <w:jc w:val="center"/>
              <w:spacing w:after="0" w:line="135" w:lineRule="exact"/>
              <w:rPr>
                <w:sz w:val="20"/>
                <w:szCs w:val="20"/>
                <w:color w:val="auto"/>
              </w:rPr>
            </w:pPr>
            <w:r>
              <w:rPr>
                <w:rFonts w:ascii="Arial" w:cs="Arial" w:eastAsia="Arial" w:hAnsi="Arial"/>
                <w:sz w:val="13"/>
                <w:szCs w:val="13"/>
                <w:b w:val="1"/>
                <w:bCs w:val="1"/>
                <w:color w:val="FFFFFF"/>
                <w:w w:val="99"/>
              </w:rPr>
              <w:t>Market or</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w w:val="92"/>
              </w:rPr>
              <w:t>Incentive</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Awards:</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6"/>
              </w:rPr>
              <w:t>Payout</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Plan</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95"/>
              </w:rPr>
              <w:t>Number of</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0"/>
              </w:rPr>
              <w:t>Value of</w:t>
            </w:r>
          </w:p>
        </w:tc>
        <w:tc>
          <w:tcPr>
            <w:tcW w:w="0" w:type="dxa"/>
            <w:vAlign w:val="bottom"/>
          </w:tcPr>
          <w:p>
            <w:pPr>
              <w:spacing w:after="0"/>
              <w:rPr>
                <w:sz w:val="1"/>
                <w:szCs w:val="1"/>
                <w:color w:val="auto"/>
              </w:rPr>
            </w:pPr>
          </w:p>
        </w:tc>
      </w:tr>
      <w:tr>
        <w:trPr>
          <w:trHeight w:val="149"/>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22"/>
              <w:spacing w:after="0"/>
              <w:rPr>
                <w:sz w:val="20"/>
                <w:szCs w:val="20"/>
                <w:color w:val="auto"/>
              </w:rPr>
            </w:pPr>
            <w:r>
              <w:rPr>
                <w:rFonts w:ascii="Arial" w:cs="Arial" w:eastAsia="Arial" w:hAnsi="Arial"/>
                <w:sz w:val="13"/>
                <w:szCs w:val="13"/>
                <w:b w:val="1"/>
                <w:bCs w:val="1"/>
                <w:color w:val="FFFFFF"/>
                <w:w w:val="95"/>
              </w:rPr>
              <w:t>Number of</w:t>
            </w:r>
          </w:p>
        </w:tc>
        <w:tc>
          <w:tcPr>
            <w:tcW w:w="1040" w:type="dxa"/>
            <w:vAlign w:val="bottom"/>
            <w:tcBorders>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w w:val="93"/>
              </w:rPr>
              <w:t>Awards:</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w w:val="98"/>
              </w:rPr>
              <w:t>Number of</w:t>
            </w:r>
          </w:p>
        </w:tc>
        <w:tc>
          <w:tcPr>
            <w:tcW w:w="10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Unearned</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6"/>
              </w:rPr>
              <w:t>Unearned</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3"/>
              <w:spacing w:after="0"/>
              <w:rPr>
                <w:sz w:val="20"/>
                <w:szCs w:val="20"/>
                <w:color w:val="auto"/>
              </w:rPr>
            </w:pPr>
            <w:r>
              <w:rPr>
                <w:rFonts w:ascii="Arial" w:cs="Arial" w:eastAsia="Arial" w:hAnsi="Arial"/>
                <w:sz w:val="13"/>
                <w:szCs w:val="13"/>
                <w:b w:val="1"/>
                <w:bCs w:val="1"/>
                <w:color w:val="FFFFFF"/>
                <w:w w:val="98"/>
              </w:rPr>
              <w:t>Number of</w:t>
            </w:r>
          </w:p>
        </w:tc>
        <w:tc>
          <w:tcPr>
            <w:tcW w:w="1020" w:type="dxa"/>
            <w:vAlign w:val="bottom"/>
            <w:tcBorders>
              <w:right w:val="single" w:sz="8" w:color="5EB5FC"/>
            </w:tcBorders>
            <w:shd w:val="clear" w:color="auto" w:fill="5EB5FC"/>
          </w:tcPr>
          <w:p>
            <w:pPr>
              <w:jc w:val="center"/>
              <w:ind w:left="2"/>
              <w:spacing w:after="0"/>
              <w:rPr>
                <w:sz w:val="20"/>
                <w:szCs w:val="20"/>
                <w:color w:val="auto"/>
              </w:rPr>
            </w:pPr>
            <w:r>
              <w:rPr>
                <w:rFonts w:ascii="Arial" w:cs="Arial" w:eastAsia="Arial" w:hAnsi="Arial"/>
                <w:sz w:val="13"/>
                <w:szCs w:val="13"/>
                <w:b w:val="1"/>
                <w:bCs w:val="1"/>
                <w:color w:val="FFFFFF"/>
                <w:w w:val="90"/>
              </w:rPr>
              <w:t>Securities</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Number of</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w w:val="93"/>
              </w:rPr>
              <w:t>Shares or</w:t>
            </w:r>
          </w:p>
        </w:tc>
        <w:tc>
          <w:tcPr>
            <w:tcW w:w="1020" w:type="dxa"/>
            <w:vAlign w:val="bottom"/>
            <w:tcBorders>
              <w:right w:val="single" w:sz="8" w:color="5EB5FC"/>
            </w:tcBorders>
            <w:shd w:val="clear" w:color="auto" w:fill="5EB5FC"/>
          </w:tcPr>
          <w:p>
            <w:pPr>
              <w:jc w:val="center"/>
              <w:ind w:left="18"/>
              <w:spacing w:after="0"/>
              <w:rPr>
                <w:sz w:val="20"/>
                <w:szCs w:val="20"/>
                <w:color w:val="auto"/>
              </w:rPr>
            </w:pPr>
            <w:r>
              <w:rPr>
                <w:rFonts w:ascii="Arial" w:cs="Arial" w:eastAsia="Arial" w:hAnsi="Arial"/>
                <w:sz w:val="13"/>
                <w:szCs w:val="13"/>
                <w:b w:val="1"/>
                <w:bCs w:val="1"/>
                <w:color w:val="FFFFFF"/>
              </w:rPr>
              <w:t>Market</w:t>
            </w: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89"/>
              </w:rPr>
              <w:t>Shares,</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Shares,</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3"/>
              <w:spacing w:after="0"/>
              <w:rPr>
                <w:sz w:val="20"/>
                <w:szCs w:val="20"/>
                <w:color w:val="auto"/>
              </w:rPr>
            </w:pPr>
            <w:r>
              <w:rPr>
                <w:rFonts w:ascii="Arial" w:cs="Arial" w:eastAsia="Arial" w:hAnsi="Arial"/>
                <w:sz w:val="13"/>
                <w:szCs w:val="13"/>
                <w:b w:val="1"/>
                <w:bCs w:val="1"/>
                <w:color w:val="FFFFFF"/>
                <w:w w:val="90"/>
              </w:rPr>
              <w:t>Securities</w:t>
            </w:r>
          </w:p>
        </w:tc>
        <w:tc>
          <w:tcPr>
            <w:tcW w:w="1020" w:type="dxa"/>
            <w:vAlign w:val="bottom"/>
            <w:tcBorders>
              <w:right w:val="single" w:sz="8" w:color="5EB5FC"/>
            </w:tcBorders>
            <w:shd w:val="clear" w:color="auto" w:fill="5EB5FC"/>
          </w:tcPr>
          <w:p>
            <w:pPr>
              <w:jc w:val="center"/>
              <w:ind w:left="2"/>
              <w:spacing w:after="0"/>
              <w:rPr>
                <w:sz w:val="20"/>
                <w:szCs w:val="20"/>
                <w:color w:val="auto"/>
              </w:rPr>
            </w:pPr>
            <w:r>
              <w:rPr>
                <w:rFonts w:ascii="Arial" w:cs="Arial" w:eastAsia="Arial" w:hAnsi="Arial"/>
                <w:sz w:val="13"/>
                <w:szCs w:val="13"/>
                <w:b w:val="1"/>
                <w:bCs w:val="1"/>
                <w:color w:val="FFFFFF"/>
                <w:w w:val="94"/>
              </w:rPr>
              <w:t>Underlying</w:t>
            </w:r>
          </w:p>
        </w:tc>
        <w:tc>
          <w:tcPr>
            <w:tcW w:w="1040" w:type="dxa"/>
            <w:vAlign w:val="bottom"/>
            <w:tcBorders>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w w:val="92"/>
              </w:rPr>
              <w:t>Securities of</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w w:val="90"/>
              </w:rPr>
              <w:t>Units of</w:t>
            </w:r>
          </w:p>
        </w:tc>
        <w:tc>
          <w:tcPr>
            <w:tcW w:w="1020" w:type="dxa"/>
            <w:vAlign w:val="bottom"/>
            <w:tcBorders>
              <w:right w:val="single" w:sz="8" w:color="5EB5FC"/>
            </w:tcBorders>
            <w:shd w:val="clear" w:color="auto" w:fill="5EB5FC"/>
          </w:tcPr>
          <w:p>
            <w:pPr>
              <w:jc w:val="center"/>
              <w:ind w:left="18"/>
              <w:spacing w:after="0"/>
              <w:rPr>
                <w:sz w:val="20"/>
                <w:szCs w:val="20"/>
                <w:color w:val="auto"/>
              </w:rPr>
            </w:pPr>
            <w:r>
              <w:rPr>
                <w:rFonts w:ascii="Arial" w:cs="Arial" w:eastAsia="Arial" w:hAnsi="Arial"/>
                <w:sz w:val="13"/>
                <w:szCs w:val="13"/>
                <w:b w:val="1"/>
                <w:bCs w:val="1"/>
                <w:color w:val="FFFFFF"/>
                <w:w w:val="94"/>
              </w:rPr>
              <w:t>Value of</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Units or</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Units or</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3"/>
              <w:spacing w:after="0"/>
              <w:rPr>
                <w:sz w:val="20"/>
                <w:szCs w:val="20"/>
                <w:color w:val="auto"/>
              </w:rPr>
            </w:pPr>
            <w:r>
              <w:rPr>
                <w:rFonts w:ascii="Arial" w:cs="Arial" w:eastAsia="Arial" w:hAnsi="Arial"/>
                <w:sz w:val="13"/>
                <w:szCs w:val="13"/>
                <w:b w:val="1"/>
                <w:bCs w:val="1"/>
                <w:color w:val="FFFFFF"/>
                <w:w w:val="94"/>
              </w:rPr>
              <w:t>Underlying</w:t>
            </w:r>
          </w:p>
        </w:tc>
        <w:tc>
          <w:tcPr>
            <w:tcW w:w="1020" w:type="dxa"/>
            <w:vAlign w:val="bottom"/>
            <w:tcBorders>
              <w:right w:val="single" w:sz="8" w:color="5EB5FC"/>
            </w:tcBorders>
            <w:shd w:val="clear" w:color="auto" w:fill="5EB5FC"/>
          </w:tcPr>
          <w:p>
            <w:pPr>
              <w:jc w:val="center"/>
              <w:ind w:left="22"/>
              <w:spacing w:after="0"/>
              <w:rPr>
                <w:sz w:val="20"/>
                <w:szCs w:val="20"/>
                <w:color w:val="auto"/>
              </w:rPr>
            </w:pPr>
            <w:r>
              <w:rPr>
                <w:rFonts w:ascii="Arial" w:cs="Arial" w:eastAsia="Arial" w:hAnsi="Arial"/>
                <w:sz w:val="13"/>
                <w:szCs w:val="13"/>
                <w:b w:val="1"/>
                <w:bCs w:val="1"/>
                <w:color w:val="FFFFFF"/>
                <w:w w:val="90"/>
              </w:rPr>
              <w:t>Unexercised</w:t>
            </w:r>
          </w:p>
        </w:tc>
        <w:tc>
          <w:tcPr>
            <w:tcW w:w="1040" w:type="dxa"/>
            <w:vAlign w:val="bottom"/>
            <w:tcBorders>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w w:val="94"/>
              </w:rPr>
              <w:t>Underlying</w:t>
            </w:r>
          </w:p>
        </w:tc>
        <w:tc>
          <w:tcPr>
            <w:tcW w:w="900" w:type="dxa"/>
            <w:vAlign w:val="bottom"/>
            <w:tcBorders>
              <w:right w:val="single" w:sz="8" w:color="5EB5FC"/>
            </w:tcBorders>
            <w:shd w:val="clear" w:color="auto" w:fill="5EB5FC"/>
          </w:tcPr>
          <w:p>
            <w:pPr>
              <w:spacing w:after="0"/>
              <w:rPr>
                <w:sz w:val="12"/>
                <w:szCs w:val="12"/>
                <w:color w:val="auto"/>
              </w:rPr>
            </w:pP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w w:val="95"/>
              </w:rPr>
              <w:t>Stock that</w:t>
            </w:r>
          </w:p>
        </w:tc>
        <w:tc>
          <w:tcPr>
            <w:tcW w:w="1020" w:type="dxa"/>
            <w:vAlign w:val="bottom"/>
            <w:tcBorders>
              <w:right w:val="single" w:sz="8" w:color="5EB5FC"/>
            </w:tcBorders>
            <w:shd w:val="clear" w:color="auto" w:fill="5EB5FC"/>
          </w:tcPr>
          <w:p>
            <w:pPr>
              <w:jc w:val="center"/>
              <w:ind w:left="38"/>
              <w:spacing w:after="0"/>
              <w:rPr>
                <w:sz w:val="20"/>
                <w:szCs w:val="20"/>
                <w:color w:val="auto"/>
              </w:rPr>
            </w:pPr>
            <w:r>
              <w:rPr>
                <w:rFonts w:ascii="Arial" w:cs="Arial" w:eastAsia="Arial" w:hAnsi="Arial"/>
                <w:sz w:val="13"/>
                <w:szCs w:val="13"/>
                <w:b w:val="1"/>
                <w:bCs w:val="1"/>
                <w:color w:val="FFFFFF"/>
                <w:w w:val="89"/>
              </w:rPr>
              <w:t>Shares or</w:t>
            </w: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97"/>
              </w:rPr>
              <w:t>Other</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Other</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0"/>
              </w:rPr>
              <w:t>Unexercised</w:t>
            </w:r>
          </w:p>
        </w:tc>
        <w:tc>
          <w:tcPr>
            <w:tcW w:w="1020" w:type="dxa"/>
            <w:vAlign w:val="bottom"/>
            <w:tcBorders>
              <w:right w:val="single" w:sz="8" w:color="5EB5FC"/>
            </w:tcBorders>
            <w:shd w:val="clear" w:color="auto" w:fill="5EB5FC"/>
          </w:tcPr>
          <w:p>
            <w:pPr>
              <w:jc w:val="center"/>
              <w:ind w:left="22"/>
              <w:spacing w:after="0"/>
              <w:rPr>
                <w:sz w:val="20"/>
                <w:szCs w:val="20"/>
                <w:color w:val="auto"/>
              </w:rPr>
            </w:pPr>
            <w:r>
              <w:rPr>
                <w:rFonts w:ascii="Arial" w:cs="Arial" w:eastAsia="Arial" w:hAnsi="Arial"/>
                <w:sz w:val="13"/>
                <w:szCs w:val="13"/>
                <w:b w:val="1"/>
                <w:bCs w:val="1"/>
                <w:color w:val="FFFFFF"/>
                <w:w w:val="93"/>
              </w:rPr>
              <w:t>Options</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0"/>
              </w:rPr>
              <w:t>Unexercised</w:t>
            </w:r>
          </w:p>
        </w:tc>
        <w:tc>
          <w:tcPr>
            <w:tcW w:w="900" w:type="dxa"/>
            <w:vAlign w:val="bottom"/>
            <w:tcBorders>
              <w:right w:val="single" w:sz="8" w:color="5EB5FC"/>
            </w:tcBorders>
            <w:shd w:val="clear" w:color="auto" w:fill="5EB5FC"/>
          </w:tcPr>
          <w:p>
            <w:pPr>
              <w:jc w:val="center"/>
              <w:ind w:left="28"/>
              <w:spacing w:after="0"/>
              <w:rPr>
                <w:sz w:val="20"/>
                <w:szCs w:val="20"/>
                <w:color w:val="auto"/>
              </w:rPr>
            </w:pPr>
            <w:r>
              <w:rPr>
                <w:rFonts w:ascii="Arial" w:cs="Arial" w:eastAsia="Arial" w:hAnsi="Arial"/>
                <w:sz w:val="13"/>
                <w:szCs w:val="13"/>
                <w:b w:val="1"/>
                <w:bCs w:val="1"/>
                <w:color w:val="FFFFFF"/>
              </w:rPr>
              <w:t>Option</w:t>
            </w:r>
          </w:p>
        </w:tc>
        <w:tc>
          <w:tcPr>
            <w:tcW w:w="96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6"/>
              </w:rPr>
              <w:t>Have</w:t>
            </w:r>
          </w:p>
        </w:tc>
        <w:tc>
          <w:tcPr>
            <w:tcW w:w="1020" w:type="dxa"/>
            <w:vAlign w:val="bottom"/>
            <w:tcBorders>
              <w:right w:val="single" w:sz="8" w:color="5EB5FC"/>
            </w:tcBorders>
            <w:shd w:val="clear" w:color="auto" w:fill="5EB5FC"/>
          </w:tcPr>
          <w:p>
            <w:pPr>
              <w:jc w:val="center"/>
              <w:ind w:left="38"/>
              <w:spacing w:after="0"/>
              <w:rPr>
                <w:sz w:val="20"/>
                <w:szCs w:val="20"/>
                <w:color w:val="auto"/>
              </w:rPr>
            </w:pPr>
            <w:r>
              <w:rPr>
                <w:rFonts w:ascii="Arial" w:cs="Arial" w:eastAsia="Arial" w:hAnsi="Arial"/>
                <w:sz w:val="13"/>
                <w:szCs w:val="13"/>
                <w:b w:val="1"/>
                <w:bCs w:val="1"/>
                <w:color w:val="FFFFFF"/>
                <w:w w:val="94"/>
              </w:rPr>
              <w:t>Units of</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4"/>
              </w:rPr>
              <w:t>Rights that</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7"/>
              </w:rPr>
              <w:t>Rights that</w:t>
            </w:r>
          </w:p>
        </w:tc>
        <w:tc>
          <w:tcPr>
            <w:tcW w:w="0" w:type="dxa"/>
            <w:vAlign w:val="bottom"/>
          </w:tcPr>
          <w:p>
            <w:pPr>
              <w:spacing w:after="0"/>
              <w:rPr>
                <w:sz w:val="1"/>
                <w:szCs w:val="1"/>
                <w:color w:val="auto"/>
              </w:rPr>
            </w:pPr>
          </w:p>
        </w:tc>
      </w:tr>
      <w:tr>
        <w:trPr>
          <w:trHeight w:val="149"/>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1020" w:type="dxa"/>
            <w:vAlign w:val="bottom"/>
            <w:tcBorders>
              <w:right w:val="single" w:sz="8" w:color="5EB5FC"/>
            </w:tcBorders>
            <w:shd w:val="clear" w:color="auto" w:fill="5EB5FC"/>
          </w:tcPr>
          <w:p>
            <w:pPr>
              <w:jc w:val="center"/>
              <w:ind w:left="2"/>
              <w:spacing w:after="0"/>
              <w:rPr>
                <w:sz w:val="20"/>
                <w:szCs w:val="20"/>
                <w:color w:val="auto"/>
              </w:rPr>
            </w:pPr>
            <w:r>
              <w:rPr>
                <w:rFonts w:ascii="Arial" w:cs="Arial" w:eastAsia="Arial" w:hAnsi="Arial"/>
                <w:sz w:val="13"/>
                <w:szCs w:val="13"/>
                <w:b w:val="1"/>
                <w:bCs w:val="1"/>
                <w:color w:val="FFFFFF"/>
              </w:rPr>
              <w:t>(#)</w:t>
            </w:r>
          </w:p>
        </w:tc>
        <w:tc>
          <w:tcPr>
            <w:tcW w:w="1040" w:type="dxa"/>
            <w:vAlign w:val="bottom"/>
            <w:tcBorders>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w w:val="93"/>
              </w:rPr>
              <w:t>Unearned</w:t>
            </w:r>
          </w:p>
        </w:tc>
        <w:tc>
          <w:tcPr>
            <w:tcW w:w="900" w:type="dxa"/>
            <w:vAlign w:val="bottom"/>
            <w:tcBorders>
              <w:right w:val="single" w:sz="8" w:color="5EB5FC"/>
            </w:tcBorders>
            <w:shd w:val="clear" w:color="auto" w:fill="5EB5FC"/>
          </w:tcPr>
          <w:p>
            <w:pPr>
              <w:jc w:val="center"/>
              <w:ind w:left="28"/>
              <w:spacing w:after="0"/>
              <w:rPr>
                <w:sz w:val="20"/>
                <w:szCs w:val="20"/>
                <w:color w:val="auto"/>
              </w:rPr>
            </w:pPr>
            <w:r>
              <w:rPr>
                <w:rFonts w:ascii="Arial" w:cs="Arial" w:eastAsia="Arial" w:hAnsi="Arial"/>
                <w:sz w:val="13"/>
                <w:szCs w:val="13"/>
                <w:b w:val="1"/>
                <w:bCs w:val="1"/>
                <w:color w:val="FFFFFF"/>
                <w:w w:val="93"/>
              </w:rPr>
              <w:t>Exercise</w:t>
            </w:r>
          </w:p>
        </w:tc>
        <w:tc>
          <w:tcPr>
            <w:tcW w:w="960" w:type="dxa"/>
            <w:vAlign w:val="bottom"/>
            <w:tcBorders>
              <w:right w:val="single" w:sz="8" w:color="5EB5FC"/>
            </w:tcBorders>
            <w:shd w:val="clear" w:color="auto" w:fill="5EB5FC"/>
          </w:tcPr>
          <w:p>
            <w:pPr>
              <w:jc w:val="center"/>
              <w:ind w:left="31"/>
              <w:spacing w:after="0"/>
              <w:rPr>
                <w:sz w:val="20"/>
                <w:szCs w:val="20"/>
                <w:color w:val="auto"/>
              </w:rPr>
            </w:pPr>
            <w:r>
              <w:rPr>
                <w:rFonts w:ascii="Arial" w:cs="Arial" w:eastAsia="Arial" w:hAnsi="Arial"/>
                <w:sz w:val="13"/>
                <w:szCs w:val="13"/>
                <w:b w:val="1"/>
                <w:bCs w:val="1"/>
                <w:color w:val="FFFFFF"/>
                <w:w w:val="95"/>
              </w:rPr>
              <w:t>Option</w:t>
            </w:r>
          </w:p>
        </w:tc>
        <w:tc>
          <w:tcPr>
            <w:tcW w:w="1020" w:type="dxa"/>
            <w:vAlign w:val="bottom"/>
            <w:tcBorders>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w w:val="92"/>
              </w:rPr>
              <w:t>Not</w:t>
            </w:r>
          </w:p>
        </w:tc>
        <w:tc>
          <w:tcPr>
            <w:tcW w:w="1020" w:type="dxa"/>
            <w:vAlign w:val="bottom"/>
            <w:tcBorders>
              <w:right w:val="single" w:sz="8" w:color="5EB5FC"/>
            </w:tcBorders>
            <w:shd w:val="clear" w:color="auto" w:fill="5EB5FC"/>
          </w:tcPr>
          <w:p>
            <w:pPr>
              <w:jc w:val="center"/>
              <w:ind w:left="38"/>
              <w:spacing w:after="0"/>
              <w:rPr>
                <w:sz w:val="20"/>
                <w:szCs w:val="20"/>
                <w:color w:val="auto"/>
              </w:rPr>
            </w:pPr>
            <w:r>
              <w:rPr>
                <w:rFonts w:ascii="Arial" w:cs="Arial" w:eastAsia="Arial" w:hAnsi="Arial"/>
                <w:sz w:val="13"/>
                <w:szCs w:val="13"/>
                <w:b w:val="1"/>
                <w:bCs w:val="1"/>
                <w:color w:val="FFFFFF"/>
                <w:w w:val="92"/>
              </w:rPr>
              <w:t>Stock that</w:t>
            </w: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95"/>
              </w:rPr>
              <w:t>Have Not</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5"/>
              </w:rPr>
              <w:t>Have Not</w:t>
            </w:r>
          </w:p>
        </w:tc>
        <w:tc>
          <w:tcPr>
            <w:tcW w:w="0" w:type="dxa"/>
            <w:vAlign w:val="bottom"/>
          </w:tcPr>
          <w:p>
            <w:pPr>
              <w:spacing w:after="0"/>
              <w:rPr>
                <w:sz w:val="1"/>
                <w:szCs w:val="1"/>
                <w:color w:val="auto"/>
              </w:rPr>
            </w:pPr>
          </w:p>
        </w:tc>
      </w:tr>
      <w:tr>
        <w:trPr>
          <w:trHeight w:val="148"/>
        </w:trPr>
        <w:tc>
          <w:tcPr>
            <w:tcW w:w="1160" w:type="dxa"/>
            <w:vAlign w:val="bottom"/>
            <w:tcBorders>
              <w:left w:val="single" w:sz="8" w:color="5EB5FC"/>
              <w:right w:val="single" w:sz="8" w:color="5EB5FC"/>
            </w:tcBorders>
            <w:shd w:val="clear" w:color="auto" w:fill="5EB5FC"/>
          </w:tcPr>
          <w:p>
            <w:pPr>
              <w:spacing w:after="0"/>
              <w:rPr>
                <w:sz w:val="12"/>
                <w:szCs w:val="12"/>
                <w:color w:val="auto"/>
              </w:rPr>
            </w:pPr>
          </w:p>
        </w:tc>
        <w:tc>
          <w:tcPr>
            <w:tcW w:w="1120" w:type="dxa"/>
            <w:vAlign w:val="bottom"/>
            <w:tcBorders>
              <w:right w:val="single" w:sz="8" w:color="5EB5FC"/>
            </w:tcBorders>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jc w:val="center"/>
              <w:ind w:left="3"/>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right w:val="single" w:sz="8" w:color="5EB5FC"/>
            </w:tcBorders>
            <w:shd w:val="clear" w:color="auto" w:fill="5EB5FC"/>
          </w:tcPr>
          <w:p>
            <w:pPr>
              <w:jc w:val="center"/>
              <w:ind w:left="2"/>
              <w:spacing w:after="0"/>
              <w:rPr>
                <w:sz w:val="20"/>
                <w:szCs w:val="20"/>
                <w:color w:val="auto"/>
              </w:rPr>
            </w:pPr>
            <w:r>
              <w:rPr>
                <w:rFonts w:ascii="Arial" w:cs="Arial" w:eastAsia="Arial" w:hAnsi="Arial"/>
                <w:sz w:val="13"/>
                <w:szCs w:val="13"/>
                <w:b w:val="1"/>
                <w:bCs w:val="1"/>
                <w:color w:val="FFFFFF"/>
                <w:w w:val="92"/>
              </w:rPr>
              <w:t>Unexercisa</w:t>
            </w:r>
          </w:p>
        </w:tc>
        <w:tc>
          <w:tcPr>
            <w:tcW w:w="104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93"/>
              </w:rPr>
              <w:t>Options</w:t>
            </w:r>
          </w:p>
        </w:tc>
        <w:tc>
          <w:tcPr>
            <w:tcW w:w="900" w:type="dxa"/>
            <w:vAlign w:val="bottom"/>
            <w:tcBorders>
              <w:right w:val="single" w:sz="8" w:color="5EB5FC"/>
            </w:tcBorders>
            <w:shd w:val="clear" w:color="auto" w:fill="5EB5FC"/>
          </w:tcPr>
          <w:p>
            <w:pPr>
              <w:jc w:val="center"/>
              <w:ind w:left="28"/>
              <w:spacing w:after="0"/>
              <w:rPr>
                <w:sz w:val="20"/>
                <w:szCs w:val="20"/>
                <w:color w:val="auto"/>
              </w:rPr>
            </w:pPr>
            <w:r>
              <w:rPr>
                <w:rFonts w:ascii="Arial" w:cs="Arial" w:eastAsia="Arial" w:hAnsi="Arial"/>
                <w:sz w:val="13"/>
                <w:szCs w:val="13"/>
                <w:b w:val="1"/>
                <w:bCs w:val="1"/>
                <w:color w:val="FFFFFF"/>
                <w:w w:val="94"/>
              </w:rPr>
              <w:t>Price</w:t>
            </w:r>
          </w:p>
        </w:tc>
        <w:tc>
          <w:tcPr>
            <w:tcW w:w="960" w:type="dxa"/>
            <w:vAlign w:val="bottom"/>
            <w:tcBorders>
              <w:right w:val="single" w:sz="8" w:color="5EB5FC"/>
            </w:tcBorders>
            <w:shd w:val="clear" w:color="auto" w:fill="5EB5FC"/>
          </w:tcPr>
          <w:p>
            <w:pPr>
              <w:jc w:val="center"/>
              <w:ind w:left="11"/>
              <w:spacing w:after="0"/>
              <w:rPr>
                <w:sz w:val="20"/>
                <w:szCs w:val="20"/>
                <w:color w:val="auto"/>
              </w:rPr>
            </w:pPr>
            <w:r>
              <w:rPr>
                <w:rFonts w:ascii="Arial" w:cs="Arial" w:eastAsia="Arial" w:hAnsi="Arial"/>
                <w:sz w:val="13"/>
                <w:szCs w:val="13"/>
                <w:b w:val="1"/>
                <w:bCs w:val="1"/>
                <w:color w:val="FFFFFF"/>
                <w:w w:val="97"/>
              </w:rPr>
              <w:t>Expiration</w:t>
            </w:r>
          </w:p>
        </w:tc>
        <w:tc>
          <w:tcPr>
            <w:tcW w:w="10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Vested</w:t>
            </w:r>
          </w:p>
        </w:tc>
        <w:tc>
          <w:tcPr>
            <w:tcW w:w="1020" w:type="dxa"/>
            <w:vAlign w:val="bottom"/>
            <w:tcBorders>
              <w:right w:val="single" w:sz="8" w:color="5EB5FC"/>
            </w:tcBorders>
            <w:shd w:val="clear" w:color="auto" w:fill="5EB5FC"/>
          </w:tcPr>
          <w:p>
            <w:pPr>
              <w:jc w:val="center"/>
              <w:ind w:left="38"/>
              <w:spacing w:after="0"/>
              <w:rPr>
                <w:sz w:val="20"/>
                <w:szCs w:val="20"/>
                <w:color w:val="auto"/>
              </w:rPr>
            </w:pPr>
            <w:r>
              <w:rPr>
                <w:rFonts w:ascii="Arial" w:cs="Arial" w:eastAsia="Arial" w:hAnsi="Arial"/>
                <w:sz w:val="13"/>
                <w:szCs w:val="13"/>
                <w:b w:val="1"/>
                <w:bCs w:val="1"/>
                <w:color w:val="FFFFFF"/>
                <w:w w:val="95"/>
              </w:rPr>
              <w:t>Have Not</w:t>
            </w:r>
          </w:p>
        </w:tc>
        <w:tc>
          <w:tcPr>
            <w:tcW w:w="10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3"/>
                <w:szCs w:val="13"/>
                <w:b w:val="1"/>
                <w:bCs w:val="1"/>
                <w:color w:val="FFFFFF"/>
                <w:w w:val="89"/>
              </w:rPr>
              <w:t>Vested</w:t>
            </w:r>
          </w:p>
        </w:tc>
        <w:tc>
          <w:tcPr>
            <w:tcW w:w="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9"/>
              </w:rPr>
              <w:t>Vested</w:t>
            </w:r>
          </w:p>
        </w:tc>
        <w:tc>
          <w:tcPr>
            <w:tcW w:w="0" w:type="dxa"/>
            <w:vAlign w:val="bottom"/>
          </w:tcPr>
          <w:p>
            <w:pPr>
              <w:spacing w:after="0"/>
              <w:rPr>
                <w:sz w:val="1"/>
                <w:szCs w:val="1"/>
                <w:color w:val="auto"/>
              </w:rPr>
            </w:pPr>
          </w:p>
        </w:tc>
      </w:tr>
      <w:tr>
        <w:trPr>
          <w:trHeight w:val="222"/>
        </w:trPr>
        <w:tc>
          <w:tcPr>
            <w:tcW w:w="1160" w:type="dxa"/>
            <w:vAlign w:val="bottom"/>
            <w:tcBorders>
              <w:left w:val="single" w:sz="8" w:color="5EB5FC"/>
              <w:bottom w:val="single" w:sz="8" w:color="5EB5FC"/>
              <w:right w:val="single" w:sz="8" w:color="5EB5FC"/>
            </w:tcBorders>
            <w:shd w:val="clear" w:color="auto" w:fill="5EB5FC"/>
          </w:tcPr>
          <w:p>
            <w:pPr>
              <w:ind w:left="480"/>
              <w:spacing w:after="0"/>
              <w:rPr>
                <w:sz w:val="20"/>
                <w:szCs w:val="20"/>
                <w:color w:val="auto"/>
              </w:rPr>
            </w:pPr>
            <w:r>
              <w:rPr>
                <w:rFonts w:ascii="Arial" w:cs="Arial" w:eastAsia="Arial" w:hAnsi="Arial"/>
                <w:sz w:val="13"/>
                <w:szCs w:val="13"/>
                <w:b w:val="1"/>
                <w:bCs w:val="1"/>
                <w:color w:val="FFFFFF"/>
              </w:rPr>
              <w:t>Name</w:t>
            </w:r>
          </w:p>
        </w:tc>
        <w:tc>
          <w:tcPr>
            <w:tcW w:w="1120" w:type="dxa"/>
            <w:vAlign w:val="bottom"/>
            <w:tcBorders>
              <w:bottom w:val="single" w:sz="8" w:color="5EB5FC"/>
              <w:right w:val="single" w:sz="8" w:color="5EB5FC"/>
            </w:tcBorders>
            <w:shd w:val="clear" w:color="auto" w:fill="5EB5FC"/>
          </w:tcPr>
          <w:p>
            <w:pPr>
              <w:jc w:val="right"/>
              <w:ind w:right="149"/>
              <w:spacing w:after="0"/>
              <w:rPr>
                <w:sz w:val="20"/>
                <w:szCs w:val="20"/>
                <w:color w:val="auto"/>
              </w:rPr>
            </w:pPr>
            <w:r>
              <w:rPr>
                <w:rFonts w:ascii="Arial" w:cs="Arial" w:eastAsia="Arial" w:hAnsi="Arial"/>
                <w:sz w:val="13"/>
                <w:szCs w:val="13"/>
                <w:b w:val="1"/>
                <w:bCs w:val="1"/>
                <w:color w:val="FFFFFF"/>
              </w:rPr>
              <w:t>Grant Date</w:t>
            </w:r>
          </w:p>
        </w:tc>
        <w:tc>
          <w:tcPr>
            <w:tcW w:w="1020" w:type="dxa"/>
            <w:vAlign w:val="bottom"/>
            <w:tcBorders>
              <w:bottom w:val="single" w:sz="8" w:color="5EB5FC"/>
              <w:right w:val="single" w:sz="8" w:color="5EB5FC"/>
            </w:tcBorders>
            <w:shd w:val="clear" w:color="auto" w:fill="5EB5FC"/>
          </w:tcPr>
          <w:p>
            <w:pPr>
              <w:jc w:val="center"/>
              <w:ind w:left="3"/>
              <w:spacing w:after="0"/>
              <w:rPr>
                <w:sz w:val="20"/>
                <w:szCs w:val="20"/>
                <w:color w:val="auto"/>
              </w:rPr>
            </w:pPr>
            <w:r>
              <w:rPr>
                <w:rFonts w:ascii="Arial" w:cs="Arial" w:eastAsia="Arial" w:hAnsi="Arial"/>
                <w:sz w:val="13"/>
                <w:szCs w:val="13"/>
                <w:b w:val="1"/>
                <w:bCs w:val="1"/>
                <w:color w:val="FFFFFF"/>
                <w:w w:val="94"/>
              </w:rPr>
              <w:t>Exercisable</w:t>
            </w:r>
          </w:p>
        </w:tc>
        <w:tc>
          <w:tcPr>
            <w:tcW w:w="1020" w:type="dxa"/>
            <w:vAlign w:val="bottom"/>
            <w:tcBorders>
              <w:bottom w:val="single" w:sz="8" w:color="5EB5FC"/>
              <w:right w:val="single" w:sz="8" w:color="5EB5FC"/>
            </w:tcBorders>
            <w:shd w:val="clear" w:color="auto" w:fill="5EB5FC"/>
          </w:tcPr>
          <w:p>
            <w:pPr>
              <w:jc w:val="center"/>
              <w:ind w:left="2"/>
              <w:spacing w:after="0"/>
              <w:rPr>
                <w:sz w:val="20"/>
                <w:szCs w:val="20"/>
                <w:color w:val="auto"/>
              </w:rPr>
            </w:pPr>
            <w:r>
              <w:rPr>
                <w:rFonts w:ascii="Arial" w:cs="Arial" w:eastAsia="Arial" w:hAnsi="Arial"/>
                <w:sz w:val="13"/>
                <w:szCs w:val="13"/>
                <w:b w:val="1"/>
                <w:bCs w:val="1"/>
                <w:color w:val="FFFFFF"/>
                <w:w w:val="84"/>
              </w:rPr>
              <w:t>ble</w:t>
            </w:r>
          </w:p>
        </w:tc>
        <w:tc>
          <w:tcPr>
            <w:tcW w:w="1040" w:type="dxa"/>
            <w:vAlign w:val="bottom"/>
            <w:tcBorders>
              <w:bottom w:val="single" w:sz="8" w:color="5EB5FC"/>
              <w:right w:val="single" w:sz="8" w:color="5EB5FC"/>
            </w:tcBorders>
            <w:shd w:val="clear" w:color="auto" w:fill="5EB5FC"/>
          </w:tcPr>
          <w:p>
            <w:pPr>
              <w:jc w:val="center"/>
              <w:ind w:left="20"/>
              <w:spacing w:after="0"/>
              <w:rPr>
                <w:sz w:val="20"/>
                <w:szCs w:val="20"/>
                <w:color w:val="auto"/>
              </w:rPr>
            </w:pPr>
            <w:r>
              <w:rPr>
                <w:rFonts w:ascii="Arial" w:cs="Arial" w:eastAsia="Arial" w:hAnsi="Arial"/>
                <w:sz w:val="13"/>
                <w:szCs w:val="13"/>
                <w:b w:val="1"/>
                <w:bCs w:val="1"/>
                <w:color w:val="FFFFFF"/>
              </w:rPr>
              <w:t>(#)</w:t>
            </w:r>
          </w:p>
        </w:tc>
        <w:tc>
          <w:tcPr>
            <w:tcW w:w="900" w:type="dxa"/>
            <w:vAlign w:val="bottom"/>
            <w:tcBorders>
              <w:bottom w:val="single" w:sz="8" w:color="5EB5FC"/>
              <w:right w:val="single" w:sz="8" w:color="5EB5FC"/>
            </w:tcBorders>
            <w:shd w:val="clear" w:color="auto" w:fill="5EB5FC"/>
          </w:tcPr>
          <w:p>
            <w:pPr>
              <w:jc w:val="center"/>
              <w:ind w:left="8"/>
              <w:spacing w:after="0"/>
              <w:rPr>
                <w:sz w:val="20"/>
                <w:szCs w:val="20"/>
                <w:color w:val="auto"/>
              </w:rPr>
            </w:pPr>
            <w:r>
              <w:rPr>
                <w:rFonts w:ascii="Arial" w:cs="Arial" w:eastAsia="Arial" w:hAnsi="Arial"/>
                <w:sz w:val="13"/>
                <w:szCs w:val="13"/>
                <w:b w:val="1"/>
                <w:bCs w:val="1"/>
                <w:color w:val="FFFFFF"/>
              </w:rPr>
              <w:t>($)</w:t>
            </w:r>
          </w:p>
        </w:tc>
        <w:tc>
          <w:tcPr>
            <w:tcW w:w="960" w:type="dxa"/>
            <w:vAlign w:val="bottom"/>
            <w:tcBorders>
              <w:bottom w:val="single" w:sz="8" w:color="5EB5FC"/>
              <w:right w:val="single" w:sz="8" w:color="5EB5FC"/>
            </w:tcBorders>
            <w:shd w:val="clear" w:color="auto" w:fill="5EB5FC"/>
          </w:tcPr>
          <w:p>
            <w:pPr>
              <w:jc w:val="center"/>
              <w:ind w:left="11"/>
              <w:spacing w:after="0"/>
              <w:rPr>
                <w:sz w:val="20"/>
                <w:szCs w:val="20"/>
                <w:color w:val="auto"/>
              </w:rPr>
            </w:pPr>
            <w:r>
              <w:rPr>
                <w:rFonts w:ascii="Arial" w:cs="Arial" w:eastAsia="Arial" w:hAnsi="Arial"/>
                <w:sz w:val="13"/>
                <w:szCs w:val="13"/>
                <w:b w:val="1"/>
                <w:bCs w:val="1"/>
                <w:color w:val="FFFFFF"/>
                <w:w w:val="92"/>
              </w:rPr>
              <w:t>Date</w:t>
            </w:r>
          </w:p>
        </w:tc>
        <w:tc>
          <w:tcPr>
            <w:tcW w:w="1020" w:type="dxa"/>
            <w:vAlign w:val="bottom"/>
            <w:tcBorders>
              <w:bottom w:val="single" w:sz="8" w:color="5EB5FC"/>
              <w:right w:val="single" w:sz="8" w:color="5EB5FC"/>
            </w:tcBorders>
            <w:shd w:val="clear" w:color="auto" w:fill="5EB5FC"/>
          </w:tcPr>
          <w:p>
            <w:pPr>
              <w:jc w:val="center"/>
              <w:ind w:left="17"/>
              <w:spacing w:after="0"/>
              <w:rPr>
                <w:sz w:val="20"/>
                <w:szCs w:val="20"/>
                <w:color w:val="auto"/>
              </w:rPr>
            </w:pPr>
            <w:r>
              <w:rPr>
                <w:rFonts w:ascii="Arial" w:cs="Arial" w:eastAsia="Arial" w:hAnsi="Arial"/>
                <w:sz w:val="13"/>
                <w:szCs w:val="13"/>
                <w:b w:val="1"/>
                <w:bCs w:val="1"/>
                <w:color w:val="FFFFFF"/>
              </w:rPr>
              <w:t>(#)</w:t>
            </w:r>
          </w:p>
        </w:tc>
        <w:tc>
          <w:tcPr>
            <w:tcW w:w="1020" w:type="dxa"/>
            <w:vAlign w:val="bottom"/>
            <w:tcBorders>
              <w:bottom w:val="single" w:sz="8" w:color="5EB5FC"/>
              <w:right w:val="single" w:sz="8" w:color="5EB5FC"/>
            </w:tcBorders>
            <w:shd w:val="clear" w:color="auto" w:fill="5EB5FC"/>
          </w:tcPr>
          <w:p>
            <w:pPr>
              <w:jc w:val="center"/>
              <w:ind w:left="38"/>
              <w:spacing w:after="0"/>
              <w:rPr>
                <w:sz w:val="20"/>
                <w:szCs w:val="20"/>
                <w:color w:val="auto"/>
              </w:rPr>
            </w:pPr>
            <w:r>
              <w:rPr>
                <w:rFonts w:ascii="Arial" w:cs="Arial" w:eastAsia="Arial" w:hAnsi="Arial"/>
                <w:sz w:val="13"/>
                <w:szCs w:val="13"/>
                <w:b w:val="1"/>
                <w:bCs w:val="1"/>
                <w:color w:val="FFFFFF"/>
                <w:w w:val="92"/>
              </w:rPr>
              <w:t>Vested ($)</w:t>
            </w:r>
            <w:r>
              <w:rPr>
                <w:rFonts w:ascii="Arial" w:cs="Arial" w:eastAsia="Arial" w:hAnsi="Arial"/>
                <w:sz w:val="11"/>
                <w:szCs w:val="11"/>
                <w:b w:val="1"/>
                <w:bCs w:val="1"/>
                <w:color w:val="FFFFFF"/>
                <w:w w:val="92"/>
              </w:rPr>
              <w:t>(1)</w:t>
            </w:r>
          </w:p>
        </w:tc>
        <w:tc>
          <w:tcPr>
            <w:tcW w:w="102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rPr>
              <w:t>(#)</w:t>
            </w:r>
          </w:p>
        </w:tc>
        <w:tc>
          <w:tcPr>
            <w:tcW w:w="760" w:type="dxa"/>
            <w:vAlign w:val="bottom"/>
            <w:tcBorders>
              <w:bottom w:val="single" w:sz="8" w:color="5EB5FC"/>
              <w:right w:val="single" w:sz="8" w:color="5EB5FC"/>
            </w:tcBorders>
            <w:shd w:val="clear" w:color="auto" w:fill="5EB5FC"/>
          </w:tcPr>
          <w:p>
            <w:pPr>
              <w:jc w:val="center"/>
              <w:spacing w:after="0"/>
              <w:rPr>
                <w:sz w:val="20"/>
                <w:szCs w:val="20"/>
                <w:color w:val="auto"/>
              </w:rPr>
            </w:pPr>
            <w:r>
              <w:rPr>
                <w:rFonts w:ascii="Arial" w:cs="Arial" w:eastAsia="Arial" w:hAnsi="Arial"/>
                <w:sz w:val="13"/>
                <w:szCs w:val="13"/>
                <w:b w:val="1"/>
                <w:bCs w:val="1"/>
                <w:color w:val="FFFFFF"/>
                <w:w w:val="87"/>
              </w:rPr>
              <w:t>($)</w:t>
            </w:r>
          </w:p>
        </w:tc>
        <w:tc>
          <w:tcPr>
            <w:tcW w:w="0" w:type="dxa"/>
            <w:vAlign w:val="bottom"/>
          </w:tcPr>
          <w:p>
            <w:pPr>
              <w:spacing w:after="0"/>
              <w:rPr>
                <w:sz w:val="1"/>
                <w:szCs w:val="1"/>
                <w:color w:val="auto"/>
              </w:rPr>
            </w:pPr>
          </w:p>
        </w:tc>
      </w:tr>
      <w:tr>
        <w:trPr>
          <w:trHeight w:val="253"/>
        </w:trPr>
        <w:tc>
          <w:tcPr>
            <w:tcW w:w="2280" w:type="dxa"/>
            <w:vAlign w:val="bottom"/>
            <w:tcBorders>
              <w:left w:val="single" w:sz="8" w:color="A0DBF9"/>
            </w:tcBorders>
            <w:gridSpan w:val="2"/>
          </w:tcPr>
          <w:p>
            <w:pPr>
              <w:ind w:left="240"/>
              <w:spacing w:after="0"/>
              <w:rPr>
                <w:sz w:val="20"/>
                <w:szCs w:val="20"/>
                <w:color w:val="auto"/>
              </w:rPr>
            </w:pPr>
            <w:r>
              <w:rPr>
                <w:rFonts w:ascii="Arial" w:cs="Arial" w:eastAsia="Arial" w:hAnsi="Arial"/>
                <w:sz w:val="17"/>
                <w:szCs w:val="17"/>
                <w:b w:val="1"/>
                <w:bCs w:val="1"/>
                <w:color w:val="auto"/>
              </w:rPr>
              <w:t>Michael P. Duffy</w:t>
            </w:r>
          </w:p>
        </w:tc>
        <w:tc>
          <w:tcPr>
            <w:tcW w:w="1020" w:type="dxa"/>
            <w:vAlign w:val="bottom"/>
            <w:tcBorders>
              <w:right w:val="single" w:sz="8" w:color="A0DBF9"/>
            </w:tcBorders>
          </w:tcPr>
          <w:p>
            <w:pPr>
              <w:spacing w:after="0"/>
              <w:rPr>
                <w:sz w:val="21"/>
                <w:szCs w:val="21"/>
                <w:color w:val="auto"/>
              </w:rPr>
            </w:pPr>
          </w:p>
        </w:tc>
        <w:tc>
          <w:tcPr>
            <w:tcW w:w="1020" w:type="dxa"/>
            <w:vAlign w:val="bottom"/>
            <w:tcBorders>
              <w:right w:val="single" w:sz="8" w:color="A0DBF9"/>
            </w:tcBorders>
          </w:tcPr>
          <w:p>
            <w:pPr>
              <w:spacing w:after="0"/>
              <w:rPr>
                <w:sz w:val="21"/>
                <w:szCs w:val="21"/>
                <w:color w:val="auto"/>
              </w:rPr>
            </w:pPr>
          </w:p>
        </w:tc>
        <w:tc>
          <w:tcPr>
            <w:tcW w:w="1040" w:type="dxa"/>
            <w:vAlign w:val="bottom"/>
            <w:tcBorders>
              <w:right w:val="single" w:sz="8" w:color="A0DBF9"/>
            </w:tcBorders>
          </w:tcPr>
          <w:p>
            <w:pPr>
              <w:spacing w:after="0"/>
              <w:rPr>
                <w:sz w:val="21"/>
                <w:szCs w:val="21"/>
                <w:color w:val="auto"/>
              </w:rPr>
            </w:pPr>
          </w:p>
        </w:tc>
        <w:tc>
          <w:tcPr>
            <w:tcW w:w="900" w:type="dxa"/>
            <w:vAlign w:val="bottom"/>
            <w:tcBorders>
              <w:right w:val="single" w:sz="8" w:color="A0DBF9"/>
            </w:tcBorders>
          </w:tcPr>
          <w:p>
            <w:pPr>
              <w:spacing w:after="0"/>
              <w:rPr>
                <w:sz w:val="21"/>
                <w:szCs w:val="21"/>
                <w:color w:val="auto"/>
              </w:rPr>
            </w:pPr>
          </w:p>
        </w:tc>
        <w:tc>
          <w:tcPr>
            <w:tcW w:w="960" w:type="dxa"/>
            <w:vAlign w:val="bottom"/>
            <w:tcBorders>
              <w:right w:val="single" w:sz="8" w:color="A0DBF9"/>
            </w:tcBorders>
          </w:tcPr>
          <w:p>
            <w:pPr>
              <w:spacing w:after="0"/>
              <w:rPr>
                <w:sz w:val="21"/>
                <w:szCs w:val="21"/>
                <w:color w:val="auto"/>
              </w:rPr>
            </w:pPr>
          </w:p>
        </w:tc>
        <w:tc>
          <w:tcPr>
            <w:tcW w:w="1020" w:type="dxa"/>
            <w:vAlign w:val="bottom"/>
            <w:tcBorders>
              <w:right w:val="single" w:sz="8" w:color="A0DBF9"/>
            </w:tcBorders>
          </w:tcPr>
          <w:p>
            <w:pPr>
              <w:spacing w:after="0"/>
              <w:rPr>
                <w:sz w:val="21"/>
                <w:szCs w:val="21"/>
                <w:color w:val="auto"/>
              </w:rPr>
            </w:pPr>
          </w:p>
        </w:tc>
        <w:tc>
          <w:tcPr>
            <w:tcW w:w="1020" w:type="dxa"/>
            <w:vAlign w:val="bottom"/>
            <w:tcBorders>
              <w:right w:val="single" w:sz="8" w:color="A0DBF9"/>
            </w:tcBorders>
          </w:tcPr>
          <w:p>
            <w:pPr>
              <w:spacing w:after="0"/>
              <w:rPr>
                <w:sz w:val="21"/>
                <w:szCs w:val="21"/>
                <w:color w:val="auto"/>
              </w:rPr>
            </w:pPr>
          </w:p>
        </w:tc>
        <w:tc>
          <w:tcPr>
            <w:tcW w:w="1020" w:type="dxa"/>
            <w:vAlign w:val="bottom"/>
            <w:tcBorders>
              <w:right w:val="single" w:sz="8" w:color="A0DBF9"/>
            </w:tcBorders>
          </w:tcPr>
          <w:p>
            <w:pPr>
              <w:spacing w:after="0"/>
              <w:rPr>
                <w:sz w:val="21"/>
                <w:szCs w:val="21"/>
                <w:color w:val="auto"/>
              </w:rPr>
            </w:pPr>
          </w:p>
        </w:tc>
        <w:tc>
          <w:tcPr>
            <w:tcW w:w="760" w:type="dxa"/>
            <w:vAlign w:val="bottom"/>
            <w:tcBorders>
              <w:right w:val="single" w:sz="8" w:color="A0DBF9"/>
            </w:tcBorders>
          </w:tcPr>
          <w:p>
            <w:pPr>
              <w:spacing w:after="0"/>
              <w:rPr>
                <w:sz w:val="21"/>
                <w:szCs w:val="21"/>
                <w:color w:val="auto"/>
              </w:rPr>
            </w:pPr>
          </w:p>
        </w:tc>
        <w:tc>
          <w:tcPr>
            <w:tcW w:w="0" w:type="dxa"/>
            <w:vAlign w:val="bottom"/>
          </w:tcPr>
          <w:p>
            <w:pPr>
              <w:spacing w:after="0"/>
              <w:rPr>
                <w:sz w:val="1"/>
                <w:szCs w:val="1"/>
                <w:color w:val="auto"/>
              </w:rPr>
            </w:pPr>
          </w:p>
        </w:tc>
      </w:tr>
      <w:tr>
        <w:trPr>
          <w:trHeight w:val="72"/>
        </w:trPr>
        <w:tc>
          <w:tcPr>
            <w:tcW w:w="1160" w:type="dxa"/>
            <w:vAlign w:val="bottom"/>
            <w:tcBorders>
              <w:left w:val="single" w:sz="8" w:color="A0DBF9"/>
              <w:bottom w:val="single" w:sz="8" w:color="A0DBF9"/>
            </w:tcBorders>
          </w:tcPr>
          <w:p>
            <w:pPr>
              <w:spacing w:after="0"/>
              <w:rPr>
                <w:sz w:val="6"/>
                <w:szCs w:val="6"/>
                <w:color w:val="auto"/>
              </w:rPr>
            </w:pPr>
          </w:p>
        </w:tc>
        <w:tc>
          <w:tcPr>
            <w:tcW w:w="1120" w:type="dxa"/>
            <w:vAlign w:val="bottom"/>
            <w:tcBorders>
              <w:bottom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40" w:type="dxa"/>
            <w:vAlign w:val="bottom"/>
            <w:tcBorders>
              <w:bottom w:val="single" w:sz="8" w:color="A0DBF9"/>
              <w:right w:val="single" w:sz="8" w:color="A0DBF9"/>
            </w:tcBorders>
          </w:tcPr>
          <w:p>
            <w:pPr>
              <w:spacing w:after="0"/>
              <w:rPr>
                <w:sz w:val="6"/>
                <w:szCs w:val="6"/>
                <w:color w:val="auto"/>
              </w:rPr>
            </w:pPr>
          </w:p>
        </w:tc>
        <w:tc>
          <w:tcPr>
            <w:tcW w:w="900" w:type="dxa"/>
            <w:vAlign w:val="bottom"/>
            <w:tcBorders>
              <w:bottom w:val="single" w:sz="8" w:color="A0DBF9"/>
              <w:right w:val="single" w:sz="8" w:color="A0DBF9"/>
            </w:tcBorders>
          </w:tcPr>
          <w:p>
            <w:pPr>
              <w:spacing w:after="0"/>
              <w:rPr>
                <w:sz w:val="6"/>
                <w:szCs w:val="6"/>
                <w:color w:val="auto"/>
              </w:rPr>
            </w:pPr>
          </w:p>
        </w:tc>
        <w:tc>
          <w:tcPr>
            <w:tcW w:w="96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760" w:type="dxa"/>
            <w:vAlign w:val="bottom"/>
            <w:tcBorders>
              <w:bottom w:val="single" w:sz="8" w:color="A0DBF9"/>
              <w:right w:val="single" w:sz="8" w:color="A0DBF9"/>
            </w:tcBorders>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tcPr>
          <w:p>
            <w:pPr>
              <w:ind w:left="320"/>
              <w:spacing w:after="0" w:line="40" w:lineRule="exact"/>
              <w:rPr>
                <w:sz w:val="20"/>
                <w:szCs w:val="20"/>
                <w:color w:val="auto"/>
              </w:rPr>
            </w:pPr>
            <w:r>
              <w:rPr>
                <w:rFonts w:ascii="Arial" w:cs="Arial" w:eastAsia="Arial" w:hAnsi="Arial"/>
                <w:sz w:val="4"/>
                <w:szCs w:val="4"/>
                <w:color w:val="auto"/>
              </w:rPr>
              <w:t>Options</w:t>
            </w:r>
          </w:p>
        </w:tc>
        <w:tc>
          <w:tcPr>
            <w:tcW w:w="11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24,911</w:t>
            </w:r>
          </w:p>
        </w:tc>
        <w:tc>
          <w:tcPr>
            <w:tcW w:w="1020" w:type="dxa"/>
            <w:vAlign w:val="bottom"/>
            <w:tcBorders>
              <w:right w:val="single" w:sz="8" w:color="A0DBF9"/>
            </w:tcBorders>
          </w:tcPr>
          <w:p>
            <w:pPr>
              <w:jc w:val="center"/>
              <w:ind w:left="2"/>
              <w:spacing w:after="0" w:line="40" w:lineRule="exact"/>
              <w:rPr>
                <w:sz w:val="20"/>
                <w:szCs w:val="20"/>
                <w:color w:val="auto"/>
              </w:rPr>
            </w:pPr>
            <w:r>
              <w:rPr>
                <w:rFonts w:ascii="Arial" w:cs="Arial" w:eastAsia="Arial" w:hAnsi="Arial"/>
                <w:sz w:val="4"/>
                <w:szCs w:val="4"/>
                <w:color w:val="auto"/>
              </w:rPr>
              <w:t>—</w:t>
            </w:r>
          </w:p>
        </w:tc>
        <w:tc>
          <w:tcPr>
            <w:tcW w:w="1040" w:type="dxa"/>
            <w:vAlign w:val="bottom"/>
            <w:tcBorders>
              <w:right w:val="single" w:sz="8" w:color="A0DBF9"/>
            </w:tcBorders>
          </w:tcPr>
          <w:p>
            <w:pPr>
              <w:jc w:val="center"/>
              <w:ind w:left="20"/>
              <w:spacing w:after="0" w:line="40" w:lineRule="exact"/>
              <w:rPr>
                <w:sz w:val="20"/>
                <w:szCs w:val="20"/>
                <w:color w:val="auto"/>
              </w:rPr>
            </w:pPr>
            <w:r>
              <w:rPr>
                <w:rFonts w:ascii="Arial" w:cs="Arial" w:eastAsia="Arial" w:hAnsi="Arial"/>
                <w:sz w:val="4"/>
                <w:szCs w:val="4"/>
                <w:color w:val="auto"/>
              </w:rPr>
              <w:t>—</w:t>
            </w:r>
          </w:p>
        </w:tc>
        <w:tc>
          <w:tcPr>
            <w:tcW w:w="900" w:type="dxa"/>
            <w:vAlign w:val="bottom"/>
            <w:tcBorders>
              <w:right w:val="single" w:sz="8" w:color="A0DBF9"/>
            </w:tcBorders>
          </w:tcPr>
          <w:p>
            <w:pPr>
              <w:jc w:val="center"/>
              <w:ind w:left="28"/>
              <w:spacing w:after="0" w:line="40" w:lineRule="exact"/>
              <w:rPr>
                <w:sz w:val="20"/>
                <w:szCs w:val="20"/>
                <w:color w:val="auto"/>
              </w:rPr>
            </w:pPr>
            <w:r>
              <w:rPr>
                <w:rFonts w:ascii="Arial" w:cs="Arial" w:eastAsia="Arial" w:hAnsi="Arial"/>
                <w:sz w:val="4"/>
                <w:szCs w:val="4"/>
                <w:color w:val="auto"/>
              </w:rPr>
              <w:t>18.66</w:t>
            </w:r>
          </w:p>
        </w:tc>
        <w:tc>
          <w:tcPr>
            <w:tcW w:w="960" w:type="dxa"/>
            <w:vAlign w:val="bottom"/>
            <w:tcBorders>
              <w:right w:val="single" w:sz="8" w:color="A0DBF9"/>
            </w:tcBorders>
          </w:tcPr>
          <w:p>
            <w:pPr>
              <w:jc w:val="right"/>
              <w:ind w:right="91"/>
              <w:spacing w:after="0" w:line="40" w:lineRule="exact"/>
              <w:rPr>
                <w:sz w:val="20"/>
                <w:szCs w:val="20"/>
                <w:color w:val="auto"/>
              </w:rPr>
            </w:pPr>
            <w:r>
              <w:rPr>
                <w:rFonts w:ascii="Arial" w:cs="Arial" w:eastAsia="Arial" w:hAnsi="Arial"/>
                <w:sz w:val="4"/>
                <w:szCs w:val="4"/>
                <w:color w:val="auto"/>
              </w:rPr>
              <w:t>8/5/2023</w:t>
            </w: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760" w:type="dxa"/>
            <w:vAlign w:val="bottom"/>
            <w:tcBorders>
              <w:right w:val="single" w:sz="8" w:color="A0DBF9"/>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tcPr>
          <w:p>
            <w:pPr>
              <w:ind w:left="860"/>
              <w:spacing w:after="0"/>
              <w:rPr>
                <w:sz w:val="20"/>
                <w:szCs w:val="20"/>
                <w:color w:val="auto"/>
              </w:rPr>
            </w:pPr>
            <w:r>
              <w:rPr>
                <w:rFonts w:ascii="Arial" w:cs="Arial" w:eastAsia="Arial" w:hAnsi="Arial"/>
                <w:sz w:val="15"/>
                <w:szCs w:val="15"/>
                <w:color w:val="auto"/>
              </w:rPr>
              <w:t>(2)</w:t>
            </w:r>
          </w:p>
        </w:tc>
        <w:tc>
          <w:tcPr>
            <w:tcW w:w="11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40" w:type="dxa"/>
            <w:vAlign w:val="bottom"/>
            <w:tcBorders>
              <w:right w:val="single" w:sz="8" w:color="A0DBF9"/>
            </w:tcBorders>
          </w:tcPr>
          <w:p>
            <w:pPr>
              <w:spacing w:after="0"/>
              <w:rPr>
                <w:sz w:val="15"/>
                <w:szCs w:val="15"/>
                <w:color w:val="auto"/>
              </w:rPr>
            </w:pPr>
          </w:p>
        </w:tc>
        <w:tc>
          <w:tcPr>
            <w:tcW w:w="900" w:type="dxa"/>
            <w:vAlign w:val="bottom"/>
            <w:tcBorders>
              <w:right w:val="single" w:sz="8" w:color="A0DBF9"/>
            </w:tcBorders>
          </w:tcPr>
          <w:p>
            <w:pPr>
              <w:spacing w:after="0"/>
              <w:rPr>
                <w:sz w:val="15"/>
                <w:szCs w:val="15"/>
                <w:color w:val="auto"/>
              </w:rPr>
            </w:pPr>
          </w:p>
        </w:tc>
        <w:tc>
          <w:tcPr>
            <w:tcW w:w="96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760" w:type="dxa"/>
            <w:vAlign w:val="bottom"/>
            <w:tcBorders>
              <w:right w:val="single" w:sz="8" w:color="A0DBF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tcPr>
          <w:p>
            <w:pPr>
              <w:spacing w:after="0"/>
              <w:rPr>
                <w:sz w:val="7"/>
                <w:szCs w:val="7"/>
                <w:color w:val="auto"/>
              </w:rPr>
            </w:pPr>
          </w:p>
        </w:tc>
        <w:tc>
          <w:tcPr>
            <w:tcW w:w="11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4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96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76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tcPr>
          <w:p>
            <w:pPr>
              <w:jc w:val="center"/>
              <w:ind w:left="9"/>
              <w:spacing w:after="0" w:line="40" w:lineRule="exact"/>
              <w:rPr>
                <w:sz w:val="20"/>
                <w:szCs w:val="20"/>
                <w:color w:val="auto"/>
              </w:rPr>
            </w:pPr>
            <w:r>
              <w:rPr>
                <w:rFonts w:ascii="Arial" w:cs="Arial" w:eastAsia="Arial" w:hAnsi="Arial"/>
                <w:sz w:val="4"/>
                <w:szCs w:val="4"/>
                <w:color w:val="auto"/>
              </w:rPr>
              <w:t>4/26/2016</w:t>
            </w: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1040" w:type="dxa"/>
            <w:vAlign w:val="bottom"/>
            <w:tcBorders>
              <w:right w:val="single" w:sz="8" w:color="A0DBF9"/>
            </w:tcBorders>
          </w:tcPr>
          <w:p>
            <w:pPr>
              <w:spacing w:after="0"/>
              <w:rPr>
                <w:sz w:val="3"/>
                <w:szCs w:val="3"/>
                <w:color w:val="auto"/>
              </w:rPr>
            </w:pPr>
          </w:p>
        </w:tc>
        <w:tc>
          <w:tcPr>
            <w:tcW w:w="900" w:type="dxa"/>
            <w:vAlign w:val="bottom"/>
            <w:tcBorders>
              <w:right w:val="single" w:sz="8" w:color="A0DBF9"/>
            </w:tcBorders>
          </w:tcPr>
          <w:p>
            <w:pPr>
              <w:spacing w:after="0"/>
              <w:rPr>
                <w:sz w:val="3"/>
                <w:szCs w:val="3"/>
                <w:color w:val="auto"/>
              </w:rPr>
            </w:pPr>
          </w:p>
        </w:tc>
        <w:tc>
          <w:tcPr>
            <w:tcW w:w="96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jc w:val="center"/>
              <w:ind w:left="17"/>
              <w:spacing w:after="0" w:line="40" w:lineRule="exact"/>
              <w:rPr>
                <w:sz w:val="20"/>
                <w:szCs w:val="20"/>
                <w:color w:val="auto"/>
              </w:rPr>
            </w:pPr>
            <w:r>
              <w:rPr>
                <w:rFonts w:ascii="Arial" w:cs="Arial" w:eastAsia="Arial" w:hAnsi="Arial"/>
                <w:sz w:val="4"/>
                <w:szCs w:val="4"/>
                <w:color w:val="auto"/>
              </w:rPr>
              <w:t>15,500</w:t>
            </w:r>
          </w:p>
        </w:tc>
        <w:tc>
          <w:tcPr>
            <w:tcW w:w="1020" w:type="dxa"/>
            <w:vAlign w:val="bottom"/>
            <w:tcBorders>
              <w:right w:val="single" w:sz="8" w:color="A0DBF9"/>
            </w:tcBorders>
          </w:tcPr>
          <w:p>
            <w:pPr>
              <w:jc w:val="center"/>
              <w:ind w:left="18"/>
              <w:spacing w:after="0" w:line="40" w:lineRule="exact"/>
              <w:rPr>
                <w:sz w:val="20"/>
                <w:szCs w:val="20"/>
                <w:color w:val="auto"/>
              </w:rPr>
            </w:pPr>
            <w:r>
              <w:rPr>
                <w:rFonts w:ascii="Arial" w:cs="Arial" w:eastAsia="Arial" w:hAnsi="Arial"/>
                <w:sz w:val="4"/>
                <w:szCs w:val="4"/>
                <w:color w:val="auto"/>
              </w:rPr>
              <w:t>$317,905</w:t>
            </w:r>
          </w:p>
        </w:tc>
        <w:tc>
          <w:tcPr>
            <w:tcW w:w="10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76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5"/>
                <w:szCs w:val="15"/>
                <w:color w:val="auto"/>
              </w:rPr>
              <w:t>(3)</w:t>
            </w:r>
          </w:p>
        </w:tc>
        <w:tc>
          <w:tcPr>
            <w:tcW w:w="11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40" w:type="dxa"/>
            <w:vAlign w:val="bottom"/>
            <w:tcBorders>
              <w:right w:val="single" w:sz="8" w:color="A0DBF9"/>
            </w:tcBorders>
          </w:tcPr>
          <w:p>
            <w:pPr>
              <w:spacing w:after="0"/>
              <w:rPr>
                <w:sz w:val="15"/>
                <w:szCs w:val="15"/>
                <w:color w:val="auto"/>
              </w:rPr>
            </w:pPr>
          </w:p>
        </w:tc>
        <w:tc>
          <w:tcPr>
            <w:tcW w:w="900" w:type="dxa"/>
            <w:vAlign w:val="bottom"/>
            <w:tcBorders>
              <w:right w:val="single" w:sz="8" w:color="A0DBF9"/>
            </w:tcBorders>
          </w:tcPr>
          <w:p>
            <w:pPr>
              <w:spacing w:after="0"/>
              <w:rPr>
                <w:sz w:val="15"/>
                <w:szCs w:val="15"/>
                <w:color w:val="auto"/>
              </w:rPr>
            </w:pPr>
          </w:p>
        </w:tc>
        <w:tc>
          <w:tcPr>
            <w:tcW w:w="96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760" w:type="dxa"/>
            <w:vAlign w:val="bottom"/>
            <w:tcBorders>
              <w:right w:val="single" w:sz="8" w:color="A0DBF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tcPr>
          <w:p>
            <w:pPr>
              <w:spacing w:after="0"/>
              <w:rPr>
                <w:sz w:val="7"/>
                <w:szCs w:val="7"/>
                <w:color w:val="auto"/>
              </w:rPr>
            </w:pPr>
          </w:p>
        </w:tc>
        <w:tc>
          <w:tcPr>
            <w:tcW w:w="11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4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96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76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tcPr>
          <w:p>
            <w:pPr>
              <w:jc w:val="center"/>
              <w:ind w:left="9"/>
              <w:spacing w:after="0" w:line="40" w:lineRule="exact"/>
              <w:rPr>
                <w:sz w:val="20"/>
                <w:szCs w:val="20"/>
                <w:color w:val="auto"/>
              </w:rPr>
            </w:pPr>
            <w:r>
              <w:rPr>
                <w:rFonts w:ascii="Arial" w:cs="Arial" w:eastAsia="Arial" w:hAnsi="Arial"/>
                <w:sz w:val="4"/>
                <w:szCs w:val="4"/>
                <w:color w:val="auto"/>
              </w:rPr>
              <w:t>2/23/2017</w:t>
            </w: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1040" w:type="dxa"/>
            <w:vAlign w:val="bottom"/>
            <w:tcBorders>
              <w:right w:val="single" w:sz="8" w:color="A0DBF9"/>
            </w:tcBorders>
          </w:tcPr>
          <w:p>
            <w:pPr>
              <w:spacing w:after="0"/>
              <w:rPr>
                <w:sz w:val="3"/>
                <w:szCs w:val="3"/>
                <w:color w:val="auto"/>
              </w:rPr>
            </w:pPr>
          </w:p>
        </w:tc>
        <w:tc>
          <w:tcPr>
            <w:tcW w:w="900" w:type="dxa"/>
            <w:vAlign w:val="bottom"/>
            <w:tcBorders>
              <w:right w:val="single" w:sz="8" w:color="A0DBF9"/>
            </w:tcBorders>
          </w:tcPr>
          <w:p>
            <w:pPr>
              <w:spacing w:after="0"/>
              <w:rPr>
                <w:sz w:val="3"/>
                <w:szCs w:val="3"/>
                <w:color w:val="auto"/>
              </w:rPr>
            </w:pPr>
          </w:p>
        </w:tc>
        <w:tc>
          <w:tcPr>
            <w:tcW w:w="96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jc w:val="center"/>
              <w:ind w:left="17"/>
              <w:spacing w:after="0" w:line="40" w:lineRule="exact"/>
              <w:rPr>
                <w:sz w:val="20"/>
                <w:szCs w:val="20"/>
                <w:color w:val="auto"/>
              </w:rPr>
            </w:pPr>
            <w:r>
              <w:rPr>
                <w:rFonts w:ascii="Arial" w:cs="Arial" w:eastAsia="Arial" w:hAnsi="Arial"/>
                <w:sz w:val="4"/>
                <w:szCs w:val="4"/>
                <w:color w:val="auto"/>
              </w:rPr>
              <w:t>5,490</w:t>
            </w:r>
          </w:p>
        </w:tc>
        <w:tc>
          <w:tcPr>
            <w:tcW w:w="1020" w:type="dxa"/>
            <w:vAlign w:val="bottom"/>
            <w:tcBorders>
              <w:right w:val="single" w:sz="8" w:color="A0DBF9"/>
            </w:tcBorders>
          </w:tcPr>
          <w:p>
            <w:pPr>
              <w:jc w:val="center"/>
              <w:ind w:left="18"/>
              <w:spacing w:after="0" w:line="40" w:lineRule="exact"/>
              <w:rPr>
                <w:sz w:val="20"/>
                <w:szCs w:val="20"/>
                <w:color w:val="auto"/>
              </w:rPr>
            </w:pPr>
            <w:r>
              <w:rPr>
                <w:rFonts w:ascii="Arial" w:cs="Arial" w:eastAsia="Arial" w:hAnsi="Arial"/>
                <w:sz w:val="4"/>
                <w:szCs w:val="4"/>
                <w:color w:val="auto"/>
              </w:rPr>
              <w:t>$112,600</w:t>
            </w:r>
          </w:p>
        </w:tc>
        <w:tc>
          <w:tcPr>
            <w:tcW w:w="10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76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5"/>
                <w:szCs w:val="15"/>
                <w:color w:val="auto"/>
              </w:rPr>
              <w:t>(4)</w:t>
            </w:r>
          </w:p>
        </w:tc>
        <w:tc>
          <w:tcPr>
            <w:tcW w:w="11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40" w:type="dxa"/>
            <w:vAlign w:val="bottom"/>
            <w:tcBorders>
              <w:right w:val="single" w:sz="8" w:color="A0DBF9"/>
            </w:tcBorders>
          </w:tcPr>
          <w:p>
            <w:pPr>
              <w:spacing w:after="0"/>
              <w:rPr>
                <w:sz w:val="15"/>
                <w:szCs w:val="15"/>
                <w:color w:val="auto"/>
              </w:rPr>
            </w:pPr>
          </w:p>
        </w:tc>
        <w:tc>
          <w:tcPr>
            <w:tcW w:w="900" w:type="dxa"/>
            <w:vAlign w:val="bottom"/>
            <w:tcBorders>
              <w:right w:val="single" w:sz="8" w:color="A0DBF9"/>
            </w:tcBorders>
          </w:tcPr>
          <w:p>
            <w:pPr>
              <w:spacing w:after="0"/>
              <w:rPr>
                <w:sz w:val="15"/>
                <w:szCs w:val="15"/>
                <w:color w:val="auto"/>
              </w:rPr>
            </w:pPr>
          </w:p>
        </w:tc>
        <w:tc>
          <w:tcPr>
            <w:tcW w:w="96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760" w:type="dxa"/>
            <w:vAlign w:val="bottom"/>
            <w:tcBorders>
              <w:right w:val="single" w:sz="8" w:color="A0DBF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tcPr>
          <w:p>
            <w:pPr>
              <w:spacing w:after="0"/>
              <w:rPr>
                <w:sz w:val="7"/>
                <w:szCs w:val="7"/>
                <w:color w:val="auto"/>
              </w:rPr>
            </w:pPr>
          </w:p>
        </w:tc>
        <w:tc>
          <w:tcPr>
            <w:tcW w:w="11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4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96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76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3/5/2018</w:t>
            </w: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1040" w:type="dxa"/>
            <w:vAlign w:val="bottom"/>
            <w:tcBorders>
              <w:right w:val="single" w:sz="8" w:color="A0DBF9"/>
            </w:tcBorders>
          </w:tcPr>
          <w:p>
            <w:pPr>
              <w:spacing w:after="0"/>
              <w:rPr>
                <w:sz w:val="3"/>
                <w:szCs w:val="3"/>
                <w:color w:val="auto"/>
              </w:rPr>
            </w:pPr>
          </w:p>
        </w:tc>
        <w:tc>
          <w:tcPr>
            <w:tcW w:w="900" w:type="dxa"/>
            <w:vAlign w:val="bottom"/>
            <w:tcBorders>
              <w:right w:val="single" w:sz="8" w:color="A0DBF9"/>
            </w:tcBorders>
          </w:tcPr>
          <w:p>
            <w:pPr>
              <w:spacing w:after="0"/>
              <w:rPr>
                <w:sz w:val="3"/>
                <w:szCs w:val="3"/>
                <w:color w:val="auto"/>
              </w:rPr>
            </w:pPr>
          </w:p>
        </w:tc>
        <w:tc>
          <w:tcPr>
            <w:tcW w:w="96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jc w:val="center"/>
              <w:ind w:left="17"/>
              <w:spacing w:after="0" w:line="40" w:lineRule="exact"/>
              <w:rPr>
                <w:sz w:val="20"/>
                <w:szCs w:val="20"/>
                <w:color w:val="auto"/>
              </w:rPr>
            </w:pPr>
            <w:r>
              <w:rPr>
                <w:rFonts w:ascii="Arial" w:cs="Arial" w:eastAsia="Arial" w:hAnsi="Arial"/>
                <w:sz w:val="4"/>
                <w:szCs w:val="4"/>
                <w:color w:val="auto"/>
              </w:rPr>
              <w:t>8,322</w:t>
            </w:r>
          </w:p>
        </w:tc>
        <w:tc>
          <w:tcPr>
            <w:tcW w:w="1020" w:type="dxa"/>
            <w:vAlign w:val="bottom"/>
            <w:tcBorders>
              <w:right w:val="single" w:sz="8" w:color="A0DBF9"/>
            </w:tcBorders>
          </w:tcPr>
          <w:p>
            <w:pPr>
              <w:jc w:val="center"/>
              <w:ind w:left="18"/>
              <w:spacing w:after="0" w:line="40" w:lineRule="exact"/>
              <w:rPr>
                <w:sz w:val="20"/>
                <w:szCs w:val="20"/>
                <w:color w:val="auto"/>
              </w:rPr>
            </w:pPr>
            <w:r>
              <w:rPr>
                <w:rFonts w:ascii="Arial" w:cs="Arial" w:eastAsia="Arial" w:hAnsi="Arial"/>
                <w:sz w:val="4"/>
                <w:szCs w:val="4"/>
                <w:color w:val="auto"/>
              </w:rPr>
              <w:t>$170,684</w:t>
            </w:r>
          </w:p>
        </w:tc>
        <w:tc>
          <w:tcPr>
            <w:tcW w:w="10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76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5"/>
                <w:szCs w:val="15"/>
                <w:color w:val="auto"/>
              </w:rPr>
              <w:t>(4)</w:t>
            </w:r>
          </w:p>
        </w:tc>
        <w:tc>
          <w:tcPr>
            <w:tcW w:w="11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40" w:type="dxa"/>
            <w:vAlign w:val="bottom"/>
            <w:tcBorders>
              <w:right w:val="single" w:sz="8" w:color="A0DBF9"/>
            </w:tcBorders>
          </w:tcPr>
          <w:p>
            <w:pPr>
              <w:spacing w:after="0"/>
              <w:rPr>
                <w:sz w:val="15"/>
                <w:szCs w:val="15"/>
                <w:color w:val="auto"/>
              </w:rPr>
            </w:pPr>
          </w:p>
        </w:tc>
        <w:tc>
          <w:tcPr>
            <w:tcW w:w="900" w:type="dxa"/>
            <w:vAlign w:val="bottom"/>
            <w:tcBorders>
              <w:right w:val="single" w:sz="8" w:color="A0DBF9"/>
            </w:tcBorders>
          </w:tcPr>
          <w:p>
            <w:pPr>
              <w:spacing w:after="0"/>
              <w:rPr>
                <w:sz w:val="15"/>
                <w:szCs w:val="15"/>
                <w:color w:val="auto"/>
              </w:rPr>
            </w:pPr>
          </w:p>
        </w:tc>
        <w:tc>
          <w:tcPr>
            <w:tcW w:w="96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760" w:type="dxa"/>
            <w:vAlign w:val="bottom"/>
            <w:tcBorders>
              <w:right w:val="single" w:sz="8" w:color="A0DBF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tcPr>
          <w:p>
            <w:pPr>
              <w:spacing w:after="0"/>
              <w:rPr>
                <w:sz w:val="7"/>
                <w:szCs w:val="7"/>
                <w:color w:val="auto"/>
              </w:rPr>
            </w:pPr>
          </w:p>
        </w:tc>
        <w:tc>
          <w:tcPr>
            <w:tcW w:w="11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4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96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76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tcPr>
          <w:p>
            <w:pPr>
              <w:ind w:left="320"/>
              <w:spacing w:after="0" w:line="40" w:lineRule="exact"/>
              <w:rPr>
                <w:sz w:val="20"/>
                <w:szCs w:val="20"/>
                <w:color w:val="auto"/>
              </w:rPr>
            </w:pPr>
            <w:r>
              <w:rPr>
                <w:rFonts w:ascii="Arial" w:cs="Arial" w:eastAsia="Arial" w:hAnsi="Arial"/>
                <w:sz w:val="4"/>
                <w:szCs w:val="4"/>
                <w:color w:val="auto"/>
              </w:rPr>
              <w:t>RSUs</w:t>
            </w:r>
          </w:p>
        </w:tc>
        <w:tc>
          <w:tcPr>
            <w:tcW w:w="1120" w:type="dxa"/>
            <w:vAlign w:val="bottom"/>
            <w:tcBorders>
              <w:right w:val="single" w:sz="8" w:color="A0DBF9"/>
            </w:tcBorders>
          </w:tcPr>
          <w:p>
            <w:pPr>
              <w:jc w:val="center"/>
              <w:ind w:left="9"/>
              <w:spacing w:after="0" w:line="40" w:lineRule="exact"/>
              <w:rPr>
                <w:sz w:val="20"/>
                <w:szCs w:val="20"/>
                <w:color w:val="auto"/>
              </w:rPr>
            </w:pPr>
            <w:r>
              <w:rPr>
                <w:rFonts w:ascii="Arial" w:cs="Arial" w:eastAsia="Arial" w:hAnsi="Arial"/>
                <w:sz w:val="4"/>
                <w:szCs w:val="4"/>
                <w:color w:val="auto"/>
              </w:rPr>
              <w:t>2/26/2019</w:t>
            </w:r>
          </w:p>
        </w:tc>
        <w:tc>
          <w:tcPr>
            <w:tcW w:w="102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spacing w:after="0"/>
              <w:rPr>
                <w:sz w:val="3"/>
                <w:szCs w:val="3"/>
                <w:color w:val="auto"/>
              </w:rPr>
            </w:pPr>
          </w:p>
        </w:tc>
        <w:tc>
          <w:tcPr>
            <w:tcW w:w="1040" w:type="dxa"/>
            <w:vAlign w:val="bottom"/>
            <w:tcBorders>
              <w:right w:val="single" w:sz="8" w:color="A0DBF9"/>
            </w:tcBorders>
          </w:tcPr>
          <w:p>
            <w:pPr>
              <w:spacing w:after="0"/>
              <w:rPr>
                <w:sz w:val="3"/>
                <w:szCs w:val="3"/>
                <w:color w:val="auto"/>
              </w:rPr>
            </w:pPr>
          </w:p>
        </w:tc>
        <w:tc>
          <w:tcPr>
            <w:tcW w:w="900" w:type="dxa"/>
            <w:vAlign w:val="bottom"/>
            <w:tcBorders>
              <w:right w:val="single" w:sz="8" w:color="A0DBF9"/>
            </w:tcBorders>
          </w:tcPr>
          <w:p>
            <w:pPr>
              <w:spacing w:after="0"/>
              <w:rPr>
                <w:sz w:val="3"/>
                <w:szCs w:val="3"/>
                <w:color w:val="auto"/>
              </w:rPr>
            </w:pPr>
          </w:p>
        </w:tc>
        <w:tc>
          <w:tcPr>
            <w:tcW w:w="960" w:type="dxa"/>
            <w:vAlign w:val="bottom"/>
            <w:tcBorders>
              <w:right w:val="single" w:sz="8" w:color="A0DBF9"/>
            </w:tcBorders>
          </w:tcPr>
          <w:p>
            <w:pPr>
              <w:spacing w:after="0"/>
              <w:rPr>
                <w:sz w:val="3"/>
                <w:szCs w:val="3"/>
                <w:color w:val="auto"/>
              </w:rPr>
            </w:pPr>
          </w:p>
        </w:tc>
        <w:tc>
          <w:tcPr>
            <w:tcW w:w="1020" w:type="dxa"/>
            <w:vAlign w:val="bottom"/>
            <w:tcBorders>
              <w:right w:val="single" w:sz="8" w:color="A0DBF9"/>
            </w:tcBorders>
          </w:tcPr>
          <w:p>
            <w:pPr>
              <w:jc w:val="center"/>
              <w:ind w:left="17"/>
              <w:spacing w:after="0" w:line="40" w:lineRule="exact"/>
              <w:rPr>
                <w:sz w:val="20"/>
                <w:szCs w:val="20"/>
                <w:color w:val="auto"/>
              </w:rPr>
            </w:pPr>
            <w:r>
              <w:rPr>
                <w:rFonts w:ascii="Arial" w:cs="Arial" w:eastAsia="Arial" w:hAnsi="Arial"/>
                <w:sz w:val="4"/>
                <w:szCs w:val="4"/>
                <w:color w:val="auto"/>
              </w:rPr>
              <w:t>10,022</w:t>
            </w:r>
          </w:p>
        </w:tc>
        <w:tc>
          <w:tcPr>
            <w:tcW w:w="1020" w:type="dxa"/>
            <w:vAlign w:val="bottom"/>
            <w:tcBorders>
              <w:right w:val="single" w:sz="8" w:color="A0DBF9"/>
            </w:tcBorders>
          </w:tcPr>
          <w:p>
            <w:pPr>
              <w:jc w:val="center"/>
              <w:ind w:left="18"/>
              <w:spacing w:after="0" w:line="40" w:lineRule="exact"/>
              <w:rPr>
                <w:sz w:val="20"/>
                <w:szCs w:val="20"/>
                <w:color w:val="auto"/>
              </w:rPr>
            </w:pPr>
            <w:r>
              <w:rPr>
                <w:rFonts w:ascii="Arial" w:cs="Arial" w:eastAsia="Arial" w:hAnsi="Arial"/>
                <w:sz w:val="4"/>
                <w:szCs w:val="4"/>
                <w:color w:val="auto"/>
              </w:rPr>
              <w:t>$205,551</w:t>
            </w:r>
          </w:p>
        </w:tc>
        <w:tc>
          <w:tcPr>
            <w:tcW w:w="1020" w:type="dxa"/>
            <w:vAlign w:val="bottom"/>
            <w:tcBorders>
              <w:right w:val="single" w:sz="8" w:color="A0DBF9"/>
            </w:tcBorders>
          </w:tcPr>
          <w:p>
            <w:pPr>
              <w:spacing w:after="0"/>
              <w:rPr>
                <w:sz w:val="3"/>
                <w:szCs w:val="3"/>
                <w:color w:val="auto"/>
              </w:rPr>
            </w:pPr>
          </w:p>
        </w:tc>
        <w:tc>
          <w:tcPr>
            <w:tcW w:w="760" w:type="dxa"/>
            <w:vAlign w:val="bottom"/>
            <w:tcBorders>
              <w:right w:val="single" w:sz="8" w:color="A0DBF9"/>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tcPr>
          <w:p>
            <w:pPr>
              <w:ind w:left="720"/>
              <w:spacing w:after="0"/>
              <w:rPr>
                <w:sz w:val="20"/>
                <w:szCs w:val="20"/>
                <w:color w:val="auto"/>
              </w:rPr>
            </w:pPr>
            <w:r>
              <w:rPr>
                <w:rFonts w:ascii="Arial" w:cs="Arial" w:eastAsia="Arial" w:hAnsi="Arial"/>
                <w:sz w:val="15"/>
                <w:szCs w:val="15"/>
                <w:color w:val="auto"/>
              </w:rPr>
              <w:t>(5)</w:t>
            </w:r>
          </w:p>
        </w:tc>
        <w:tc>
          <w:tcPr>
            <w:tcW w:w="11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40" w:type="dxa"/>
            <w:vAlign w:val="bottom"/>
            <w:tcBorders>
              <w:right w:val="single" w:sz="8" w:color="A0DBF9"/>
            </w:tcBorders>
          </w:tcPr>
          <w:p>
            <w:pPr>
              <w:spacing w:after="0"/>
              <w:rPr>
                <w:sz w:val="15"/>
                <w:szCs w:val="15"/>
                <w:color w:val="auto"/>
              </w:rPr>
            </w:pPr>
          </w:p>
        </w:tc>
        <w:tc>
          <w:tcPr>
            <w:tcW w:w="900" w:type="dxa"/>
            <w:vAlign w:val="bottom"/>
            <w:tcBorders>
              <w:right w:val="single" w:sz="8" w:color="A0DBF9"/>
            </w:tcBorders>
          </w:tcPr>
          <w:p>
            <w:pPr>
              <w:spacing w:after="0"/>
              <w:rPr>
                <w:sz w:val="15"/>
                <w:szCs w:val="15"/>
                <w:color w:val="auto"/>
              </w:rPr>
            </w:pPr>
          </w:p>
        </w:tc>
        <w:tc>
          <w:tcPr>
            <w:tcW w:w="96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1020" w:type="dxa"/>
            <w:vAlign w:val="bottom"/>
            <w:tcBorders>
              <w:right w:val="single" w:sz="8" w:color="A0DBF9"/>
            </w:tcBorders>
          </w:tcPr>
          <w:p>
            <w:pPr>
              <w:spacing w:after="0"/>
              <w:rPr>
                <w:sz w:val="15"/>
                <w:szCs w:val="15"/>
                <w:color w:val="auto"/>
              </w:rPr>
            </w:pPr>
          </w:p>
        </w:tc>
        <w:tc>
          <w:tcPr>
            <w:tcW w:w="760" w:type="dxa"/>
            <w:vAlign w:val="bottom"/>
            <w:tcBorders>
              <w:right w:val="single" w:sz="8" w:color="A0DBF9"/>
            </w:tcBorders>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tcPr>
          <w:p>
            <w:pPr>
              <w:spacing w:after="0"/>
              <w:rPr>
                <w:sz w:val="7"/>
                <w:szCs w:val="7"/>
                <w:color w:val="auto"/>
              </w:rPr>
            </w:pPr>
          </w:p>
        </w:tc>
        <w:tc>
          <w:tcPr>
            <w:tcW w:w="11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40" w:type="dxa"/>
            <w:vAlign w:val="bottom"/>
            <w:tcBorders>
              <w:bottom w:val="single" w:sz="8" w:color="A0DBF9"/>
              <w:right w:val="single" w:sz="8" w:color="A0DBF9"/>
            </w:tcBorders>
          </w:tcPr>
          <w:p>
            <w:pPr>
              <w:spacing w:after="0"/>
              <w:rPr>
                <w:sz w:val="7"/>
                <w:szCs w:val="7"/>
                <w:color w:val="auto"/>
              </w:rPr>
            </w:pPr>
          </w:p>
        </w:tc>
        <w:tc>
          <w:tcPr>
            <w:tcW w:w="900" w:type="dxa"/>
            <w:vAlign w:val="bottom"/>
            <w:tcBorders>
              <w:bottom w:val="single" w:sz="8" w:color="A0DBF9"/>
              <w:right w:val="single" w:sz="8" w:color="A0DBF9"/>
            </w:tcBorders>
          </w:tcPr>
          <w:p>
            <w:pPr>
              <w:spacing w:after="0"/>
              <w:rPr>
                <w:sz w:val="7"/>
                <w:szCs w:val="7"/>
                <w:color w:val="auto"/>
              </w:rPr>
            </w:pPr>
          </w:p>
        </w:tc>
        <w:tc>
          <w:tcPr>
            <w:tcW w:w="96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1020" w:type="dxa"/>
            <w:vAlign w:val="bottom"/>
            <w:tcBorders>
              <w:bottom w:val="single" w:sz="8" w:color="A0DBF9"/>
              <w:right w:val="single" w:sz="8" w:color="A0DBF9"/>
            </w:tcBorders>
          </w:tcPr>
          <w:p>
            <w:pPr>
              <w:spacing w:after="0"/>
              <w:rPr>
                <w:sz w:val="7"/>
                <w:szCs w:val="7"/>
                <w:color w:val="auto"/>
              </w:rPr>
            </w:pPr>
          </w:p>
        </w:tc>
        <w:tc>
          <w:tcPr>
            <w:tcW w:w="76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tcPr>
          <w:p>
            <w:pPr>
              <w:ind w:left="320"/>
              <w:spacing w:after="0"/>
              <w:rPr>
                <w:sz w:val="20"/>
                <w:szCs w:val="20"/>
                <w:color w:val="auto"/>
              </w:rPr>
            </w:pPr>
            <w:r>
              <w:rPr>
                <w:rFonts w:ascii="Arial" w:cs="Arial" w:eastAsia="Arial" w:hAnsi="Arial"/>
                <w:sz w:val="17"/>
                <w:szCs w:val="17"/>
                <w:color w:val="auto"/>
              </w:rPr>
              <w:t>PSAs</w:t>
            </w:r>
            <w:r>
              <w:rPr>
                <w:rFonts w:ascii="Arial" w:cs="Arial" w:eastAsia="Arial" w:hAnsi="Arial"/>
                <w:sz w:val="14"/>
                <w:szCs w:val="14"/>
                <w:color w:val="auto"/>
              </w:rPr>
              <w:t>(6)</w:t>
            </w:r>
          </w:p>
        </w:tc>
        <w:tc>
          <w:tcPr>
            <w:tcW w:w="1120" w:type="dxa"/>
            <w:vAlign w:val="bottom"/>
            <w:tcBorders>
              <w:right w:val="single" w:sz="8" w:color="A0DBF9"/>
            </w:tcBorders>
          </w:tcPr>
          <w:p>
            <w:pPr>
              <w:jc w:val="center"/>
              <w:ind w:left="9"/>
              <w:spacing w:after="0"/>
              <w:rPr>
                <w:sz w:val="20"/>
                <w:szCs w:val="20"/>
                <w:color w:val="auto"/>
              </w:rPr>
            </w:pPr>
            <w:r>
              <w:rPr>
                <w:rFonts w:ascii="Arial" w:cs="Arial" w:eastAsia="Arial" w:hAnsi="Arial"/>
                <w:sz w:val="17"/>
                <w:szCs w:val="17"/>
                <w:color w:val="auto"/>
                <w:w w:val="92"/>
              </w:rPr>
              <w:t>2/23/2017</w:t>
            </w: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40" w:type="dxa"/>
            <w:vAlign w:val="bottom"/>
            <w:tcBorders>
              <w:right w:val="single" w:sz="8" w:color="A0DBF9"/>
            </w:tcBorders>
          </w:tcPr>
          <w:p>
            <w:pPr>
              <w:spacing w:after="0"/>
              <w:rPr>
                <w:sz w:val="20"/>
                <w:szCs w:val="20"/>
                <w:color w:val="auto"/>
              </w:rPr>
            </w:pPr>
          </w:p>
        </w:tc>
        <w:tc>
          <w:tcPr>
            <w:tcW w:w="900" w:type="dxa"/>
            <w:vAlign w:val="bottom"/>
            <w:tcBorders>
              <w:right w:val="single" w:sz="8" w:color="A0DBF9"/>
            </w:tcBorders>
          </w:tcPr>
          <w:p>
            <w:pPr>
              <w:spacing w:after="0"/>
              <w:rPr>
                <w:sz w:val="20"/>
                <w:szCs w:val="20"/>
                <w:color w:val="auto"/>
              </w:rPr>
            </w:pPr>
          </w:p>
        </w:tc>
        <w:tc>
          <w:tcPr>
            <w:tcW w:w="96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2"/>
              </w:rPr>
              <w:t>17,186</w:t>
            </w:r>
          </w:p>
        </w:tc>
        <w:tc>
          <w:tcPr>
            <w:tcW w:w="76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3"/>
              </w:rPr>
              <w:t>$352,485</w:t>
            </w:r>
          </w:p>
        </w:tc>
        <w:tc>
          <w:tcPr>
            <w:tcW w:w="0" w:type="dxa"/>
            <w:vAlign w:val="bottom"/>
          </w:tcPr>
          <w:p>
            <w:pPr>
              <w:spacing w:after="0"/>
              <w:rPr>
                <w:sz w:val="1"/>
                <w:szCs w:val="1"/>
                <w:color w:val="auto"/>
              </w:rPr>
            </w:pPr>
          </w:p>
        </w:tc>
      </w:tr>
      <w:tr>
        <w:trPr>
          <w:trHeight w:val="72"/>
        </w:trPr>
        <w:tc>
          <w:tcPr>
            <w:tcW w:w="1160" w:type="dxa"/>
            <w:vAlign w:val="bottom"/>
            <w:tcBorders>
              <w:left w:val="single" w:sz="8" w:color="A0DBF9"/>
              <w:bottom w:val="single" w:sz="8" w:color="A0DBF9"/>
              <w:right w:val="single" w:sz="8" w:color="A0DBF9"/>
            </w:tcBorders>
          </w:tcPr>
          <w:p>
            <w:pPr>
              <w:spacing w:after="0"/>
              <w:rPr>
                <w:sz w:val="6"/>
                <w:szCs w:val="6"/>
                <w:color w:val="auto"/>
              </w:rPr>
            </w:pPr>
          </w:p>
        </w:tc>
        <w:tc>
          <w:tcPr>
            <w:tcW w:w="11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40" w:type="dxa"/>
            <w:vAlign w:val="bottom"/>
            <w:tcBorders>
              <w:bottom w:val="single" w:sz="8" w:color="A0DBF9"/>
              <w:right w:val="single" w:sz="8" w:color="A0DBF9"/>
            </w:tcBorders>
          </w:tcPr>
          <w:p>
            <w:pPr>
              <w:spacing w:after="0"/>
              <w:rPr>
                <w:sz w:val="6"/>
                <w:szCs w:val="6"/>
                <w:color w:val="auto"/>
              </w:rPr>
            </w:pPr>
          </w:p>
        </w:tc>
        <w:tc>
          <w:tcPr>
            <w:tcW w:w="900" w:type="dxa"/>
            <w:vAlign w:val="bottom"/>
            <w:tcBorders>
              <w:bottom w:val="single" w:sz="8" w:color="A0DBF9"/>
              <w:right w:val="single" w:sz="8" w:color="A0DBF9"/>
            </w:tcBorders>
          </w:tcPr>
          <w:p>
            <w:pPr>
              <w:spacing w:after="0"/>
              <w:rPr>
                <w:sz w:val="6"/>
                <w:szCs w:val="6"/>
                <w:color w:val="auto"/>
              </w:rPr>
            </w:pPr>
          </w:p>
        </w:tc>
        <w:tc>
          <w:tcPr>
            <w:tcW w:w="96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760" w:type="dxa"/>
            <w:vAlign w:val="bottom"/>
            <w:tcBorders>
              <w:bottom w:val="single" w:sz="8" w:color="A0DBF9"/>
              <w:right w:val="single" w:sz="8" w:color="A0DBF9"/>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tcPr>
          <w:p>
            <w:pPr>
              <w:ind w:left="320"/>
              <w:spacing w:after="0"/>
              <w:rPr>
                <w:sz w:val="20"/>
                <w:szCs w:val="20"/>
                <w:color w:val="auto"/>
              </w:rPr>
            </w:pPr>
            <w:r>
              <w:rPr>
                <w:rFonts w:ascii="Arial" w:cs="Arial" w:eastAsia="Arial" w:hAnsi="Arial"/>
                <w:sz w:val="17"/>
                <w:szCs w:val="17"/>
                <w:color w:val="auto"/>
              </w:rPr>
              <w:t>PSAs</w:t>
            </w:r>
            <w:r>
              <w:rPr>
                <w:rFonts w:ascii="Arial" w:cs="Arial" w:eastAsia="Arial" w:hAnsi="Arial"/>
                <w:sz w:val="14"/>
                <w:szCs w:val="14"/>
                <w:color w:val="auto"/>
              </w:rPr>
              <w:t>(7)</w:t>
            </w:r>
          </w:p>
        </w:tc>
        <w:tc>
          <w:tcPr>
            <w:tcW w:w="112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0"/>
              </w:rPr>
              <w:t>3/5/2018</w:t>
            </w: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40" w:type="dxa"/>
            <w:vAlign w:val="bottom"/>
            <w:tcBorders>
              <w:right w:val="single" w:sz="8" w:color="A0DBF9"/>
            </w:tcBorders>
          </w:tcPr>
          <w:p>
            <w:pPr>
              <w:spacing w:after="0"/>
              <w:rPr>
                <w:sz w:val="20"/>
                <w:szCs w:val="20"/>
                <w:color w:val="auto"/>
              </w:rPr>
            </w:pPr>
          </w:p>
        </w:tc>
        <w:tc>
          <w:tcPr>
            <w:tcW w:w="900" w:type="dxa"/>
            <w:vAlign w:val="bottom"/>
            <w:tcBorders>
              <w:right w:val="single" w:sz="8" w:color="A0DBF9"/>
            </w:tcBorders>
          </w:tcPr>
          <w:p>
            <w:pPr>
              <w:spacing w:after="0"/>
              <w:rPr>
                <w:sz w:val="20"/>
                <w:szCs w:val="20"/>
                <w:color w:val="auto"/>
              </w:rPr>
            </w:pPr>
          </w:p>
        </w:tc>
        <w:tc>
          <w:tcPr>
            <w:tcW w:w="96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2"/>
              </w:rPr>
              <w:t>12,484</w:t>
            </w:r>
          </w:p>
        </w:tc>
        <w:tc>
          <w:tcPr>
            <w:tcW w:w="76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3"/>
              </w:rPr>
              <w:t>$256,047</w:t>
            </w:r>
          </w:p>
        </w:tc>
        <w:tc>
          <w:tcPr>
            <w:tcW w:w="0" w:type="dxa"/>
            <w:vAlign w:val="bottom"/>
          </w:tcPr>
          <w:p>
            <w:pPr>
              <w:spacing w:after="0"/>
              <w:rPr>
                <w:sz w:val="1"/>
                <w:szCs w:val="1"/>
                <w:color w:val="auto"/>
              </w:rPr>
            </w:pPr>
          </w:p>
        </w:tc>
      </w:tr>
      <w:tr>
        <w:trPr>
          <w:trHeight w:val="71"/>
        </w:trPr>
        <w:tc>
          <w:tcPr>
            <w:tcW w:w="1160" w:type="dxa"/>
            <w:vAlign w:val="bottom"/>
            <w:tcBorders>
              <w:left w:val="single" w:sz="8" w:color="A0DBF9"/>
              <w:bottom w:val="single" w:sz="8" w:color="A0DBF9"/>
              <w:right w:val="single" w:sz="8" w:color="A0DBF9"/>
            </w:tcBorders>
          </w:tcPr>
          <w:p>
            <w:pPr>
              <w:spacing w:after="0"/>
              <w:rPr>
                <w:sz w:val="6"/>
                <w:szCs w:val="6"/>
                <w:color w:val="auto"/>
              </w:rPr>
            </w:pPr>
          </w:p>
        </w:tc>
        <w:tc>
          <w:tcPr>
            <w:tcW w:w="11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40" w:type="dxa"/>
            <w:vAlign w:val="bottom"/>
            <w:tcBorders>
              <w:bottom w:val="single" w:sz="8" w:color="A0DBF9"/>
              <w:right w:val="single" w:sz="8" w:color="A0DBF9"/>
            </w:tcBorders>
          </w:tcPr>
          <w:p>
            <w:pPr>
              <w:spacing w:after="0"/>
              <w:rPr>
                <w:sz w:val="6"/>
                <w:szCs w:val="6"/>
                <w:color w:val="auto"/>
              </w:rPr>
            </w:pPr>
          </w:p>
        </w:tc>
        <w:tc>
          <w:tcPr>
            <w:tcW w:w="900" w:type="dxa"/>
            <w:vAlign w:val="bottom"/>
            <w:tcBorders>
              <w:bottom w:val="single" w:sz="8" w:color="A0DBF9"/>
              <w:right w:val="single" w:sz="8" w:color="A0DBF9"/>
            </w:tcBorders>
          </w:tcPr>
          <w:p>
            <w:pPr>
              <w:spacing w:after="0"/>
              <w:rPr>
                <w:sz w:val="6"/>
                <w:szCs w:val="6"/>
                <w:color w:val="auto"/>
              </w:rPr>
            </w:pPr>
          </w:p>
        </w:tc>
        <w:tc>
          <w:tcPr>
            <w:tcW w:w="96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760" w:type="dxa"/>
            <w:vAlign w:val="bottom"/>
            <w:tcBorders>
              <w:bottom w:val="single" w:sz="8" w:color="A0DBF9"/>
              <w:right w:val="single" w:sz="8" w:color="A0DBF9"/>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tcPr>
          <w:p>
            <w:pPr>
              <w:ind w:left="320"/>
              <w:spacing w:after="0"/>
              <w:rPr>
                <w:sz w:val="20"/>
                <w:szCs w:val="20"/>
                <w:color w:val="auto"/>
              </w:rPr>
            </w:pPr>
            <w:r>
              <w:rPr>
                <w:rFonts w:ascii="Arial" w:cs="Arial" w:eastAsia="Arial" w:hAnsi="Arial"/>
                <w:sz w:val="17"/>
                <w:szCs w:val="17"/>
                <w:color w:val="auto"/>
              </w:rPr>
              <w:t>PSUs</w:t>
            </w:r>
            <w:r>
              <w:rPr>
                <w:rFonts w:ascii="Arial" w:cs="Arial" w:eastAsia="Arial" w:hAnsi="Arial"/>
                <w:sz w:val="14"/>
                <w:szCs w:val="14"/>
                <w:color w:val="auto"/>
              </w:rPr>
              <w:t>(8)</w:t>
            </w:r>
          </w:p>
        </w:tc>
        <w:tc>
          <w:tcPr>
            <w:tcW w:w="1120" w:type="dxa"/>
            <w:vAlign w:val="bottom"/>
            <w:tcBorders>
              <w:right w:val="single" w:sz="8" w:color="A0DBF9"/>
            </w:tcBorders>
          </w:tcPr>
          <w:p>
            <w:pPr>
              <w:jc w:val="center"/>
              <w:ind w:left="9"/>
              <w:spacing w:after="0"/>
              <w:rPr>
                <w:sz w:val="20"/>
                <w:szCs w:val="20"/>
                <w:color w:val="auto"/>
              </w:rPr>
            </w:pPr>
            <w:r>
              <w:rPr>
                <w:rFonts w:ascii="Arial" w:cs="Arial" w:eastAsia="Arial" w:hAnsi="Arial"/>
                <w:sz w:val="17"/>
                <w:szCs w:val="17"/>
                <w:color w:val="auto"/>
                <w:w w:val="92"/>
              </w:rPr>
              <w:t>2/26/2019</w:t>
            </w: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40" w:type="dxa"/>
            <w:vAlign w:val="bottom"/>
            <w:tcBorders>
              <w:right w:val="single" w:sz="8" w:color="A0DBF9"/>
            </w:tcBorders>
          </w:tcPr>
          <w:p>
            <w:pPr>
              <w:spacing w:after="0"/>
              <w:rPr>
                <w:sz w:val="20"/>
                <w:szCs w:val="20"/>
                <w:color w:val="auto"/>
              </w:rPr>
            </w:pPr>
          </w:p>
        </w:tc>
        <w:tc>
          <w:tcPr>
            <w:tcW w:w="900" w:type="dxa"/>
            <w:vAlign w:val="bottom"/>
            <w:tcBorders>
              <w:right w:val="single" w:sz="8" w:color="A0DBF9"/>
            </w:tcBorders>
          </w:tcPr>
          <w:p>
            <w:pPr>
              <w:spacing w:after="0"/>
              <w:rPr>
                <w:sz w:val="20"/>
                <w:szCs w:val="20"/>
                <w:color w:val="auto"/>
              </w:rPr>
            </w:pPr>
          </w:p>
        </w:tc>
        <w:tc>
          <w:tcPr>
            <w:tcW w:w="96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spacing w:after="0"/>
              <w:rPr>
                <w:sz w:val="20"/>
                <w:szCs w:val="20"/>
                <w:color w:val="auto"/>
              </w:rPr>
            </w:pPr>
          </w:p>
        </w:tc>
        <w:tc>
          <w:tcPr>
            <w:tcW w:w="102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2"/>
              </w:rPr>
              <w:t>10,022</w:t>
            </w:r>
          </w:p>
        </w:tc>
        <w:tc>
          <w:tcPr>
            <w:tcW w:w="760" w:type="dxa"/>
            <w:vAlign w:val="bottom"/>
            <w:tcBorders>
              <w:right w:val="single" w:sz="8" w:color="A0DBF9"/>
            </w:tcBorders>
          </w:tcPr>
          <w:p>
            <w:pPr>
              <w:jc w:val="center"/>
              <w:spacing w:after="0"/>
              <w:rPr>
                <w:sz w:val="20"/>
                <w:szCs w:val="20"/>
                <w:color w:val="auto"/>
              </w:rPr>
            </w:pPr>
            <w:r>
              <w:rPr>
                <w:rFonts w:ascii="Arial" w:cs="Arial" w:eastAsia="Arial" w:hAnsi="Arial"/>
                <w:sz w:val="17"/>
                <w:szCs w:val="17"/>
                <w:color w:val="auto"/>
                <w:w w:val="93"/>
              </w:rPr>
              <w:t>$205,551</w:t>
            </w:r>
          </w:p>
        </w:tc>
        <w:tc>
          <w:tcPr>
            <w:tcW w:w="0" w:type="dxa"/>
            <w:vAlign w:val="bottom"/>
          </w:tcPr>
          <w:p>
            <w:pPr>
              <w:spacing w:after="0"/>
              <w:rPr>
                <w:sz w:val="1"/>
                <w:szCs w:val="1"/>
                <w:color w:val="auto"/>
              </w:rPr>
            </w:pPr>
          </w:p>
        </w:tc>
      </w:tr>
      <w:tr>
        <w:trPr>
          <w:trHeight w:val="72"/>
        </w:trPr>
        <w:tc>
          <w:tcPr>
            <w:tcW w:w="1160" w:type="dxa"/>
            <w:vAlign w:val="bottom"/>
            <w:tcBorders>
              <w:left w:val="single" w:sz="8" w:color="A0DBF9"/>
              <w:bottom w:val="single" w:sz="8" w:color="A0DBF9"/>
              <w:right w:val="single" w:sz="8" w:color="A0DBF9"/>
            </w:tcBorders>
          </w:tcPr>
          <w:p>
            <w:pPr>
              <w:spacing w:after="0"/>
              <w:rPr>
                <w:sz w:val="6"/>
                <w:szCs w:val="6"/>
                <w:color w:val="auto"/>
              </w:rPr>
            </w:pPr>
          </w:p>
        </w:tc>
        <w:tc>
          <w:tcPr>
            <w:tcW w:w="11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40" w:type="dxa"/>
            <w:vAlign w:val="bottom"/>
            <w:tcBorders>
              <w:bottom w:val="single" w:sz="8" w:color="A0DBF9"/>
              <w:right w:val="single" w:sz="8" w:color="A0DBF9"/>
            </w:tcBorders>
          </w:tcPr>
          <w:p>
            <w:pPr>
              <w:spacing w:after="0"/>
              <w:rPr>
                <w:sz w:val="6"/>
                <w:szCs w:val="6"/>
                <w:color w:val="auto"/>
              </w:rPr>
            </w:pPr>
          </w:p>
        </w:tc>
        <w:tc>
          <w:tcPr>
            <w:tcW w:w="900" w:type="dxa"/>
            <w:vAlign w:val="bottom"/>
            <w:tcBorders>
              <w:bottom w:val="single" w:sz="8" w:color="A0DBF9"/>
              <w:right w:val="single" w:sz="8" w:color="A0DBF9"/>
            </w:tcBorders>
          </w:tcPr>
          <w:p>
            <w:pPr>
              <w:spacing w:after="0"/>
              <w:rPr>
                <w:sz w:val="6"/>
                <w:szCs w:val="6"/>
                <w:color w:val="auto"/>
              </w:rPr>
            </w:pPr>
          </w:p>
        </w:tc>
        <w:tc>
          <w:tcPr>
            <w:tcW w:w="96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760" w:type="dxa"/>
            <w:vAlign w:val="bottom"/>
            <w:tcBorders>
              <w:bottom w:val="single" w:sz="8" w:color="A0DBF9"/>
              <w:right w:val="single" w:sz="8" w:color="A0DBF9"/>
            </w:tcBorders>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2280" w:type="dxa"/>
            <w:vAlign w:val="bottom"/>
            <w:tcBorders>
              <w:left w:val="single" w:sz="8" w:color="A0DBF9"/>
              <w:right w:val="single" w:sz="8" w:color="E2F4FC"/>
            </w:tcBorders>
            <w:gridSpan w:val="2"/>
            <w:shd w:val="clear" w:color="auto" w:fill="E2F4FC"/>
          </w:tcPr>
          <w:p>
            <w:pPr>
              <w:ind w:left="240"/>
              <w:spacing w:after="0"/>
              <w:rPr>
                <w:sz w:val="20"/>
                <w:szCs w:val="20"/>
                <w:color w:val="auto"/>
              </w:rPr>
            </w:pPr>
            <w:r>
              <w:rPr>
                <w:rFonts w:ascii="Arial" w:cs="Arial" w:eastAsia="Arial" w:hAnsi="Arial"/>
                <w:sz w:val="17"/>
                <w:szCs w:val="17"/>
                <w:b w:val="1"/>
                <w:bCs w:val="1"/>
                <w:color w:val="auto"/>
              </w:rPr>
              <w:t>Simon Robinson, Ph.D.</w:t>
            </w: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4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96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76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1160" w:type="dxa"/>
            <w:vAlign w:val="bottom"/>
            <w:tcBorders>
              <w:left w:val="single" w:sz="8" w:color="A0DBF9"/>
              <w:bottom w:val="single" w:sz="8" w:color="A0DBF9"/>
              <w:right w:val="single" w:sz="8" w:color="E2F4FC"/>
            </w:tcBorders>
            <w:shd w:val="clear" w:color="auto" w:fill="E2F4FC"/>
          </w:tcPr>
          <w:p>
            <w:pPr>
              <w:spacing w:after="0"/>
              <w:rPr>
                <w:sz w:val="6"/>
                <w:szCs w:val="6"/>
                <w:color w:val="auto"/>
              </w:rPr>
            </w:pPr>
          </w:p>
        </w:tc>
        <w:tc>
          <w:tcPr>
            <w:tcW w:w="1120" w:type="dxa"/>
            <w:vAlign w:val="bottom"/>
            <w:tcBorders>
              <w:bottom w:val="single" w:sz="8" w:color="A0DBF9"/>
              <w:right w:val="single" w:sz="8" w:color="E2F4FC"/>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40" w:type="dxa"/>
            <w:vAlign w:val="bottom"/>
            <w:tcBorders>
              <w:bottom w:val="single" w:sz="8" w:color="A0DBF9"/>
              <w:right w:val="single" w:sz="8" w:color="A0DBF9"/>
            </w:tcBorders>
            <w:shd w:val="clear" w:color="auto" w:fill="E2F4FC"/>
          </w:tcPr>
          <w:p>
            <w:pPr>
              <w:spacing w:after="0"/>
              <w:rPr>
                <w:sz w:val="6"/>
                <w:szCs w:val="6"/>
                <w:color w:val="auto"/>
              </w:rPr>
            </w:pPr>
          </w:p>
        </w:tc>
        <w:tc>
          <w:tcPr>
            <w:tcW w:w="900" w:type="dxa"/>
            <w:vAlign w:val="bottom"/>
            <w:tcBorders>
              <w:bottom w:val="single" w:sz="8" w:color="A0DBF9"/>
              <w:right w:val="single" w:sz="8" w:color="A0DBF9"/>
            </w:tcBorders>
            <w:shd w:val="clear" w:color="auto" w:fill="E2F4FC"/>
          </w:tcPr>
          <w:p>
            <w:pPr>
              <w:spacing w:after="0"/>
              <w:rPr>
                <w:sz w:val="6"/>
                <w:szCs w:val="6"/>
                <w:color w:val="auto"/>
              </w:rPr>
            </w:pPr>
          </w:p>
        </w:tc>
        <w:tc>
          <w:tcPr>
            <w:tcW w:w="96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760" w:type="dxa"/>
            <w:vAlign w:val="bottom"/>
            <w:tcBorders>
              <w:bottom w:val="single" w:sz="8" w:color="A0DBF9"/>
              <w:right w:val="single" w:sz="8" w:color="A0DBF9"/>
            </w:tcBorders>
            <w:shd w:val="clear" w:color="auto" w:fill="E2F4FC"/>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7"/>
                <w:szCs w:val="17"/>
                <w:color w:val="auto"/>
              </w:rPr>
              <w:t>Options</w:t>
            </w:r>
          </w:p>
        </w:tc>
        <w:tc>
          <w:tcPr>
            <w:tcW w:w="11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4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96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76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1160" w:type="dxa"/>
            <w:vAlign w:val="bottom"/>
            <w:tcBorders>
              <w:left w:val="single" w:sz="8" w:color="A0DBF9"/>
              <w:bottom w:val="single" w:sz="8" w:color="A0DBF9"/>
              <w:right w:val="single" w:sz="8" w:color="A0DBF9"/>
            </w:tcBorders>
            <w:shd w:val="clear" w:color="auto" w:fill="E2F4FC"/>
          </w:tcPr>
          <w:p>
            <w:pPr>
              <w:spacing w:after="0"/>
              <w:rPr>
                <w:sz w:val="6"/>
                <w:szCs w:val="6"/>
                <w:color w:val="auto"/>
              </w:rPr>
            </w:pPr>
          </w:p>
        </w:tc>
        <w:tc>
          <w:tcPr>
            <w:tcW w:w="11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40" w:type="dxa"/>
            <w:vAlign w:val="bottom"/>
            <w:tcBorders>
              <w:bottom w:val="single" w:sz="8" w:color="A0DBF9"/>
              <w:right w:val="single" w:sz="8" w:color="A0DBF9"/>
            </w:tcBorders>
            <w:shd w:val="clear" w:color="auto" w:fill="E2F4FC"/>
          </w:tcPr>
          <w:p>
            <w:pPr>
              <w:spacing w:after="0"/>
              <w:rPr>
                <w:sz w:val="6"/>
                <w:szCs w:val="6"/>
                <w:color w:val="auto"/>
              </w:rPr>
            </w:pPr>
          </w:p>
        </w:tc>
        <w:tc>
          <w:tcPr>
            <w:tcW w:w="900" w:type="dxa"/>
            <w:vAlign w:val="bottom"/>
            <w:tcBorders>
              <w:bottom w:val="single" w:sz="8" w:color="A0DBF9"/>
              <w:right w:val="single" w:sz="8" w:color="A0DBF9"/>
            </w:tcBorders>
            <w:shd w:val="clear" w:color="auto" w:fill="E2F4FC"/>
          </w:tcPr>
          <w:p>
            <w:pPr>
              <w:spacing w:after="0"/>
              <w:rPr>
                <w:sz w:val="6"/>
                <w:szCs w:val="6"/>
                <w:color w:val="auto"/>
              </w:rPr>
            </w:pPr>
          </w:p>
        </w:tc>
        <w:tc>
          <w:tcPr>
            <w:tcW w:w="96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760" w:type="dxa"/>
            <w:vAlign w:val="bottom"/>
            <w:tcBorders>
              <w:bottom w:val="single" w:sz="8" w:color="A0DBF9"/>
              <w:right w:val="single" w:sz="8" w:color="A0DBF9"/>
            </w:tcBorders>
            <w:shd w:val="clear" w:color="auto" w:fill="E2F4FC"/>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shd w:val="clear" w:color="auto" w:fill="E2F4FC"/>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shd w:val="clear" w:color="auto" w:fill="E2F4FC"/>
          </w:tcPr>
          <w:p>
            <w:pPr>
              <w:jc w:val="center"/>
              <w:ind w:left="9"/>
              <w:spacing w:after="0" w:line="40" w:lineRule="exact"/>
              <w:rPr>
                <w:sz w:val="20"/>
                <w:szCs w:val="20"/>
                <w:color w:val="auto"/>
              </w:rPr>
            </w:pPr>
            <w:r>
              <w:rPr>
                <w:rFonts w:ascii="Arial" w:cs="Arial" w:eastAsia="Arial" w:hAnsi="Arial"/>
                <w:sz w:val="4"/>
                <w:szCs w:val="4"/>
                <w:color w:val="auto"/>
              </w:rPr>
              <w:t>04/26/2016</w:t>
            </w:r>
          </w:p>
        </w:tc>
        <w:tc>
          <w:tcPr>
            <w:tcW w:w="102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spacing w:after="0"/>
              <w:rPr>
                <w:sz w:val="3"/>
                <w:szCs w:val="3"/>
                <w:color w:val="auto"/>
              </w:rPr>
            </w:pPr>
          </w:p>
        </w:tc>
        <w:tc>
          <w:tcPr>
            <w:tcW w:w="1040" w:type="dxa"/>
            <w:vAlign w:val="bottom"/>
            <w:tcBorders>
              <w:right w:val="single" w:sz="8" w:color="A0DBF9"/>
            </w:tcBorders>
            <w:shd w:val="clear" w:color="auto" w:fill="E2F4FC"/>
          </w:tcPr>
          <w:p>
            <w:pPr>
              <w:spacing w:after="0"/>
              <w:rPr>
                <w:sz w:val="3"/>
                <w:szCs w:val="3"/>
                <w:color w:val="auto"/>
              </w:rPr>
            </w:pPr>
          </w:p>
        </w:tc>
        <w:tc>
          <w:tcPr>
            <w:tcW w:w="900" w:type="dxa"/>
            <w:vAlign w:val="bottom"/>
            <w:tcBorders>
              <w:right w:val="single" w:sz="8" w:color="A0DBF9"/>
            </w:tcBorders>
            <w:shd w:val="clear" w:color="auto" w:fill="E2F4FC"/>
          </w:tcPr>
          <w:p>
            <w:pPr>
              <w:spacing w:after="0"/>
              <w:rPr>
                <w:sz w:val="3"/>
                <w:szCs w:val="3"/>
                <w:color w:val="auto"/>
              </w:rPr>
            </w:pPr>
          </w:p>
        </w:tc>
        <w:tc>
          <w:tcPr>
            <w:tcW w:w="96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jc w:val="center"/>
              <w:ind w:left="17"/>
              <w:spacing w:after="0" w:line="40" w:lineRule="exact"/>
              <w:rPr>
                <w:sz w:val="20"/>
                <w:szCs w:val="20"/>
                <w:color w:val="auto"/>
              </w:rPr>
            </w:pPr>
            <w:r>
              <w:rPr>
                <w:rFonts w:ascii="Arial" w:cs="Arial" w:eastAsia="Arial" w:hAnsi="Arial"/>
                <w:sz w:val="4"/>
                <w:szCs w:val="4"/>
                <w:color w:val="auto"/>
              </w:rPr>
              <w:t>12,500</w:t>
            </w:r>
          </w:p>
        </w:tc>
        <w:tc>
          <w:tcPr>
            <w:tcW w:w="1020" w:type="dxa"/>
            <w:vAlign w:val="bottom"/>
            <w:tcBorders>
              <w:right w:val="single" w:sz="8" w:color="A0DBF9"/>
            </w:tcBorders>
            <w:shd w:val="clear" w:color="auto" w:fill="E2F4FC"/>
          </w:tcPr>
          <w:p>
            <w:pPr>
              <w:jc w:val="center"/>
              <w:ind w:left="18"/>
              <w:spacing w:after="0" w:line="40" w:lineRule="exact"/>
              <w:rPr>
                <w:sz w:val="20"/>
                <w:szCs w:val="20"/>
                <w:color w:val="auto"/>
              </w:rPr>
            </w:pPr>
            <w:r>
              <w:rPr>
                <w:rFonts w:ascii="Arial" w:cs="Arial" w:eastAsia="Arial" w:hAnsi="Arial"/>
                <w:sz w:val="4"/>
                <w:szCs w:val="4"/>
                <w:color w:val="auto"/>
              </w:rPr>
              <w:t>$256,375</w:t>
            </w:r>
          </w:p>
        </w:tc>
        <w:tc>
          <w:tcPr>
            <w:tcW w:w="1020" w:type="dxa"/>
            <w:vAlign w:val="bottom"/>
            <w:tcBorders>
              <w:right w:val="single" w:sz="8" w:color="A0DBF9"/>
            </w:tcBorders>
            <w:shd w:val="clear" w:color="auto" w:fill="E2F4FC"/>
          </w:tcPr>
          <w:p>
            <w:pPr>
              <w:spacing w:after="0"/>
              <w:rPr>
                <w:sz w:val="3"/>
                <w:szCs w:val="3"/>
                <w:color w:val="auto"/>
              </w:rPr>
            </w:pPr>
          </w:p>
        </w:tc>
        <w:tc>
          <w:tcPr>
            <w:tcW w:w="760" w:type="dxa"/>
            <w:vAlign w:val="bottom"/>
            <w:tcBorders>
              <w:right w:val="single" w:sz="8" w:color="A0DBF9"/>
            </w:tcBorders>
            <w:shd w:val="clear" w:color="auto" w:fill="E2F4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5"/>
                <w:szCs w:val="15"/>
                <w:color w:val="auto"/>
              </w:rPr>
              <w:t>(3)</w:t>
            </w:r>
          </w:p>
        </w:tc>
        <w:tc>
          <w:tcPr>
            <w:tcW w:w="11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40" w:type="dxa"/>
            <w:vAlign w:val="bottom"/>
            <w:tcBorders>
              <w:right w:val="single" w:sz="8" w:color="A0DBF9"/>
            </w:tcBorders>
            <w:shd w:val="clear" w:color="auto" w:fill="E2F4FC"/>
          </w:tcPr>
          <w:p>
            <w:pPr>
              <w:spacing w:after="0"/>
              <w:rPr>
                <w:sz w:val="15"/>
                <w:szCs w:val="15"/>
                <w:color w:val="auto"/>
              </w:rPr>
            </w:pPr>
          </w:p>
        </w:tc>
        <w:tc>
          <w:tcPr>
            <w:tcW w:w="900" w:type="dxa"/>
            <w:vAlign w:val="bottom"/>
            <w:tcBorders>
              <w:right w:val="single" w:sz="8" w:color="A0DBF9"/>
            </w:tcBorders>
            <w:shd w:val="clear" w:color="auto" w:fill="E2F4FC"/>
          </w:tcPr>
          <w:p>
            <w:pPr>
              <w:spacing w:after="0"/>
              <w:rPr>
                <w:sz w:val="15"/>
                <w:szCs w:val="15"/>
                <w:color w:val="auto"/>
              </w:rPr>
            </w:pPr>
          </w:p>
        </w:tc>
        <w:tc>
          <w:tcPr>
            <w:tcW w:w="96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760" w:type="dxa"/>
            <w:vAlign w:val="bottom"/>
            <w:tcBorders>
              <w:right w:val="single" w:sz="8" w:color="A0DBF9"/>
            </w:tcBorders>
            <w:shd w:val="clear" w:color="auto" w:fill="E2F4F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1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4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96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76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shd w:val="clear" w:color="auto" w:fill="E2F4FC"/>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shd w:val="clear" w:color="auto" w:fill="E2F4FC"/>
          </w:tcPr>
          <w:p>
            <w:pPr>
              <w:jc w:val="center"/>
              <w:ind w:left="9"/>
              <w:spacing w:after="0" w:line="40" w:lineRule="exact"/>
              <w:rPr>
                <w:sz w:val="20"/>
                <w:szCs w:val="20"/>
                <w:color w:val="auto"/>
              </w:rPr>
            </w:pPr>
            <w:r>
              <w:rPr>
                <w:rFonts w:ascii="Arial" w:cs="Arial" w:eastAsia="Arial" w:hAnsi="Arial"/>
                <w:sz w:val="4"/>
                <w:szCs w:val="4"/>
                <w:color w:val="auto"/>
              </w:rPr>
              <w:t>02/23/2017</w:t>
            </w:r>
          </w:p>
        </w:tc>
        <w:tc>
          <w:tcPr>
            <w:tcW w:w="102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spacing w:after="0"/>
              <w:rPr>
                <w:sz w:val="3"/>
                <w:szCs w:val="3"/>
                <w:color w:val="auto"/>
              </w:rPr>
            </w:pPr>
          </w:p>
        </w:tc>
        <w:tc>
          <w:tcPr>
            <w:tcW w:w="1040" w:type="dxa"/>
            <w:vAlign w:val="bottom"/>
            <w:tcBorders>
              <w:right w:val="single" w:sz="8" w:color="A0DBF9"/>
            </w:tcBorders>
            <w:shd w:val="clear" w:color="auto" w:fill="E2F4FC"/>
          </w:tcPr>
          <w:p>
            <w:pPr>
              <w:spacing w:after="0"/>
              <w:rPr>
                <w:sz w:val="3"/>
                <w:szCs w:val="3"/>
                <w:color w:val="auto"/>
              </w:rPr>
            </w:pPr>
          </w:p>
        </w:tc>
        <w:tc>
          <w:tcPr>
            <w:tcW w:w="900" w:type="dxa"/>
            <w:vAlign w:val="bottom"/>
            <w:tcBorders>
              <w:right w:val="single" w:sz="8" w:color="A0DBF9"/>
            </w:tcBorders>
            <w:shd w:val="clear" w:color="auto" w:fill="E2F4FC"/>
          </w:tcPr>
          <w:p>
            <w:pPr>
              <w:spacing w:after="0"/>
              <w:rPr>
                <w:sz w:val="3"/>
                <w:szCs w:val="3"/>
                <w:color w:val="auto"/>
              </w:rPr>
            </w:pPr>
          </w:p>
        </w:tc>
        <w:tc>
          <w:tcPr>
            <w:tcW w:w="96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jc w:val="center"/>
              <w:ind w:left="17"/>
              <w:spacing w:after="0" w:line="40" w:lineRule="exact"/>
              <w:rPr>
                <w:sz w:val="20"/>
                <w:szCs w:val="20"/>
                <w:color w:val="auto"/>
              </w:rPr>
            </w:pPr>
            <w:r>
              <w:rPr>
                <w:rFonts w:ascii="Arial" w:cs="Arial" w:eastAsia="Arial" w:hAnsi="Arial"/>
                <w:sz w:val="4"/>
                <w:szCs w:val="4"/>
                <w:color w:val="auto"/>
              </w:rPr>
              <w:t>4,607</w:t>
            </w:r>
          </w:p>
        </w:tc>
        <w:tc>
          <w:tcPr>
            <w:tcW w:w="1020" w:type="dxa"/>
            <w:vAlign w:val="bottom"/>
            <w:tcBorders>
              <w:right w:val="single" w:sz="8" w:color="A0DBF9"/>
            </w:tcBorders>
            <w:shd w:val="clear" w:color="auto" w:fill="E2F4FC"/>
          </w:tcPr>
          <w:p>
            <w:pPr>
              <w:jc w:val="center"/>
              <w:ind w:left="18"/>
              <w:spacing w:after="0" w:line="40" w:lineRule="exact"/>
              <w:rPr>
                <w:sz w:val="20"/>
                <w:szCs w:val="20"/>
                <w:color w:val="auto"/>
              </w:rPr>
            </w:pPr>
            <w:r>
              <w:rPr>
                <w:rFonts w:ascii="Arial" w:cs="Arial" w:eastAsia="Arial" w:hAnsi="Arial"/>
                <w:sz w:val="4"/>
                <w:szCs w:val="4"/>
                <w:color w:val="auto"/>
              </w:rPr>
              <w:t>$94,490</w:t>
            </w:r>
          </w:p>
        </w:tc>
        <w:tc>
          <w:tcPr>
            <w:tcW w:w="1020" w:type="dxa"/>
            <w:vAlign w:val="bottom"/>
            <w:tcBorders>
              <w:right w:val="single" w:sz="8" w:color="A0DBF9"/>
            </w:tcBorders>
            <w:shd w:val="clear" w:color="auto" w:fill="E2F4FC"/>
          </w:tcPr>
          <w:p>
            <w:pPr>
              <w:spacing w:after="0"/>
              <w:rPr>
                <w:sz w:val="3"/>
                <w:szCs w:val="3"/>
                <w:color w:val="auto"/>
              </w:rPr>
            </w:pPr>
          </w:p>
        </w:tc>
        <w:tc>
          <w:tcPr>
            <w:tcW w:w="760" w:type="dxa"/>
            <w:vAlign w:val="bottom"/>
            <w:tcBorders>
              <w:right w:val="single" w:sz="8" w:color="A0DBF9"/>
            </w:tcBorders>
            <w:shd w:val="clear" w:color="auto" w:fill="E2F4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5"/>
                <w:szCs w:val="15"/>
                <w:color w:val="auto"/>
              </w:rPr>
              <w:t>(4)</w:t>
            </w:r>
          </w:p>
        </w:tc>
        <w:tc>
          <w:tcPr>
            <w:tcW w:w="11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40" w:type="dxa"/>
            <w:vAlign w:val="bottom"/>
            <w:tcBorders>
              <w:right w:val="single" w:sz="8" w:color="A0DBF9"/>
            </w:tcBorders>
            <w:shd w:val="clear" w:color="auto" w:fill="E2F4FC"/>
          </w:tcPr>
          <w:p>
            <w:pPr>
              <w:spacing w:after="0"/>
              <w:rPr>
                <w:sz w:val="15"/>
                <w:szCs w:val="15"/>
                <w:color w:val="auto"/>
              </w:rPr>
            </w:pPr>
          </w:p>
        </w:tc>
        <w:tc>
          <w:tcPr>
            <w:tcW w:w="900" w:type="dxa"/>
            <w:vAlign w:val="bottom"/>
            <w:tcBorders>
              <w:right w:val="single" w:sz="8" w:color="A0DBF9"/>
            </w:tcBorders>
            <w:shd w:val="clear" w:color="auto" w:fill="E2F4FC"/>
          </w:tcPr>
          <w:p>
            <w:pPr>
              <w:spacing w:after="0"/>
              <w:rPr>
                <w:sz w:val="15"/>
                <w:szCs w:val="15"/>
                <w:color w:val="auto"/>
              </w:rPr>
            </w:pPr>
          </w:p>
        </w:tc>
        <w:tc>
          <w:tcPr>
            <w:tcW w:w="96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760" w:type="dxa"/>
            <w:vAlign w:val="bottom"/>
            <w:tcBorders>
              <w:right w:val="single" w:sz="8" w:color="A0DBF9"/>
            </w:tcBorders>
            <w:shd w:val="clear" w:color="auto" w:fill="E2F4F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1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4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96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76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shd w:val="clear" w:color="auto" w:fill="E2F4FC"/>
          </w:tcPr>
          <w:p>
            <w:pPr>
              <w:ind w:left="320"/>
              <w:spacing w:after="0" w:line="40" w:lineRule="exact"/>
              <w:rPr>
                <w:sz w:val="20"/>
                <w:szCs w:val="20"/>
                <w:color w:val="auto"/>
              </w:rPr>
            </w:pPr>
            <w:r>
              <w:rPr>
                <w:rFonts w:ascii="Arial" w:cs="Arial" w:eastAsia="Arial" w:hAnsi="Arial"/>
                <w:sz w:val="4"/>
                <w:szCs w:val="4"/>
                <w:color w:val="auto"/>
              </w:rPr>
              <w:t>RSAs</w:t>
            </w:r>
          </w:p>
        </w:tc>
        <w:tc>
          <w:tcPr>
            <w:tcW w:w="1120" w:type="dxa"/>
            <w:vAlign w:val="bottom"/>
            <w:tcBorders>
              <w:right w:val="single" w:sz="8" w:color="A0DBF9"/>
            </w:tcBorders>
            <w:shd w:val="clear" w:color="auto" w:fill="E2F4FC"/>
          </w:tcPr>
          <w:p>
            <w:pPr>
              <w:jc w:val="center"/>
              <w:ind w:left="9"/>
              <w:spacing w:after="0" w:line="40" w:lineRule="exact"/>
              <w:rPr>
                <w:sz w:val="20"/>
                <w:szCs w:val="20"/>
                <w:color w:val="auto"/>
              </w:rPr>
            </w:pPr>
            <w:r>
              <w:rPr>
                <w:rFonts w:ascii="Arial" w:cs="Arial" w:eastAsia="Arial" w:hAnsi="Arial"/>
                <w:sz w:val="4"/>
                <w:szCs w:val="4"/>
                <w:color w:val="auto"/>
              </w:rPr>
              <w:t>03/05/2018</w:t>
            </w:r>
          </w:p>
        </w:tc>
        <w:tc>
          <w:tcPr>
            <w:tcW w:w="102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spacing w:after="0"/>
              <w:rPr>
                <w:sz w:val="3"/>
                <w:szCs w:val="3"/>
                <w:color w:val="auto"/>
              </w:rPr>
            </w:pPr>
          </w:p>
        </w:tc>
        <w:tc>
          <w:tcPr>
            <w:tcW w:w="1040" w:type="dxa"/>
            <w:vAlign w:val="bottom"/>
            <w:tcBorders>
              <w:right w:val="single" w:sz="8" w:color="A0DBF9"/>
            </w:tcBorders>
            <w:shd w:val="clear" w:color="auto" w:fill="E2F4FC"/>
          </w:tcPr>
          <w:p>
            <w:pPr>
              <w:spacing w:after="0"/>
              <w:rPr>
                <w:sz w:val="3"/>
                <w:szCs w:val="3"/>
                <w:color w:val="auto"/>
              </w:rPr>
            </w:pPr>
          </w:p>
        </w:tc>
        <w:tc>
          <w:tcPr>
            <w:tcW w:w="900" w:type="dxa"/>
            <w:vAlign w:val="bottom"/>
            <w:tcBorders>
              <w:right w:val="single" w:sz="8" w:color="A0DBF9"/>
            </w:tcBorders>
            <w:shd w:val="clear" w:color="auto" w:fill="E2F4FC"/>
          </w:tcPr>
          <w:p>
            <w:pPr>
              <w:spacing w:after="0"/>
              <w:rPr>
                <w:sz w:val="3"/>
                <w:szCs w:val="3"/>
                <w:color w:val="auto"/>
              </w:rPr>
            </w:pPr>
          </w:p>
        </w:tc>
        <w:tc>
          <w:tcPr>
            <w:tcW w:w="96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jc w:val="center"/>
              <w:ind w:left="17"/>
              <w:spacing w:after="0" w:line="40" w:lineRule="exact"/>
              <w:rPr>
                <w:sz w:val="20"/>
                <w:szCs w:val="20"/>
                <w:color w:val="auto"/>
              </w:rPr>
            </w:pPr>
            <w:r>
              <w:rPr>
                <w:rFonts w:ascii="Arial" w:cs="Arial" w:eastAsia="Arial" w:hAnsi="Arial"/>
                <w:sz w:val="4"/>
                <w:szCs w:val="4"/>
                <w:color w:val="auto"/>
              </w:rPr>
              <w:t>6,704</w:t>
            </w:r>
          </w:p>
        </w:tc>
        <w:tc>
          <w:tcPr>
            <w:tcW w:w="1020" w:type="dxa"/>
            <w:vAlign w:val="bottom"/>
            <w:tcBorders>
              <w:right w:val="single" w:sz="8" w:color="A0DBF9"/>
            </w:tcBorders>
            <w:shd w:val="clear" w:color="auto" w:fill="E2F4FC"/>
          </w:tcPr>
          <w:p>
            <w:pPr>
              <w:jc w:val="center"/>
              <w:ind w:left="18"/>
              <w:spacing w:after="0" w:line="40" w:lineRule="exact"/>
              <w:rPr>
                <w:sz w:val="20"/>
                <w:szCs w:val="20"/>
                <w:color w:val="auto"/>
              </w:rPr>
            </w:pPr>
            <w:r>
              <w:rPr>
                <w:rFonts w:ascii="Arial" w:cs="Arial" w:eastAsia="Arial" w:hAnsi="Arial"/>
                <w:sz w:val="4"/>
                <w:szCs w:val="4"/>
                <w:color w:val="auto"/>
              </w:rPr>
              <w:t>$137,499</w:t>
            </w:r>
          </w:p>
        </w:tc>
        <w:tc>
          <w:tcPr>
            <w:tcW w:w="1020" w:type="dxa"/>
            <w:vAlign w:val="bottom"/>
            <w:tcBorders>
              <w:right w:val="single" w:sz="8" w:color="A0DBF9"/>
            </w:tcBorders>
            <w:shd w:val="clear" w:color="auto" w:fill="E2F4FC"/>
          </w:tcPr>
          <w:p>
            <w:pPr>
              <w:spacing w:after="0"/>
              <w:rPr>
                <w:sz w:val="3"/>
                <w:szCs w:val="3"/>
                <w:color w:val="auto"/>
              </w:rPr>
            </w:pPr>
          </w:p>
        </w:tc>
        <w:tc>
          <w:tcPr>
            <w:tcW w:w="760" w:type="dxa"/>
            <w:vAlign w:val="bottom"/>
            <w:tcBorders>
              <w:right w:val="single" w:sz="8" w:color="A0DBF9"/>
            </w:tcBorders>
            <w:shd w:val="clear" w:color="auto" w:fill="E2F4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5"/>
                <w:szCs w:val="15"/>
                <w:color w:val="auto"/>
              </w:rPr>
              <w:t>(4)</w:t>
            </w:r>
          </w:p>
        </w:tc>
        <w:tc>
          <w:tcPr>
            <w:tcW w:w="11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40" w:type="dxa"/>
            <w:vAlign w:val="bottom"/>
            <w:tcBorders>
              <w:right w:val="single" w:sz="8" w:color="A0DBF9"/>
            </w:tcBorders>
            <w:shd w:val="clear" w:color="auto" w:fill="E2F4FC"/>
          </w:tcPr>
          <w:p>
            <w:pPr>
              <w:spacing w:after="0"/>
              <w:rPr>
                <w:sz w:val="15"/>
                <w:szCs w:val="15"/>
                <w:color w:val="auto"/>
              </w:rPr>
            </w:pPr>
          </w:p>
        </w:tc>
        <w:tc>
          <w:tcPr>
            <w:tcW w:w="900" w:type="dxa"/>
            <w:vAlign w:val="bottom"/>
            <w:tcBorders>
              <w:right w:val="single" w:sz="8" w:color="A0DBF9"/>
            </w:tcBorders>
            <w:shd w:val="clear" w:color="auto" w:fill="E2F4FC"/>
          </w:tcPr>
          <w:p>
            <w:pPr>
              <w:spacing w:after="0"/>
              <w:rPr>
                <w:sz w:val="15"/>
                <w:szCs w:val="15"/>
                <w:color w:val="auto"/>
              </w:rPr>
            </w:pPr>
          </w:p>
        </w:tc>
        <w:tc>
          <w:tcPr>
            <w:tcW w:w="96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760" w:type="dxa"/>
            <w:vAlign w:val="bottom"/>
            <w:tcBorders>
              <w:right w:val="single" w:sz="8" w:color="A0DBF9"/>
            </w:tcBorders>
            <w:shd w:val="clear" w:color="auto" w:fill="E2F4F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1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4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96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76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40"/>
        </w:trPr>
        <w:tc>
          <w:tcPr>
            <w:tcW w:w="1160" w:type="dxa"/>
            <w:vAlign w:val="bottom"/>
            <w:tcBorders>
              <w:left w:val="single" w:sz="8" w:color="A0DBF9"/>
              <w:right w:val="single" w:sz="8" w:color="A0DBF9"/>
            </w:tcBorders>
            <w:shd w:val="clear" w:color="auto" w:fill="E2F4FC"/>
          </w:tcPr>
          <w:p>
            <w:pPr>
              <w:ind w:left="320"/>
              <w:spacing w:after="0" w:line="40" w:lineRule="exact"/>
              <w:rPr>
                <w:sz w:val="20"/>
                <w:szCs w:val="20"/>
                <w:color w:val="auto"/>
              </w:rPr>
            </w:pPr>
            <w:r>
              <w:rPr>
                <w:rFonts w:ascii="Arial" w:cs="Arial" w:eastAsia="Arial" w:hAnsi="Arial"/>
                <w:sz w:val="4"/>
                <w:szCs w:val="4"/>
                <w:color w:val="auto"/>
              </w:rPr>
              <w:t>RSUs</w:t>
            </w:r>
          </w:p>
        </w:tc>
        <w:tc>
          <w:tcPr>
            <w:tcW w:w="1120" w:type="dxa"/>
            <w:vAlign w:val="bottom"/>
            <w:tcBorders>
              <w:right w:val="single" w:sz="8" w:color="A0DBF9"/>
            </w:tcBorders>
            <w:shd w:val="clear" w:color="auto" w:fill="E2F4FC"/>
          </w:tcPr>
          <w:p>
            <w:pPr>
              <w:jc w:val="center"/>
              <w:ind w:left="9"/>
              <w:spacing w:after="0" w:line="40" w:lineRule="exact"/>
              <w:rPr>
                <w:sz w:val="20"/>
                <w:szCs w:val="20"/>
                <w:color w:val="auto"/>
              </w:rPr>
            </w:pPr>
            <w:r>
              <w:rPr>
                <w:rFonts w:ascii="Arial" w:cs="Arial" w:eastAsia="Arial" w:hAnsi="Arial"/>
                <w:sz w:val="4"/>
                <w:szCs w:val="4"/>
                <w:color w:val="auto"/>
              </w:rPr>
              <w:t>02/26/2019</w:t>
            </w:r>
          </w:p>
        </w:tc>
        <w:tc>
          <w:tcPr>
            <w:tcW w:w="102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spacing w:after="0"/>
              <w:rPr>
                <w:sz w:val="3"/>
                <w:szCs w:val="3"/>
                <w:color w:val="auto"/>
              </w:rPr>
            </w:pPr>
          </w:p>
        </w:tc>
        <w:tc>
          <w:tcPr>
            <w:tcW w:w="1040" w:type="dxa"/>
            <w:vAlign w:val="bottom"/>
            <w:tcBorders>
              <w:right w:val="single" w:sz="8" w:color="A0DBF9"/>
            </w:tcBorders>
            <w:shd w:val="clear" w:color="auto" w:fill="E2F4FC"/>
          </w:tcPr>
          <w:p>
            <w:pPr>
              <w:spacing w:after="0"/>
              <w:rPr>
                <w:sz w:val="3"/>
                <w:szCs w:val="3"/>
                <w:color w:val="auto"/>
              </w:rPr>
            </w:pPr>
          </w:p>
        </w:tc>
        <w:tc>
          <w:tcPr>
            <w:tcW w:w="900" w:type="dxa"/>
            <w:vAlign w:val="bottom"/>
            <w:tcBorders>
              <w:right w:val="single" w:sz="8" w:color="A0DBF9"/>
            </w:tcBorders>
            <w:shd w:val="clear" w:color="auto" w:fill="E2F4FC"/>
          </w:tcPr>
          <w:p>
            <w:pPr>
              <w:spacing w:after="0"/>
              <w:rPr>
                <w:sz w:val="3"/>
                <w:szCs w:val="3"/>
                <w:color w:val="auto"/>
              </w:rPr>
            </w:pPr>
          </w:p>
        </w:tc>
        <w:tc>
          <w:tcPr>
            <w:tcW w:w="960" w:type="dxa"/>
            <w:vAlign w:val="bottom"/>
            <w:tcBorders>
              <w:right w:val="single" w:sz="8" w:color="A0DBF9"/>
            </w:tcBorders>
            <w:shd w:val="clear" w:color="auto" w:fill="E2F4FC"/>
          </w:tcPr>
          <w:p>
            <w:pPr>
              <w:spacing w:after="0"/>
              <w:rPr>
                <w:sz w:val="3"/>
                <w:szCs w:val="3"/>
                <w:color w:val="auto"/>
              </w:rPr>
            </w:pPr>
          </w:p>
        </w:tc>
        <w:tc>
          <w:tcPr>
            <w:tcW w:w="1020" w:type="dxa"/>
            <w:vAlign w:val="bottom"/>
            <w:tcBorders>
              <w:right w:val="single" w:sz="8" w:color="A0DBF9"/>
            </w:tcBorders>
            <w:shd w:val="clear" w:color="auto" w:fill="E2F4FC"/>
          </w:tcPr>
          <w:p>
            <w:pPr>
              <w:jc w:val="center"/>
              <w:ind w:left="17"/>
              <w:spacing w:after="0" w:line="40" w:lineRule="exact"/>
              <w:rPr>
                <w:sz w:val="20"/>
                <w:szCs w:val="20"/>
                <w:color w:val="auto"/>
              </w:rPr>
            </w:pPr>
            <w:r>
              <w:rPr>
                <w:rFonts w:ascii="Arial" w:cs="Arial" w:eastAsia="Arial" w:hAnsi="Arial"/>
                <w:sz w:val="4"/>
                <w:szCs w:val="4"/>
                <w:color w:val="auto"/>
              </w:rPr>
              <w:t>8,077</w:t>
            </w:r>
          </w:p>
        </w:tc>
        <w:tc>
          <w:tcPr>
            <w:tcW w:w="1020" w:type="dxa"/>
            <w:vAlign w:val="bottom"/>
            <w:tcBorders>
              <w:right w:val="single" w:sz="8" w:color="A0DBF9"/>
            </w:tcBorders>
            <w:shd w:val="clear" w:color="auto" w:fill="E2F4FC"/>
          </w:tcPr>
          <w:p>
            <w:pPr>
              <w:jc w:val="center"/>
              <w:ind w:left="18"/>
              <w:spacing w:after="0" w:line="40" w:lineRule="exact"/>
              <w:rPr>
                <w:sz w:val="20"/>
                <w:szCs w:val="20"/>
                <w:color w:val="auto"/>
              </w:rPr>
            </w:pPr>
            <w:r>
              <w:rPr>
                <w:rFonts w:ascii="Arial" w:cs="Arial" w:eastAsia="Arial" w:hAnsi="Arial"/>
                <w:sz w:val="4"/>
                <w:szCs w:val="4"/>
                <w:color w:val="auto"/>
              </w:rPr>
              <w:t>$165,659</w:t>
            </w:r>
          </w:p>
        </w:tc>
        <w:tc>
          <w:tcPr>
            <w:tcW w:w="1020" w:type="dxa"/>
            <w:vAlign w:val="bottom"/>
            <w:tcBorders>
              <w:right w:val="single" w:sz="8" w:color="A0DBF9"/>
            </w:tcBorders>
            <w:shd w:val="clear" w:color="auto" w:fill="E2F4FC"/>
          </w:tcPr>
          <w:p>
            <w:pPr>
              <w:spacing w:after="0"/>
              <w:rPr>
                <w:sz w:val="3"/>
                <w:szCs w:val="3"/>
                <w:color w:val="auto"/>
              </w:rPr>
            </w:pPr>
          </w:p>
        </w:tc>
        <w:tc>
          <w:tcPr>
            <w:tcW w:w="760" w:type="dxa"/>
            <w:vAlign w:val="bottom"/>
            <w:tcBorders>
              <w:right w:val="single" w:sz="8" w:color="A0DBF9"/>
            </w:tcBorders>
            <w:shd w:val="clear" w:color="auto" w:fill="E2F4FC"/>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3"/>
        </w:trPr>
        <w:tc>
          <w:tcPr>
            <w:tcW w:w="1160" w:type="dxa"/>
            <w:vAlign w:val="bottom"/>
            <w:tcBorders>
              <w:left w:val="single" w:sz="8" w:color="A0DBF9"/>
              <w:right w:val="single" w:sz="8" w:color="A0DBF9"/>
            </w:tcBorders>
            <w:shd w:val="clear" w:color="auto" w:fill="E2F4FC"/>
          </w:tcPr>
          <w:p>
            <w:pPr>
              <w:ind w:left="720"/>
              <w:spacing w:after="0"/>
              <w:rPr>
                <w:sz w:val="20"/>
                <w:szCs w:val="20"/>
                <w:color w:val="auto"/>
              </w:rPr>
            </w:pPr>
            <w:r>
              <w:rPr>
                <w:rFonts w:ascii="Arial" w:cs="Arial" w:eastAsia="Arial" w:hAnsi="Arial"/>
                <w:sz w:val="15"/>
                <w:szCs w:val="15"/>
                <w:color w:val="auto"/>
              </w:rPr>
              <w:t>(5)</w:t>
            </w:r>
          </w:p>
        </w:tc>
        <w:tc>
          <w:tcPr>
            <w:tcW w:w="11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40" w:type="dxa"/>
            <w:vAlign w:val="bottom"/>
            <w:tcBorders>
              <w:right w:val="single" w:sz="8" w:color="A0DBF9"/>
            </w:tcBorders>
            <w:shd w:val="clear" w:color="auto" w:fill="E2F4FC"/>
          </w:tcPr>
          <w:p>
            <w:pPr>
              <w:spacing w:after="0"/>
              <w:rPr>
                <w:sz w:val="15"/>
                <w:szCs w:val="15"/>
                <w:color w:val="auto"/>
              </w:rPr>
            </w:pPr>
          </w:p>
        </w:tc>
        <w:tc>
          <w:tcPr>
            <w:tcW w:w="900" w:type="dxa"/>
            <w:vAlign w:val="bottom"/>
            <w:tcBorders>
              <w:right w:val="single" w:sz="8" w:color="A0DBF9"/>
            </w:tcBorders>
            <w:shd w:val="clear" w:color="auto" w:fill="E2F4FC"/>
          </w:tcPr>
          <w:p>
            <w:pPr>
              <w:spacing w:after="0"/>
              <w:rPr>
                <w:sz w:val="15"/>
                <w:szCs w:val="15"/>
                <w:color w:val="auto"/>
              </w:rPr>
            </w:pPr>
          </w:p>
        </w:tc>
        <w:tc>
          <w:tcPr>
            <w:tcW w:w="96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1020" w:type="dxa"/>
            <w:vAlign w:val="bottom"/>
            <w:tcBorders>
              <w:right w:val="single" w:sz="8" w:color="A0DBF9"/>
            </w:tcBorders>
            <w:shd w:val="clear" w:color="auto" w:fill="E2F4FC"/>
          </w:tcPr>
          <w:p>
            <w:pPr>
              <w:spacing w:after="0"/>
              <w:rPr>
                <w:sz w:val="15"/>
                <w:szCs w:val="15"/>
                <w:color w:val="auto"/>
              </w:rPr>
            </w:pPr>
          </w:p>
        </w:tc>
        <w:tc>
          <w:tcPr>
            <w:tcW w:w="760" w:type="dxa"/>
            <w:vAlign w:val="bottom"/>
            <w:tcBorders>
              <w:right w:val="single" w:sz="8" w:color="A0DBF9"/>
            </w:tcBorders>
            <w:shd w:val="clear" w:color="auto" w:fill="E2F4FC"/>
          </w:tcPr>
          <w:p>
            <w:pPr>
              <w:spacing w:after="0"/>
              <w:rPr>
                <w:sz w:val="15"/>
                <w:szCs w:val="15"/>
                <w:color w:val="auto"/>
              </w:rPr>
            </w:pPr>
          </w:p>
        </w:tc>
        <w:tc>
          <w:tcPr>
            <w:tcW w:w="0" w:type="dxa"/>
            <w:vAlign w:val="bottom"/>
          </w:tcPr>
          <w:p>
            <w:pPr>
              <w:spacing w:after="0"/>
              <w:rPr>
                <w:sz w:val="1"/>
                <w:szCs w:val="1"/>
                <w:color w:val="auto"/>
              </w:rPr>
            </w:pPr>
          </w:p>
        </w:tc>
      </w:tr>
      <w:tr>
        <w:trPr>
          <w:trHeight w:val="81"/>
        </w:trPr>
        <w:tc>
          <w:tcPr>
            <w:tcW w:w="11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11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40" w:type="dxa"/>
            <w:vAlign w:val="bottom"/>
            <w:tcBorders>
              <w:bottom w:val="single" w:sz="8" w:color="A0DBF9"/>
              <w:right w:val="single" w:sz="8" w:color="A0DBF9"/>
            </w:tcBorders>
            <w:shd w:val="clear" w:color="auto" w:fill="E2F4FC"/>
          </w:tcPr>
          <w:p>
            <w:pPr>
              <w:spacing w:after="0"/>
              <w:rPr>
                <w:sz w:val="7"/>
                <w:szCs w:val="7"/>
                <w:color w:val="auto"/>
              </w:rPr>
            </w:pPr>
          </w:p>
        </w:tc>
        <w:tc>
          <w:tcPr>
            <w:tcW w:w="900" w:type="dxa"/>
            <w:vAlign w:val="bottom"/>
            <w:tcBorders>
              <w:bottom w:val="single" w:sz="8" w:color="A0DBF9"/>
              <w:right w:val="single" w:sz="8" w:color="A0DBF9"/>
            </w:tcBorders>
            <w:shd w:val="clear" w:color="auto" w:fill="E2F4FC"/>
          </w:tcPr>
          <w:p>
            <w:pPr>
              <w:spacing w:after="0"/>
              <w:rPr>
                <w:sz w:val="7"/>
                <w:szCs w:val="7"/>
                <w:color w:val="auto"/>
              </w:rPr>
            </w:pPr>
          </w:p>
        </w:tc>
        <w:tc>
          <w:tcPr>
            <w:tcW w:w="96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1020" w:type="dxa"/>
            <w:vAlign w:val="bottom"/>
            <w:tcBorders>
              <w:bottom w:val="single" w:sz="8" w:color="A0DBF9"/>
              <w:right w:val="single" w:sz="8" w:color="A0DBF9"/>
            </w:tcBorders>
            <w:shd w:val="clear" w:color="auto" w:fill="E2F4FC"/>
          </w:tcPr>
          <w:p>
            <w:pPr>
              <w:spacing w:after="0"/>
              <w:rPr>
                <w:sz w:val="7"/>
                <w:szCs w:val="7"/>
                <w:color w:val="auto"/>
              </w:rPr>
            </w:pPr>
          </w:p>
        </w:tc>
        <w:tc>
          <w:tcPr>
            <w:tcW w:w="76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7"/>
                <w:szCs w:val="17"/>
                <w:color w:val="auto"/>
              </w:rPr>
              <w:t>PSAs</w:t>
            </w:r>
            <w:r>
              <w:rPr>
                <w:rFonts w:ascii="Arial" w:cs="Arial" w:eastAsia="Arial" w:hAnsi="Arial"/>
                <w:sz w:val="14"/>
                <w:szCs w:val="14"/>
                <w:color w:val="auto"/>
              </w:rPr>
              <w:t>(6)</w:t>
            </w:r>
          </w:p>
        </w:tc>
        <w:tc>
          <w:tcPr>
            <w:tcW w:w="1120" w:type="dxa"/>
            <w:vAlign w:val="bottom"/>
            <w:tcBorders>
              <w:right w:val="single" w:sz="8" w:color="A0DBF9"/>
            </w:tcBorders>
            <w:shd w:val="clear" w:color="auto" w:fill="E2F4FC"/>
          </w:tcPr>
          <w:p>
            <w:pPr>
              <w:jc w:val="center"/>
              <w:ind w:left="9"/>
              <w:spacing w:after="0"/>
              <w:rPr>
                <w:sz w:val="20"/>
                <w:szCs w:val="20"/>
                <w:color w:val="auto"/>
              </w:rPr>
            </w:pPr>
            <w:r>
              <w:rPr>
                <w:rFonts w:ascii="Arial" w:cs="Arial" w:eastAsia="Arial" w:hAnsi="Arial"/>
                <w:sz w:val="17"/>
                <w:szCs w:val="17"/>
                <w:color w:val="auto"/>
                <w:w w:val="91"/>
              </w:rPr>
              <w:t>02/23/2017</w:t>
            </w: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4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96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2"/>
              </w:rPr>
              <w:t>14,419</w:t>
            </w:r>
          </w:p>
        </w:tc>
        <w:tc>
          <w:tcPr>
            <w:tcW w:w="7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$295,734</w:t>
            </w:r>
          </w:p>
        </w:tc>
        <w:tc>
          <w:tcPr>
            <w:tcW w:w="0" w:type="dxa"/>
            <w:vAlign w:val="bottom"/>
          </w:tcPr>
          <w:p>
            <w:pPr>
              <w:spacing w:after="0"/>
              <w:rPr>
                <w:sz w:val="1"/>
                <w:szCs w:val="1"/>
                <w:color w:val="auto"/>
              </w:rPr>
            </w:pPr>
          </w:p>
        </w:tc>
      </w:tr>
      <w:tr>
        <w:trPr>
          <w:trHeight w:val="71"/>
        </w:trPr>
        <w:tc>
          <w:tcPr>
            <w:tcW w:w="1160" w:type="dxa"/>
            <w:vAlign w:val="bottom"/>
            <w:tcBorders>
              <w:left w:val="single" w:sz="8" w:color="A0DBF9"/>
              <w:bottom w:val="single" w:sz="8" w:color="A0DBF9"/>
              <w:right w:val="single" w:sz="8" w:color="A0DBF9"/>
            </w:tcBorders>
            <w:shd w:val="clear" w:color="auto" w:fill="E2F4FC"/>
          </w:tcPr>
          <w:p>
            <w:pPr>
              <w:spacing w:after="0"/>
              <w:rPr>
                <w:sz w:val="6"/>
                <w:szCs w:val="6"/>
                <w:color w:val="auto"/>
              </w:rPr>
            </w:pPr>
          </w:p>
        </w:tc>
        <w:tc>
          <w:tcPr>
            <w:tcW w:w="11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40" w:type="dxa"/>
            <w:vAlign w:val="bottom"/>
            <w:tcBorders>
              <w:bottom w:val="single" w:sz="8" w:color="A0DBF9"/>
              <w:right w:val="single" w:sz="8" w:color="A0DBF9"/>
            </w:tcBorders>
            <w:shd w:val="clear" w:color="auto" w:fill="E2F4FC"/>
          </w:tcPr>
          <w:p>
            <w:pPr>
              <w:spacing w:after="0"/>
              <w:rPr>
                <w:sz w:val="6"/>
                <w:szCs w:val="6"/>
                <w:color w:val="auto"/>
              </w:rPr>
            </w:pPr>
          </w:p>
        </w:tc>
        <w:tc>
          <w:tcPr>
            <w:tcW w:w="900" w:type="dxa"/>
            <w:vAlign w:val="bottom"/>
            <w:tcBorders>
              <w:bottom w:val="single" w:sz="8" w:color="A0DBF9"/>
              <w:right w:val="single" w:sz="8" w:color="A0DBF9"/>
            </w:tcBorders>
            <w:shd w:val="clear" w:color="auto" w:fill="E2F4FC"/>
          </w:tcPr>
          <w:p>
            <w:pPr>
              <w:spacing w:after="0"/>
              <w:rPr>
                <w:sz w:val="6"/>
                <w:szCs w:val="6"/>
                <w:color w:val="auto"/>
              </w:rPr>
            </w:pPr>
          </w:p>
        </w:tc>
        <w:tc>
          <w:tcPr>
            <w:tcW w:w="96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760" w:type="dxa"/>
            <w:vAlign w:val="bottom"/>
            <w:tcBorders>
              <w:bottom w:val="single" w:sz="8" w:color="A0DBF9"/>
              <w:right w:val="single" w:sz="8" w:color="A0DBF9"/>
            </w:tcBorders>
            <w:shd w:val="clear" w:color="auto" w:fill="E2F4FC"/>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7"/>
                <w:szCs w:val="17"/>
                <w:color w:val="auto"/>
              </w:rPr>
              <w:t>PSAs</w:t>
            </w:r>
            <w:r>
              <w:rPr>
                <w:rFonts w:ascii="Arial" w:cs="Arial" w:eastAsia="Arial" w:hAnsi="Arial"/>
                <w:sz w:val="14"/>
                <w:szCs w:val="14"/>
                <w:color w:val="auto"/>
              </w:rPr>
              <w:t>(7)</w:t>
            </w:r>
          </w:p>
        </w:tc>
        <w:tc>
          <w:tcPr>
            <w:tcW w:w="1120" w:type="dxa"/>
            <w:vAlign w:val="bottom"/>
            <w:tcBorders>
              <w:right w:val="single" w:sz="8" w:color="A0DBF9"/>
            </w:tcBorders>
            <w:shd w:val="clear" w:color="auto" w:fill="E2F4FC"/>
          </w:tcPr>
          <w:p>
            <w:pPr>
              <w:jc w:val="center"/>
              <w:ind w:left="9"/>
              <w:spacing w:after="0"/>
              <w:rPr>
                <w:sz w:val="20"/>
                <w:szCs w:val="20"/>
                <w:color w:val="auto"/>
              </w:rPr>
            </w:pPr>
            <w:r>
              <w:rPr>
                <w:rFonts w:ascii="Arial" w:cs="Arial" w:eastAsia="Arial" w:hAnsi="Arial"/>
                <w:sz w:val="17"/>
                <w:szCs w:val="17"/>
                <w:color w:val="auto"/>
                <w:w w:val="91"/>
              </w:rPr>
              <w:t>03/05/2018</w:t>
            </w: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4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96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2"/>
              </w:rPr>
              <w:t>10,055</w:t>
            </w:r>
          </w:p>
        </w:tc>
        <w:tc>
          <w:tcPr>
            <w:tcW w:w="7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$206,228</w:t>
            </w:r>
          </w:p>
        </w:tc>
        <w:tc>
          <w:tcPr>
            <w:tcW w:w="0" w:type="dxa"/>
            <w:vAlign w:val="bottom"/>
          </w:tcPr>
          <w:p>
            <w:pPr>
              <w:spacing w:after="0"/>
              <w:rPr>
                <w:sz w:val="1"/>
                <w:szCs w:val="1"/>
                <w:color w:val="auto"/>
              </w:rPr>
            </w:pPr>
          </w:p>
        </w:tc>
      </w:tr>
      <w:tr>
        <w:trPr>
          <w:trHeight w:val="72"/>
        </w:trPr>
        <w:tc>
          <w:tcPr>
            <w:tcW w:w="1160" w:type="dxa"/>
            <w:vAlign w:val="bottom"/>
            <w:tcBorders>
              <w:left w:val="single" w:sz="8" w:color="A0DBF9"/>
              <w:bottom w:val="single" w:sz="8" w:color="A0DBF9"/>
              <w:right w:val="single" w:sz="8" w:color="A0DBF9"/>
            </w:tcBorders>
            <w:shd w:val="clear" w:color="auto" w:fill="E2F4FC"/>
          </w:tcPr>
          <w:p>
            <w:pPr>
              <w:spacing w:after="0"/>
              <w:rPr>
                <w:sz w:val="6"/>
                <w:szCs w:val="6"/>
                <w:color w:val="auto"/>
              </w:rPr>
            </w:pPr>
          </w:p>
        </w:tc>
        <w:tc>
          <w:tcPr>
            <w:tcW w:w="11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40" w:type="dxa"/>
            <w:vAlign w:val="bottom"/>
            <w:tcBorders>
              <w:bottom w:val="single" w:sz="8" w:color="A0DBF9"/>
              <w:right w:val="single" w:sz="8" w:color="A0DBF9"/>
            </w:tcBorders>
            <w:shd w:val="clear" w:color="auto" w:fill="E2F4FC"/>
          </w:tcPr>
          <w:p>
            <w:pPr>
              <w:spacing w:after="0"/>
              <w:rPr>
                <w:sz w:val="6"/>
                <w:szCs w:val="6"/>
                <w:color w:val="auto"/>
              </w:rPr>
            </w:pPr>
          </w:p>
        </w:tc>
        <w:tc>
          <w:tcPr>
            <w:tcW w:w="900" w:type="dxa"/>
            <w:vAlign w:val="bottom"/>
            <w:tcBorders>
              <w:bottom w:val="single" w:sz="8" w:color="A0DBF9"/>
              <w:right w:val="single" w:sz="8" w:color="A0DBF9"/>
            </w:tcBorders>
            <w:shd w:val="clear" w:color="auto" w:fill="E2F4FC"/>
          </w:tcPr>
          <w:p>
            <w:pPr>
              <w:spacing w:after="0"/>
              <w:rPr>
                <w:sz w:val="6"/>
                <w:szCs w:val="6"/>
                <w:color w:val="auto"/>
              </w:rPr>
            </w:pPr>
          </w:p>
        </w:tc>
        <w:tc>
          <w:tcPr>
            <w:tcW w:w="96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760" w:type="dxa"/>
            <w:vAlign w:val="bottom"/>
            <w:tcBorders>
              <w:bottom w:val="single" w:sz="8" w:color="A0DBF9"/>
              <w:right w:val="single" w:sz="8" w:color="A0DBF9"/>
            </w:tcBorders>
            <w:shd w:val="clear" w:color="auto" w:fill="E2F4FC"/>
          </w:tcPr>
          <w:p>
            <w:pPr>
              <w:spacing w:after="0"/>
              <w:rPr>
                <w:sz w:val="6"/>
                <w:szCs w:val="6"/>
                <w:color w:val="auto"/>
              </w:rPr>
            </w:pPr>
          </w:p>
        </w:tc>
        <w:tc>
          <w:tcPr>
            <w:tcW w:w="0" w:type="dxa"/>
            <w:vAlign w:val="bottom"/>
          </w:tcPr>
          <w:p>
            <w:pPr>
              <w:spacing w:after="0"/>
              <w:rPr>
                <w:sz w:val="1"/>
                <w:szCs w:val="1"/>
                <w:color w:val="auto"/>
              </w:rPr>
            </w:pPr>
          </w:p>
        </w:tc>
      </w:tr>
      <w:tr>
        <w:trPr>
          <w:trHeight w:val="233"/>
        </w:trPr>
        <w:tc>
          <w:tcPr>
            <w:tcW w:w="1160" w:type="dxa"/>
            <w:vAlign w:val="bottom"/>
            <w:tcBorders>
              <w:left w:val="single" w:sz="8" w:color="A0DBF9"/>
              <w:right w:val="single" w:sz="8" w:color="A0DBF9"/>
            </w:tcBorders>
            <w:shd w:val="clear" w:color="auto" w:fill="E2F4FC"/>
          </w:tcPr>
          <w:p>
            <w:pPr>
              <w:ind w:left="320"/>
              <w:spacing w:after="0"/>
              <w:rPr>
                <w:sz w:val="20"/>
                <w:szCs w:val="20"/>
                <w:color w:val="auto"/>
              </w:rPr>
            </w:pPr>
            <w:r>
              <w:rPr>
                <w:rFonts w:ascii="Arial" w:cs="Arial" w:eastAsia="Arial" w:hAnsi="Arial"/>
                <w:sz w:val="17"/>
                <w:szCs w:val="17"/>
                <w:color w:val="auto"/>
              </w:rPr>
              <w:t>PSUs</w:t>
            </w:r>
            <w:r>
              <w:rPr>
                <w:rFonts w:ascii="Arial" w:cs="Arial" w:eastAsia="Arial" w:hAnsi="Arial"/>
                <w:sz w:val="14"/>
                <w:szCs w:val="14"/>
                <w:color w:val="auto"/>
              </w:rPr>
              <w:t>(8)</w:t>
            </w:r>
          </w:p>
        </w:tc>
        <w:tc>
          <w:tcPr>
            <w:tcW w:w="1120" w:type="dxa"/>
            <w:vAlign w:val="bottom"/>
            <w:tcBorders>
              <w:right w:val="single" w:sz="8" w:color="A0DBF9"/>
            </w:tcBorders>
            <w:shd w:val="clear" w:color="auto" w:fill="E2F4FC"/>
          </w:tcPr>
          <w:p>
            <w:pPr>
              <w:jc w:val="center"/>
              <w:ind w:left="9"/>
              <w:spacing w:after="0"/>
              <w:rPr>
                <w:sz w:val="20"/>
                <w:szCs w:val="20"/>
                <w:color w:val="auto"/>
              </w:rPr>
            </w:pPr>
            <w:r>
              <w:rPr>
                <w:rFonts w:ascii="Arial" w:cs="Arial" w:eastAsia="Arial" w:hAnsi="Arial"/>
                <w:sz w:val="17"/>
                <w:szCs w:val="17"/>
                <w:color w:val="auto"/>
                <w:w w:val="91"/>
              </w:rPr>
              <w:t>02/26/2019</w:t>
            </w: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40" w:type="dxa"/>
            <w:vAlign w:val="bottom"/>
            <w:tcBorders>
              <w:right w:val="single" w:sz="8" w:color="A0DBF9"/>
            </w:tcBorders>
            <w:shd w:val="clear" w:color="auto" w:fill="E2F4FC"/>
          </w:tcPr>
          <w:p>
            <w:pPr>
              <w:spacing w:after="0"/>
              <w:rPr>
                <w:sz w:val="20"/>
                <w:szCs w:val="20"/>
                <w:color w:val="auto"/>
              </w:rPr>
            </w:pPr>
          </w:p>
        </w:tc>
        <w:tc>
          <w:tcPr>
            <w:tcW w:w="900" w:type="dxa"/>
            <w:vAlign w:val="bottom"/>
            <w:tcBorders>
              <w:right w:val="single" w:sz="8" w:color="A0DBF9"/>
            </w:tcBorders>
            <w:shd w:val="clear" w:color="auto" w:fill="E2F4FC"/>
          </w:tcPr>
          <w:p>
            <w:pPr>
              <w:spacing w:after="0"/>
              <w:rPr>
                <w:sz w:val="20"/>
                <w:szCs w:val="20"/>
                <w:color w:val="auto"/>
              </w:rPr>
            </w:pPr>
          </w:p>
        </w:tc>
        <w:tc>
          <w:tcPr>
            <w:tcW w:w="96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spacing w:after="0"/>
              <w:rPr>
                <w:sz w:val="20"/>
                <w:szCs w:val="20"/>
                <w:color w:val="auto"/>
              </w:rPr>
            </w:pPr>
          </w:p>
        </w:tc>
        <w:tc>
          <w:tcPr>
            <w:tcW w:w="1020" w:type="dxa"/>
            <w:vAlign w:val="bottom"/>
            <w:tcBorders>
              <w:right w:val="single" w:sz="8" w:color="A0DBF9"/>
            </w:tcBorders>
            <w:shd w:val="clear" w:color="auto" w:fill="E2F4FC"/>
          </w:tcPr>
          <w:p>
            <w:pPr>
              <w:jc w:val="center"/>
              <w:ind w:left="16"/>
              <w:spacing w:after="0"/>
              <w:rPr>
                <w:sz w:val="20"/>
                <w:szCs w:val="20"/>
                <w:color w:val="auto"/>
              </w:rPr>
            </w:pPr>
            <w:r>
              <w:rPr>
                <w:rFonts w:ascii="Arial" w:cs="Arial" w:eastAsia="Arial" w:hAnsi="Arial"/>
                <w:sz w:val="17"/>
                <w:szCs w:val="17"/>
                <w:color w:val="auto"/>
                <w:w w:val="89"/>
              </w:rPr>
              <w:t>8,077</w:t>
            </w:r>
          </w:p>
        </w:tc>
        <w:tc>
          <w:tcPr>
            <w:tcW w:w="7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7"/>
                <w:szCs w:val="17"/>
                <w:color w:val="auto"/>
                <w:w w:val="93"/>
              </w:rPr>
              <w:t>$165,659</w:t>
            </w:r>
          </w:p>
        </w:tc>
        <w:tc>
          <w:tcPr>
            <w:tcW w:w="0" w:type="dxa"/>
            <w:vAlign w:val="bottom"/>
          </w:tcPr>
          <w:p>
            <w:pPr>
              <w:spacing w:after="0"/>
              <w:rPr>
                <w:sz w:val="1"/>
                <w:szCs w:val="1"/>
                <w:color w:val="auto"/>
              </w:rPr>
            </w:pPr>
          </w:p>
        </w:tc>
      </w:tr>
      <w:tr>
        <w:trPr>
          <w:trHeight w:val="71"/>
        </w:trPr>
        <w:tc>
          <w:tcPr>
            <w:tcW w:w="1160" w:type="dxa"/>
            <w:vAlign w:val="bottom"/>
            <w:tcBorders>
              <w:left w:val="single" w:sz="8" w:color="A0DBF9"/>
              <w:bottom w:val="single" w:sz="8" w:color="A0DBF9"/>
              <w:right w:val="single" w:sz="8" w:color="A0DBF9"/>
            </w:tcBorders>
            <w:shd w:val="clear" w:color="auto" w:fill="E2F4FC"/>
          </w:tcPr>
          <w:p>
            <w:pPr>
              <w:spacing w:after="0"/>
              <w:rPr>
                <w:sz w:val="6"/>
                <w:szCs w:val="6"/>
                <w:color w:val="auto"/>
              </w:rPr>
            </w:pPr>
          </w:p>
        </w:tc>
        <w:tc>
          <w:tcPr>
            <w:tcW w:w="11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40" w:type="dxa"/>
            <w:vAlign w:val="bottom"/>
            <w:tcBorders>
              <w:bottom w:val="single" w:sz="8" w:color="A0DBF9"/>
              <w:right w:val="single" w:sz="8" w:color="A0DBF9"/>
            </w:tcBorders>
            <w:shd w:val="clear" w:color="auto" w:fill="E2F4FC"/>
          </w:tcPr>
          <w:p>
            <w:pPr>
              <w:spacing w:after="0"/>
              <w:rPr>
                <w:sz w:val="6"/>
                <w:szCs w:val="6"/>
                <w:color w:val="auto"/>
              </w:rPr>
            </w:pPr>
          </w:p>
        </w:tc>
        <w:tc>
          <w:tcPr>
            <w:tcW w:w="900" w:type="dxa"/>
            <w:vAlign w:val="bottom"/>
            <w:tcBorders>
              <w:bottom w:val="single" w:sz="8" w:color="A0DBF9"/>
              <w:right w:val="single" w:sz="8" w:color="A0DBF9"/>
            </w:tcBorders>
            <w:shd w:val="clear" w:color="auto" w:fill="E2F4FC"/>
          </w:tcPr>
          <w:p>
            <w:pPr>
              <w:spacing w:after="0"/>
              <w:rPr>
                <w:sz w:val="6"/>
                <w:szCs w:val="6"/>
                <w:color w:val="auto"/>
              </w:rPr>
            </w:pPr>
          </w:p>
        </w:tc>
        <w:tc>
          <w:tcPr>
            <w:tcW w:w="96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1020" w:type="dxa"/>
            <w:vAlign w:val="bottom"/>
            <w:tcBorders>
              <w:bottom w:val="single" w:sz="8" w:color="A0DBF9"/>
              <w:right w:val="single" w:sz="8" w:color="A0DBF9"/>
            </w:tcBorders>
            <w:shd w:val="clear" w:color="auto" w:fill="E2F4FC"/>
          </w:tcPr>
          <w:p>
            <w:pPr>
              <w:spacing w:after="0"/>
              <w:rPr>
                <w:sz w:val="6"/>
                <w:szCs w:val="6"/>
                <w:color w:val="auto"/>
              </w:rPr>
            </w:pPr>
          </w:p>
        </w:tc>
        <w:tc>
          <w:tcPr>
            <w:tcW w:w="760" w:type="dxa"/>
            <w:vAlign w:val="bottom"/>
            <w:tcBorders>
              <w:bottom w:val="single" w:sz="8" w:color="A0DBF9"/>
              <w:right w:val="single" w:sz="8" w:color="A0DBF9"/>
            </w:tcBorders>
            <w:shd w:val="clear" w:color="auto" w:fill="E2F4FC"/>
          </w:tcPr>
          <w:p>
            <w:pPr>
              <w:spacing w:after="0"/>
              <w:rPr>
                <w:sz w:val="6"/>
                <w:szCs w:val="6"/>
                <w:color w:val="auto"/>
              </w:rPr>
            </w:pPr>
          </w:p>
        </w:tc>
        <w:tc>
          <w:tcPr>
            <w:tcW w:w="0" w:type="dxa"/>
            <w:vAlign w:val="bottom"/>
          </w:tcPr>
          <w:p>
            <w:pPr>
              <w:spacing w:after="0"/>
              <w:rPr>
                <w:sz w:val="1"/>
                <w:szCs w:val="1"/>
                <w:color w:val="auto"/>
              </w:rPr>
            </w:pPr>
          </w:p>
        </w:tc>
      </w:tr>
      <w:tr>
        <w:trPr>
          <w:trHeight w:val="40"/>
        </w:trPr>
        <w:tc>
          <w:tcPr>
            <w:tcW w:w="2280" w:type="dxa"/>
            <w:vAlign w:val="bottom"/>
            <w:tcBorders>
              <w:left w:val="single" w:sz="8" w:color="A0DBF9"/>
              <w:right w:val="single" w:sz="8" w:color="A0DBF9"/>
            </w:tcBorders>
            <w:gridSpan w:val="2"/>
          </w:tcPr>
          <w:p>
            <w:pPr>
              <w:ind w:left="240"/>
              <w:spacing w:after="0" w:line="40" w:lineRule="exact"/>
              <w:rPr>
                <w:sz w:val="20"/>
                <w:szCs w:val="20"/>
                <w:color w:val="auto"/>
              </w:rPr>
            </w:pPr>
            <w:r>
              <w:rPr>
                <w:rFonts w:ascii="Arial" w:cs="Arial" w:eastAsia="Arial" w:hAnsi="Arial"/>
                <w:sz w:val="4"/>
                <w:szCs w:val="4"/>
                <w:b w:val="1"/>
                <w:bCs w:val="1"/>
                <w:color w:val="auto"/>
              </w:rPr>
              <w:t>Cesare Orlandi, M.D.</w:t>
            </w:r>
          </w:p>
        </w:tc>
        <w:tc>
          <w:tcPr>
            <w:tcW w:w="1020" w:type="dxa"/>
            <w:vAlign w:val="bottom"/>
            <w:tcBorders>
              <w:right w:val="single" w:sz="8" w:color="A0DBF9"/>
            </w:tcBorders>
          </w:tcPr>
          <w:p>
            <w:pPr>
              <w:jc w:val="center"/>
              <w:ind w:left="3"/>
              <w:spacing w:after="0" w:line="40" w:lineRule="exact"/>
              <w:rPr>
                <w:sz w:val="20"/>
                <w:szCs w:val="20"/>
                <w:color w:val="auto"/>
              </w:rPr>
            </w:pPr>
            <w:r>
              <w:rPr>
                <w:rFonts w:ascii="Arial" w:cs="Arial" w:eastAsia="Arial" w:hAnsi="Arial"/>
                <w:sz w:val="4"/>
                <w:szCs w:val="4"/>
                <w:color w:val="auto"/>
              </w:rPr>
              <w:t>—</w:t>
            </w:r>
          </w:p>
        </w:tc>
        <w:tc>
          <w:tcPr>
            <w:tcW w:w="1020" w:type="dxa"/>
            <w:vAlign w:val="bottom"/>
            <w:tcBorders>
              <w:right w:val="single" w:sz="8" w:color="A0DBF9"/>
            </w:tcBorders>
          </w:tcPr>
          <w:p>
            <w:pPr>
              <w:jc w:val="center"/>
              <w:ind w:left="2"/>
              <w:spacing w:after="0" w:line="40" w:lineRule="exact"/>
              <w:rPr>
                <w:sz w:val="20"/>
                <w:szCs w:val="20"/>
                <w:color w:val="auto"/>
              </w:rPr>
            </w:pPr>
            <w:r>
              <w:rPr>
                <w:rFonts w:ascii="Arial" w:cs="Arial" w:eastAsia="Arial" w:hAnsi="Arial"/>
                <w:sz w:val="4"/>
                <w:szCs w:val="4"/>
                <w:color w:val="auto"/>
              </w:rPr>
              <w:t>—</w:t>
            </w:r>
          </w:p>
        </w:tc>
        <w:tc>
          <w:tcPr>
            <w:tcW w:w="1040" w:type="dxa"/>
            <w:vAlign w:val="bottom"/>
            <w:tcBorders>
              <w:right w:val="single" w:sz="8" w:color="A0DBF9"/>
            </w:tcBorders>
          </w:tcPr>
          <w:p>
            <w:pPr>
              <w:jc w:val="center"/>
              <w:ind w:left="20"/>
              <w:spacing w:after="0" w:line="40" w:lineRule="exact"/>
              <w:rPr>
                <w:sz w:val="20"/>
                <w:szCs w:val="20"/>
                <w:color w:val="auto"/>
              </w:rPr>
            </w:pPr>
            <w:r>
              <w:rPr>
                <w:rFonts w:ascii="Arial" w:cs="Arial" w:eastAsia="Arial" w:hAnsi="Arial"/>
                <w:sz w:val="4"/>
                <w:szCs w:val="4"/>
                <w:color w:val="auto"/>
              </w:rPr>
              <w:t>—</w:t>
            </w:r>
          </w:p>
        </w:tc>
        <w:tc>
          <w:tcPr>
            <w:tcW w:w="900" w:type="dxa"/>
            <w:vAlign w:val="bottom"/>
            <w:tcBorders>
              <w:right w:val="single" w:sz="8" w:color="A0DBF9"/>
            </w:tcBorders>
          </w:tcPr>
          <w:p>
            <w:pPr>
              <w:jc w:val="center"/>
              <w:ind w:left="28"/>
              <w:spacing w:after="0" w:line="40" w:lineRule="exact"/>
              <w:rPr>
                <w:sz w:val="20"/>
                <w:szCs w:val="20"/>
                <w:color w:val="auto"/>
              </w:rPr>
            </w:pPr>
            <w:r>
              <w:rPr>
                <w:rFonts w:ascii="Arial" w:cs="Arial" w:eastAsia="Arial" w:hAnsi="Arial"/>
                <w:sz w:val="4"/>
                <w:szCs w:val="4"/>
                <w:color w:val="auto"/>
              </w:rPr>
              <w:t>—</w:t>
            </w:r>
          </w:p>
        </w:tc>
        <w:tc>
          <w:tcPr>
            <w:tcW w:w="960" w:type="dxa"/>
            <w:vAlign w:val="bottom"/>
            <w:tcBorders>
              <w:right w:val="single" w:sz="8" w:color="A0DBF9"/>
            </w:tcBorders>
          </w:tcPr>
          <w:p>
            <w:pPr>
              <w:jc w:val="center"/>
              <w:ind w:left="11"/>
              <w:spacing w:after="0" w:line="40" w:lineRule="exact"/>
              <w:rPr>
                <w:sz w:val="20"/>
                <w:szCs w:val="20"/>
                <w:color w:val="auto"/>
              </w:rPr>
            </w:pPr>
            <w:r>
              <w:rPr>
                <w:rFonts w:ascii="Arial" w:cs="Arial" w:eastAsia="Arial" w:hAnsi="Arial"/>
                <w:sz w:val="4"/>
                <w:szCs w:val="4"/>
                <w:color w:val="auto"/>
              </w:rPr>
              <w:t>—</w:t>
            </w:r>
          </w:p>
        </w:tc>
        <w:tc>
          <w:tcPr>
            <w:tcW w:w="1020" w:type="dxa"/>
            <w:vAlign w:val="bottom"/>
            <w:tcBorders>
              <w:right w:val="single" w:sz="8" w:color="A0DBF9"/>
            </w:tcBorders>
          </w:tcPr>
          <w:p>
            <w:pPr>
              <w:jc w:val="center"/>
              <w:ind w:left="17"/>
              <w:spacing w:after="0" w:line="40" w:lineRule="exact"/>
              <w:rPr>
                <w:sz w:val="20"/>
                <w:szCs w:val="20"/>
                <w:color w:val="auto"/>
              </w:rPr>
            </w:pPr>
            <w:r>
              <w:rPr>
                <w:rFonts w:ascii="Arial" w:cs="Arial" w:eastAsia="Arial" w:hAnsi="Arial"/>
                <w:sz w:val="4"/>
                <w:szCs w:val="4"/>
                <w:color w:val="auto"/>
              </w:rPr>
              <w:t>—</w:t>
            </w:r>
          </w:p>
        </w:tc>
        <w:tc>
          <w:tcPr>
            <w:tcW w:w="1020" w:type="dxa"/>
            <w:vAlign w:val="bottom"/>
            <w:tcBorders>
              <w:right w:val="single" w:sz="8" w:color="A0DBF9"/>
            </w:tcBorders>
          </w:tcPr>
          <w:p>
            <w:pPr>
              <w:jc w:val="center"/>
              <w:ind w:left="38"/>
              <w:spacing w:after="0" w:line="40" w:lineRule="exact"/>
              <w:rPr>
                <w:sz w:val="20"/>
                <w:szCs w:val="20"/>
                <w:color w:val="auto"/>
              </w:rPr>
            </w:pPr>
            <w:r>
              <w:rPr>
                <w:rFonts w:ascii="Arial" w:cs="Arial" w:eastAsia="Arial" w:hAnsi="Arial"/>
                <w:sz w:val="4"/>
                <w:szCs w:val="4"/>
                <w:color w:val="auto"/>
              </w:rPr>
              <w:t>—</w:t>
            </w:r>
          </w:p>
        </w:tc>
        <w:tc>
          <w:tcPr>
            <w:tcW w:w="102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760" w:type="dxa"/>
            <w:vAlign w:val="bottom"/>
            <w:tcBorders>
              <w:right w:val="single" w:sz="8" w:color="A0DBF9"/>
            </w:tcBorders>
          </w:tcPr>
          <w:p>
            <w:pPr>
              <w:jc w:val="center"/>
              <w:spacing w:after="0" w:line="40" w:lineRule="exact"/>
              <w:rPr>
                <w:sz w:val="20"/>
                <w:szCs w:val="20"/>
                <w:color w:val="auto"/>
              </w:rPr>
            </w:pPr>
            <w:r>
              <w:rPr>
                <w:rFonts w:ascii="Arial" w:cs="Arial" w:eastAsia="Arial" w:hAnsi="Arial"/>
                <w:sz w:val="4"/>
                <w:szCs w:val="4"/>
                <w:color w:val="auto"/>
              </w:rPr>
              <w:t>—</w:t>
            </w:r>
          </w:p>
        </w:tc>
        <w:tc>
          <w:tcPr>
            <w:tcW w:w="0" w:type="dxa"/>
            <w:vAlign w:val="bottom"/>
          </w:tcPr>
          <w:p>
            <w:pPr>
              <w:spacing w:after="0" w:line="20" w:lineRule="exact"/>
              <w:rPr>
                <w:sz w:val="1"/>
                <w:szCs w:val="1"/>
                <w:color w:val="auto"/>
              </w:rPr>
            </w:pPr>
          </w:p>
        </w:tc>
      </w:tr>
      <w:tr>
        <w:trPr>
          <w:trHeight w:val="187"/>
        </w:trPr>
        <w:tc>
          <w:tcPr>
            <w:tcW w:w="1160" w:type="dxa"/>
            <w:vAlign w:val="bottom"/>
            <w:tcBorders>
              <w:left w:val="single" w:sz="8" w:color="A0DBF9"/>
            </w:tcBorders>
          </w:tcPr>
          <w:p>
            <w:pPr>
              <w:spacing w:after="0"/>
              <w:rPr>
                <w:sz w:val="16"/>
                <w:szCs w:val="16"/>
                <w:color w:val="auto"/>
              </w:rPr>
            </w:pPr>
          </w:p>
        </w:tc>
        <w:tc>
          <w:tcPr>
            <w:tcW w:w="1120" w:type="dxa"/>
            <w:vAlign w:val="bottom"/>
            <w:tcBorders>
              <w:right w:val="single" w:sz="8" w:color="A0DBF9"/>
            </w:tcBorders>
          </w:tcPr>
          <w:p>
            <w:pPr>
              <w:jc w:val="right"/>
              <w:ind w:right="169"/>
              <w:spacing w:after="0"/>
              <w:rPr>
                <w:sz w:val="20"/>
                <w:szCs w:val="20"/>
                <w:color w:val="auto"/>
              </w:rPr>
            </w:pPr>
            <w:r>
              <w:rPr>
                <w:rFonts w:ascii="Arial" w:cs="Arial" w:eastAsia="Arial" w:hAnsi="Arial"/>
                <w:sz w:val="15"/>
                <w:szCs w:val="15"/>
                <w:b w:val="1"/>
                <w:bCs w:val="1"/>
                <w:color w:val="auto"/>
              </w:rPr>
              <w:t>(11)</w:t>
            </w:r>
          </w:p>
        </w:tc>
        <w:tc>
          <w:tcPr>
            <w:tcW w:w="1020" w:type="dxa"/>
            <w:vAlign w:val="bottom"/>
            <w:tcBorders>
              <w:right w:val="single" w:sz="8" w:color="A0DBF9"/>
            </w:tcBorders>
          </w:tcPr>
          <w:p>
            <w:pPr>
              <w:spacing w:after="0"/>
              <w:rPr>
                <w:sz w:val="16"/>
                <w:szCs w:val="16"/>
                <w:color w:val="auto"/>
              </w:rPr>
            </w:pPr>
          </w:p>
        </w:tc>
        <w:tc>
          <w:tcPr>
            <w:tcW w:w="1020" w:type="dxa"/>
            <w:vAlign w:val="bottom"/>
            <w:tcBorders>
              <w:right w:val="single" w:sz="8" w:color="A0DBF9"/>
            </w:tcBorders>
          </w:tcPr>
          <w:p>
            <w:pPr>
              <w:spacing w:after="0"/>
              <w:rPr>
                <w:sz w:val="16"/>
                <w:szCs w:val="16"/>
                <w:color w:val="auto"/>
              </w:rPr>
            </w:pPr>
          </w:p>
        </w:tc>
        <w:tc>
          <w:tcPr>
            <w:tcW w:w="1040" w:type="dxa"/>
            <w:vAlign w:val="bottom"/>
            <w:tcBorders>
              <w:right w:val="single" w:sz="8" w:color="A0DBF9"/>
            </w:tcBorders>
          </w:tcPr>
          <w:p>
            <w:pPr>
              <w:spacing w:after="0"/>
              <w:rPr>
                <w:sz w:val="16"/>
                <w:szCs w:val="16"/>
                <w:color w:val="auto"/>
              </w:rPr>
            </w:pPr>
          </w:p>
        </w:tc>
        <w:tc>
          <w:tcPr>
            <w:tcW w:w="900" w:type="dxa"/>
            <w:vAlign w:val="bottom"/>
            <w:tcBorders>
              <w:right w:val="single" w:sz="8" w:color="A0DBF9"/>
            </w:tcBorders>
          </w:tcPr>
          <w:p>
            <w:pPr>
              <w:spacing w:after="0"/>
              <w:rPr>
                <w:sz w:val="16"/>
                <w:szCs w:val="16"/>
                <w:color w:val="auto"/>
              </w:rPr>
            </w:pPr>
          </w:p>
        </w:tc>
        <w:tc>
          <w:tcPr>
            <w:tcW w:w="960" w:type="dxa"/>
            <w:vAlign w:val="bottom"/>
            <w:tcBorders>
              <w:right w:val="single" w:sz="8" w:color="A0DBF9"/>
            </w:tcBorders>
          </w:tcPr>
          <w:p>
            <w:pPr>
              <w:spacing w:after="0"/>
              <w:rPr>
                <w:sz w:val="16"/>
                <w:szCs w:val="16"/>
                <w:color w:val="auto"/>
              </w:rPr>
            </w:pPr>
          </w:p>
        </w:tc>
        <w:tc>
          <w:tcPr>
            <w:tcW w:w="1020" w:type="dxa"/>
            <w:vAlign w:val="bottom"/>
            <w:tcBorders>
              <w:right w:val="single" w:sz="8" w:color="A0DBF9"/>
            </w:tcBorders>
          </w:tcPr>
          <w:p>
            <w:pPr>
              <w:spacing w:after="0"/>
              <w:rPr>
                <w:sz w:val="16"/>
                <w:szCs w:val="16"/>
                <w:color w:val="auto"/>
              </w:rPr>
            </w:pPr>
          </w:p>
        </w:tc>
        <w:tc>
          <w:tcPr>
            <w:tcW w:w="1020" w:type="dxa"/>
            <w:vAlign w:val="bottom"/>
            <w:tcBorders>
              <w:right w:val="single" w:sz="8" w:color="A0DBF9"/>
            </w:tcBorders>
          </w:tcPr>
          <w:p>
            <w:pPr>
              <w:spacing w:after="0"/>
              <w:rPr>
                <w:sz w:val="16"/>
                <w:szCs w:val="16"/>
                <w:color w:val="auto"/>
              </w:rPr>
            </w:pPr>
          </w:p>
        </w:tc>
        <w:tc>
          <w:tcPr>
            <w:tcW w:w="1020" w:type="dxa"/>
            <w:vAlign w:val="bottom"/>
            <w:tcBorders>
              <w:right w:val="single" w:sz="8" w:color="A0DBF9"/>
            </w:tcBorders>
          </w:tcPr>
          <w:p>
            <w:pPr>
              <w:spacing w:after="0"/>
              <w:rPr>
                <w:sz w:val="16"/>
                <w:szCs w:val="16"/>
                <w:color w:val="auto"/>
              </w:rPr>
            </w:pPr>
          </w:p>
        </w:tc>
        <w:tc>
          <w:tcPr>
            <w:tcW w:w="760" w:type="dxa"/>
            <w:vAlign w:val="bottom"/>
            <w:tcBorders>
              <w:right w:val="single" w:sz="8" w:color="A0DBF9"/>
            </w:tcBorders>
          </w:tcPr>
          <w:p>
            <w:pPr>
              <w:spacing w:after="0"/>
              <w:rPr>
                <w:sz w:val="16"/>
                <w:szCs w:val="16"/>
                <w:color w:val="auto"/>
              </w:rPr>
            </w:pPr>
          </w:p>
        </w:tc>
        <w:tc>
          <w:tcPr>
            <w:tcW w:w="0" w:type="dxa"/>
            <w:vAlign w:val="bottom"/>
          </w:tcPr>
          <w:p>
            <w:pPr>
              <w:spacing w:after="0"/>
              <w:rPr>
                <w:sz w:val="1"/>
                <w:szCs w:val="1"/>
                <w:color w:val="auto"/>
              </w:rPr>
            </w:pPr>
          </w:p>
        </w:tc>
      </w:tr>
      <w:tr>
        <w:trPr>
          <w:trHeight w:val="77"/>
        </w:trPr>
        <w:tc>
          <w:tcPr>
            <w:tcW w:w="1160" w:type="dxa"/>
            <w:vAlign w:val="bottom"/>
            <w:tcBorders>
              <w:left w:val="single" w:sz="8" w:color="A0DBF9"/>
              <w:bottom w:val="single" w:sz="8" w:color="A0DBF9"/>
            </w:tcBorders>
          </w:tcPr>
          <w:p>
            <w:pPr>
              <w:spacing w:after="0"/>
              <w:rPr>
                <w:sz w:val="6"/>
                <w:szCs w:val="6"/>
                <w:color w:val="auto"/>
              </w:rPr>
            </w:pPr>
          </w:p>
        </w:tc>
        <w:tc>
          <w:tcPr>
            <w:tcW w:w="11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40" w:type="dxa"/>
            <w:vAlign w:val="bottom"/>
            <w:tcBorders>
              <w:bottom w:val="single" w:sz="8" w:color="A0DBF9"/>
              <w:right w:val="single" w:sz="8" w:color="A0DBF9"/>
            </w:tcBorders>
          </w:tcPr>
          <w:p>
            <w:pPr>
              <w:spacing w:after="0"/>
              <w:rPr>
                <w:sz w:val="6"/>
                <w:szCs w:val="6"/>
                <w:color w:val="auto"/>
              </w:rPr>
            </w:pPr>
          </w:p>
        </w:tc>
        <w:tc>
          <w:tcPr>
            <w:tcW w:w="900" w:type="dxa"/>
            <w:vAlign w:val="bottom"/>
            <w:tcBorders>
              <w:bottom w:val="single" w:sz="8" w:color="A0DBF9"/>
              <w:right w:val="single" w:sz="8" w:color="A0DBF9"/>
            </w:tcBorders>
          </w:tcPr>
          <w:p>
            <w:pPr>
              <w:spacing w:after="0"/>
              <w:rPr>
                <w:sz w:val="6"/>
                <w:szCs w:val="6"/>
                <w:color w:val="auto"/>
              </w:rPr>
            </w:pPr>
          </w:p>
        </w:tc>
        <w:tc>
          <w:tcPr>
            <w:tcW w:w="96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1020" w:type="dxa"/>
            <w:vAlign w:val="bottom"/>
            <w:tcBorders>
              <w:bottom w:val="single" w:sz="8" w:color="A0DBF9"/>
              <w:right w:val="single" w:sz="8" w:color="A0DBF9"/>
            </w:tcBorders>
          </w:tcPr>
          <w:p>
            <w:pPr>
              <w:spacing w:after="0"/>
              <w:rPr>
                <w:sz w:val="6"/>
                <w:szCs w:val="6"/>
                <w:color w:val="auto"/>
              </w:rPr>
            </w:pPr>
          </w:p>
        </w:tc>
        <w:tc>
          <w:tcPr>
            <w:tcW w:w="760" w:type="dxa"/>
            <w:vAlign w:val="bottom"/>
            <w:tcBorders>
              <w:bottom w:val="single" w:sz="8" w:color="A0DBF9"/>
              <w:right w:val="single" w:sz="8" w:color="A0DBF9"/>
            </w:tcBorders>
          </w:tcPr>
          <w:p>
            <w:pPr>
              <w:spacing w:after="0"/>
              <w:rPr>
                <w:sz w:val="6"/>
                <w:szCs w:val="6"/>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40" w:hanging="424"/>
        <w:spacing w:after="0"/>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market value of the unvested RSAs, RSUs, PSAs and PSUs was calculated by multiplying the closing price of our common stock on December 31, 2019.</w:t>
      </w:r>
    </w:p>
    <w:p>
      <w:pPr>
        <w:ind w:left="540" w:right="60" w:hanging="424"/>
        <w:spacing w:after="0" w:line="221"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options were granted to Ms. Heino upon her hire on April 15, 2013. The options were granted to Mr. Duffy on August 5, 2013. The options for Ms. Heino and Mr. Duffy vested in four equal installments on each of the first four anniversaries of the grant date and are now fully vested.</w:t>
      </w:r>
    </w:p>
    <w:p>
      <w:pPr>
        <w:ind w:left="540" w:right="320" w:hanging="424"/>
        <w:spacing w:after="0" w:line="221"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RSAs granted on April 26, 2016, the grants vested in four equal installments on each of the first four anniversaries of the grant date, and are generally subject to continued employment of the NEO.</w:t>
      </w:r>
    </w:p>
    <w:p>
      <w:pPr>
        <w:ind w:left="540" w:right="180" w:hanging="424"/>
        <w:spacing w:after="0" w:line="221"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RSAs granted on February 23, 2017, and March 5, 2018, the grants vest in three equal installments on each of the first three anniversaries of the grant date, and are generally subject to continued employment of the NEO.</w:t>
      </w:r>
    </w:p>
    <w:p>
      <w:pPr>
        <w:ind w:left="540" w:right="140" w:hanging="424"/>
        <w:spacing w:after="0" w:line="221"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For the RSUs granted on February 26, 2019, the grants vest in three equal installments on each of the first three anniversaries of the grant date, and are generally subject to continued employment of the NEO.</w:t>
      </w:r>
    </w:p>
    <w:p>
      <w:pPr>
        <w:ind w:left="540" w:right="420" w:hanging="424"/>
        <w:spacing w:after="0" w:line="237" w:lineRule="auto"/>
        <w:tabs>
          <w:tab w:leader="none" w:pos="540" w:val="left"/>
        </w:tabs>
        <w:numPr>
          <w:ilvl w:val="0"/>
          <w:numId w:val="53"/>
        </w:numPr>
        <w:rPr>
          <w:rFonts w:ascii="Arial" w:cs="Arial" w:eastAsia="Arial" w:hAnsi="Arial"/>
          <w:sz w:val="14"/>
          <w:szCs w:val="14"/>
          <w:color w:val="auto"/>
        </w:rPr>
      </w:pPr>
      <w:r>
        <w:rPr>
          <w:rFonts w:ascii="Arial" w:cs="Arial" w:eastAsia="Arial" w:hAnsi="Arial"/>
          <w:sz w:val="14"/>
          <w:szCs w:val="14"/>
          <w:color w:val="auto"/>
        </w:rPr>
        <w:t>The PSAs granted on February 23, 2017 vest on the third anniversary of the grant date and are further described in detail on the “Additional Actions Taken by the Compensation Committee for 2019” section. The PSAs reported reflect the actual attainment of 104.4% of the performance target.</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140"/>
          </w:cols>
          <w:pgMar w:left="320" w:top="459" w:right="4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right="20" w:hanging="424"/>
        <w:spacing w:after="0" w:line="265" w:lineRule="auto"/>
        <w:tabs>
          <w:tab w:leader="none" w:pos="540" w:val="left"/>
        </w:tabs>
        <w:numPr>
          <w:ilvl w:val="0"/>
          <w:numId w:val="54"/>
        </w:numPr>
        <w:rPr>
          <w:rFonts w:ascii="Arial" w:cs="Arial" w:eastAsia="Arial" w:hAnsi="Arial"/>
          <w:sz w:val="12"/>
          <w:szCs w:val="12"/>
          <w:color w:val="auto"/>
        </w:rPr>
      </w:pPr>
      <w:r>
        <w:rPr>
          <w:rFonts w:ascii="Arial" w:cs="Arial" w:eastAsia="Arial" w:hAnsi="Arial"/>
          <w:sz w:val="12"/>
          <w:szCs w:val="12"/>
          <w:color w:val="auto"/>
        </w:rPr>
        <w:t>The PSAs granted on March 5, 2018, are earned based on the achievement of relative Total Shareholder Return, under our 2018 rTSR performance share plan. These shares are eligible to be earned based on our rTSR by comparing Lantheus to the S&amp;P SmallCap Healthcare Index over a three full calendar year performance period. The rTSR PSAs are reported assuming the target level of achievement of performance targets, cliff vest on the third anniversary of the grant date, and are generally subject to continued employment of the NEO.</w:t>
      </w:r>
    </w:p>
    <w:p>
      <w:pPr>
        <w:ind w:left="540" w:right="12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PSUs granted on February 26, 2019, are earned based on the achievement of relative Total Shareholder return, as described in detail in the “2019 Long Term Incentive Plan” section. The rTSR PSUs are reported assuming the target level of achievement of performance targets, cliff vest on the third anniversary of the grant date, and are generally subject to continued employment of the NEO.</w:t>
      </w:r>
    </w:p>
    <w:p>
      <w:pPr>
        <w:ind w:left="540" w:right="22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RSAs were granted to Mr. Marshall on October 15, 2018, as part of his offer of employment. This grant is subject to time-based vesting in four equal annual installments on the first four anniversaries of the grant date, generally subject to Mr. Marshall’s continued employment.</w:t>
      </w:r>
    </w:p>
    <w:p>
      <w:pPr>
        <w:ind w:left="540" w:right="60" w:hanging="424"/>
        <w:spacing w:after="0" w:line="221" w:lineRule="auto"/>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The RSAs were granted to Mr. Bolla on June 15, 2018, as part of his offer of employment. This grant is subject to time-based vesting in four equal annual installments on the first four anniversaries of the grant date, generally subject to Mr. Bolla’s continued employment.</w:t>
      </w:r>
    </w:p>
    <w:p>
      <w:pPr>
        <w:ind w:left="540" w:hanging="424"/>
        <w:spacing w:after="0"/>
        <w:tabs>
          <w:tab w:leader="none" w:pos="540" w:val="left"/>
        </w:tabs>
        <w:numPr>
          <w:ilvl w:val="0"/>
          <w:numId w:val="54"/>
        </w:numPr>
        <w:rPr>
          <w:rFonts w:ascii="Arial" w:cs="Arial" w:eastAsia="Arial" w:hAnsi="Arial"/>
          <w:sz w:val="14"/>
          <w:szCs w:val="14"/>
          <w:color w:val="auto"/>
        </w:rPr>
      </w:pPr>
      <w:r>
        <w:rPr>
          <w:rFonts w:ascii="Arial" w:cs="Arial" w:eastAsia="Arial" w:hAnsi="Arial"/>
          <w:sz w:val="14"/>
          <w:szCs w:val="14"/>
          <w:color w:val="auto"/>
        </w:rPr>
        <w:t>As a result of Dr. Orlandi’s separation from the Company, his unvested equity awards were forfeited as of September 2, 2019.</w:t>
      </w:r>
    </w:p>
    <w:p>
      <w:pPr>
        <w:spacing w:after="0" w:line="200" w:lineRule="exact"/>
        <w:rPr>
          <w:sz w:val="20"/>
          <w:szCs w:val="20"/>
          <w:color w:val="auto"/>
        </w:rPr>
      </w:pPr>
    </w:p>
    <w:p>
      <w:pPr>
        <w:spacing w:after="0" w:line="208"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Option Exercises and Stock Vested for Fiscal 2019</w:t>
      </w:r>
    </w:p>
    <w:p>
      <w:pPr>
        <w:spacing w:after="0" w:line="270" w:lineRule="exact"/>
        <w:rPr>
          <w:sz w:val="20"/>
          <w:szCs w:val="20"/>
          <w:color w:val="auto"/>
        </w:rPr>
      </w:pPr>
    </w:p>
    <w:tbl>
      <w:tblPr>
        <w:tblLayout w:type="fixed"/>
        <w:tblInd w:w="130" w:type="dxa"/>
        <w:tblCellMar>
          <w:top w:w="0" w:type="dxa"/>
          <w:left w:w="0" w:type="dxa"/>
          <w:bottom w:w="0" w:type="dxa"/>
          <w:right w:w="0" w:type="dxa"/>
        </w:tblCellMar>
      </w:tblPr>
      <w:tr>
        <w:trPr>
          <w:trHeight w:val="231"/>
        </w:trPr>
        <w:tc>
          <w:tcPr>
            <w:tcW w:w="2660" w:type="dxa"/>
            <w:vAlign w:val="bottom"/>
            <w:tcBorders>
              <w:left w:val="single" w:sz="8" w:color="5EB5FC"/>
              <w:right w:val="single" w:sz="8" w:color="5EB5FC"/>
            </w:tcBorders>
            <w:shd w:val="clear" w:color="auto" w:fill="5EB5FC"/>
          </w:tcPr>
          <w:p>
            <w:pPr>
              <w:spacing w:after="0"/>
              <w:rPr>
                <w:sz w:val="20"/>
                <w:szCs w:val="20"/>
                <w:color w:val="auto"/>
              </w:rPr>
            </w:pPr>
          </w:p>
        </w:tc>
        <w:tc>
          <w:tcPr>
            <w:tcW w:w="2100" w:type="dxa"/>
            <w:vAlign w:val="bottom"/>
            <w:tcBorders>
              <w:right w:val="single" w:sz="8" w:color="5EB5FC"/>
            </w:tcBorders>
            <w:shd w:val="clear" w:color="auto" w:fill="5EB5FC"/>
          </w:tcPr>
          <w:p>
            <w:pPr>
              <w:spacing w:after="0"/>
              <w:rPr>
                <w:sz w:val="20"/>
                <w:szCs w:val="20"/>
                <w:color w:val="auto"/>
              </w:rPr>
            </w:pPr>
          </w:p>
        </w:tc>
        <w:tc>
          <w:tcPr>
            <w:tcW w:w="212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Option Awards</w:t>
            </w:r>
          </w:p>
        </w:tc>
        <w:tc>
          <w:tcPr>
            <w:tcW w:w="2080" w:type="dxa"/>
            <w:vAlign w:val="bottom"/>
            <w:tcBorders>
              <w:right w:val="single" w:sz="8" w:color="5EB5FC"/>
            </w:tcBorders>
            <w:shd w:val="clear" w:color="auto" w:fill="5EB5FC"/>
          </w:tcPr>
          <w:p>
            <w:pPr>
              <w:spacing w:after="0"/>
              <w:rPr>
                <w:sz w:val="20"/>
                <w:szCs w:val="20"/>
                <w:color w:val="auto"/>
              </w:rPr>
            </w:pP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Stock Awards</w:t>
            </w:r>
          </w:p>
        </w:tc>
        <w:tc>
          <w:tcPr>
            <w:tcW w:w="0" w:type="dxa"/>
            <w:vAlign w:val="bottom"/>
          </w:tcPr>
          <w:p>
            <w:pPr>
              <w:spacing w:after="0"/>
              <w:rPr>
                <w:sz w:val="1"/>
                <w:szCs w:val="1"/>
                <w:color w:val="auto"/>
              </w:rPr>
            </w:pPr>
          </w:p>
        </w:tc>
      </w:tr>
      <w:tr>
        <w:trPr>
          <w:trHeight w:val="232"/>
        </w:trPr>
        <w:tc>
          <w:tcPr>
            <w:tcW w:w="2660" w:type="dxa"/>
            <w:vAlign w:val="bottom"/>
            <w:tcBorders>
              <w:left w:val="single" w:sz="8" w:color="5EB5FC"/>
              <w:right w:val="single" w:sz="8" w:color="5EB5FC"/>
            </w:tcBorders>
            <w:shd w:val="clear" w:color="auto" w:fill="5EB5FC"/>
          </w:tcPr>
          <w:p>
            <w:pPr>
              <w:spacing w:after="0"/>
              <w:rPr>
                <w:sz w:val="20"/>
                <w:szCs w:val="20"/>
                <w:color w:val="auto"/>
              </w:rPr>
            </w:pPr>
          </w:p>
        </w:tc>
        <w:tc>
          <w:tcPr>
            <w:tcW w:w="210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4"/>
                <w:szCs w:val="14"/>
                <w:b w:val="1"/>
                <w:bCs w:val="1"/>
                <w:color w:val="FFFFFF"/>
                <w:w w:val="92"/>
              </w:rPr>
              <w:t>Number of Shares</w:t>
            </w:r>
          </w:p>
        </w:tc>
        <w:tc>
          <w:tcPr>
            <w:tcW w:w="2120" w:type="dxa"/>
            <w:vAlign w:val="bottom"/>
            <w:tcBorders>
              <w:right w:val="single" w:sz="8" w:color="5EB5FC"/>
            </w:tcBorders>
            <w:vMerge w:val="restart"/>
            <w:shd w:val="clear" w:color="auto" w:fill="5EB5FC"/>
          </w:tcPr>
          <w:p>
            <w:pPr>
              <w:jc w:val="center"/>
              <w:ind w:left="16"/>
              <w:spacing w:after="0"/>
              <w:rPr>
                <w:sz w:val="20"/>
                <w:szCs w:val="20"/>
                <w:color w:val="auto"/>
              </w:rPr>
            </w:pPr>
            <w:r>
              <w:rPr>
                <w:rFonts w:ascii="Arial" w:cs="Arial" w:eastAsia="Arial" w:hAnsi="Arial"/>
                <w:sz w:val="14"/>
                <w:szCs w:val="14"/>
                <w:b w:val="1"/>
                <w:bCs w:val="1"/>
                <w:color w:val="FFFFFF"/>
                <w:w w:val="92"/>
              </w:rPr>
              <w:t>Value Realized on</w:t>
            </w: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Number of Shares</w:t>
            </w:r>
          </w:p>
        </w:tc>
        <w:tc>
          <w:tcPr>
            <w:tcW w:w="2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Value Realized on</w:t>
            </w:r>
          </w:p>
        </w:tc>
        <w:tc>
          <w:tcPr>
            <w:tcW w:w="0" w:type="dxa"/>
            <w:vAlign w:val="bottom"/>
          </w:tcPr>
          <w:p>
            <w:pPr>
              <w:spacing w:after="0"/>
              <w:rPr>
                <w:sz w:val="1"/>
                <w:szCs w:val="1"/>
                <w:color w:val="auto"/>
              </w:rPr>
            </w:pPr>
          </w:p>
        </w:tc>
      </w:tr>
      <w:tr>
        <w:trPr>
          <w:trHeight w:val="149"/>
        </w:trPr>
        <w:tc>
          <w:tcPr>
            <w:tcW w:w="2660" w:type="dxa"/>
            <w:vAlign w:val="bottom"/>
            <w:tcBorders>
              <w:left w:val="single" w:sz="8" w:color="5EB5FC"/>
              <w:right w:val="single" w:sz="8" w:color="5EB5FC"/>
            </w:tcBorders>
            <w:vMerge w:val="restart"/>
            <w:shd w:val="clear" w:color="auto" w:fill="5EB5FC"/>
          </w:tcPr>
          <w:p>
            <w:pPr>
              <w:ind w:left="1220"/>
              <w:spacing w:after="0"/>
              <w:rPr>
                <w:sz w:val="20"/>
                <w:szCs w:val="20"/>
                <w:color w:val="auto"/>
              </w:rPr>
            </w:pPr>
            <w:r>
              <w:rPr>
                <w:rFonts w:ascii="Arial" w:cs="Arial" w:eastAsia="Arial" w:hAnsi="Arial"/>
                <w:sz w:val="14"/>
                <w:szCs w:val="14"/>
                <w:b w:val="1"/>
                <w:bCs w:val="1"/>
                <w:color w:val="FFFFFF"/>
              </w:rPr>
              <w:t>Name</w:t>
            </w:r>
          </w:p>
        </w:tc>
        <w:tc>
          <w:tcPr>
            <w:tcW w:w="2100" w:type="dxa"/>
            <w:vAlign w:val="bottom"/>
            <w:tcBorders>
              <w:right w:val="single" w:sz="8" w:color="5EB5FC"/>
            </w:tcBorders>
            <w:shd w:val="clear" w:color="auto" w:fill="5EB5FC"/>
          </w:tcPr>
          <w:p>
            <w:pPr>
              <w:jc w:val="center"/>
              <w:ind w:left="16"/>
              <w:spacing w:after="0" w:line="149" w:lineRule="exact"/>
              <w:rPr>
                <w:sz w:val="20"/>
                <w:szCs w:val="20"/>
                <w:color w:val="auto"/>
              </w:rPr>
            </w:pPr>
            <w:r>
              <w:rPr>
                <w:rFonts w:ascii="Arial" w:cs="Arial" w:eastAsia="Arial" w:hAnsi="Arial"/>
                <w:sz w:val="14"/>
                <w:szCs w:val="14"/>
                <w:b w:val="1"/>
                <w:bCs w:val="1"/>
                <w:color w:val="FFFFFF"/>
                <w:w w:val="92"/>
              </w:rPr>
              <w:t>Acquired on Exercise</w:t>
            </w:r>
          </w:p>
        </w:tc>
        <w:tc>
          <w:tcPr>
            <w:tcW w:w="2120" w:type="dxa"/>
            <w:vAlign w:val="bottom"/>
            <w:tcBorders>
              <w:right w:val="single" w:sz="8" w:color="5EB5FC"/>
            </w:tcBorders>
            <w:vMerge w:val="continue"/>
            <w:shd w:val="clear" w:color="auto" w:fill="5EB5FC"/>
          </w:tcPr>
          <w:p>
            <w:pPr>
              <w:spacing w:after="0"/>
              <w:rPr>
                <w:sz w:val="12"/>
                <w:szCs w:val="12"/>
                <w:color w:val="auto"/>
              </w:rPr>
            </w:pPr>
          </w:p>
        </w:tc>
        <w:tc>
          <w:tcPr>
            <w:tcW w:w="208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2"/>
              </w:rPr>
              <w:t>Acquired on Vesting</w:t>
            </w:r>
          </w:p>
        </w:tc>
        <w:tc>
          <w:tcPr>
            <w:tcW w:w="2080" w:type="dxa"/>
            <w:vAlign w:val="bottom"/>
            <w:tcBorders>
              <w:right w:val="single" w:sz="8" w:color="5EB5FC"/>
            </w:tcBorders>
            <w:vMerge w:val="continue"/>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86"/>
        </w:trPr>
        <w:tc>
          <w:tcPr>
            <w:tcW w:w="266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210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4"/>
                <w:szCs w:val="14"/>
                <w:b w:val="1"/>
                <w:bCs w:val="1"/>
                <w:color w:val="FFFFFF"/>
                <w:w w:val="93"/>
              </w:rPr>
              <w:t>(#)</w:t>
            </w:r>
          </w:p>
        </w:tc>
        <w:tc>
          <w:tcPr>
            <w:tcW w:w="2120" w:type="dxa"/>
            <w:vAlign w:val="bottom"/>
            <w:tcBorders>
              <w:right w:val="single" w:sz="8" w:color="5EB5FC"/>
            </w:tcBorders>
            <w:shd w:val="clear" w:color="auto" w:fill="5EB5FC"/>
          </w:tcPr>
          <w:p>
            <w:pPr>
              <w:jc w:val="center"/>
              <w:ind w:left="16"/>
              <w:spacing w:after="0"/>
              <w:rPr>
                <w:sz w:val="20"/>
                <w:szCs w:val="20"/>
                <w:color w:val="auto"/>
              </w:rPr>
            </w:pPr>
            <w:r>
              <w:rPr>
                <w:rFonts w:ascii="Arial" w:cs="Arial" w:eastAsia="Arial" w:hAnsi="Arial"/>
                <w:sz w:val="14"/>
                <w:szCs w:val="14"/>
                <w:b w:val="1"/>
                <w:bCs w:val="1"/>
                <w:color w:val="FFFFFF"/>
                <w:w w:val="92"/>
              </w:rPr>
              <w:t>Exercise ($)</w:t>
            </w:r>
            <w:r>
              <w:rPr>
                <w:rFonts w:ascii="Arial" w:cs="Arial" w:eastAsia="Arial" w:hAnsi="Arial"/>
                <w:sz w:val="12"/>
                <w:szCs w:val="12"/>
                <w:b w:val="1"/>
                <w:bCs w:val="1"/>
                <w:color w:val="FFFFFF"/>
                <w:w w:val="92"/>
              </w:rPr>
              <w:t>(1)</w:t>
            </w: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rPr>
              <w:t>(#)</w:t>
            </w:r>
          </w:p>
        </w:tc>
        <w:tc>
          <w:tcPr>
            <w:tcW w:w="208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Vesting ($)</w:t>
            </w:r>
            <w:r>
              <w:rPr>
                <w:rFonts w:ascii="Arial" w:cs="Arial" w:eastAsia="Arial" w:hAnsi="Arial"/>
                <w:sz w:val="12"/>
                <w:szCs w:val="12"/>
                <w:b w:val="1"/>
                <w:bCs w:val="1"/>
                <w:color w:val="FFFFFF"/>
                <w:w w:val="90"/>
              </w:rPr>
              <w:t>(2)</w:t>
            </w:r>
          </w:p>
        </w:tc>
        <w:tc>
          <w:tcPr>
            <w:tcW w:w="0" w:type="dxa"/>
            <w:vAlign w:val="bottom"/>
          </w:tcPr>
          <w:p>
            <w:pPr>
              <w:spacing w:after="0"/>
              <w:rPr>
                <w:sz w:val="1"/>
                <w:szCs w:val="1"/>
                <w:color w:val="auto"/>
              </w:rPr>
            </w:pPr>
          </w:p>
        </w:tc>
      </w:tr>
      <w:tr>
        <w:trPr>
          <w:trHeight w:val="53"/>
        </w:trPr>
        <w:tc>
          <w:tcPr>
            <w:tcW w:w="2660" w:type="dxa"/>
            <w:vAlign w:val="bottom"/>
            <w:tcBorders>
              <w:left w:val="single" w:sz="8" w:color="5EB5FC"/>
              <w:bottom w:val="single" w:sz="8" w:color="5EB5FC"/>
              <w:right w:val="single" w:sz="8" w:color="5EB5FC"/>
            </w:tcBorders>
            <w:shd w:val="clear" w:color="auto" w:fill="5EB5FC"/>
          </w:tcPr>
          <w:p>
            <w:pPr>
              <w:spacing w:after="0"/>
              <w:rPr>
                <w:sz w:val="4"/>
                <w:szCs w:val="4"/>
                <w:color w:val="auto"/>
              </w:rPr>
            </w:pPr>
          </w:p>
        </w:tc>
        <w:tc>
          <w:tcPr>
            <w:tcW w:w="2100" w:type="dxa"/>
            <w:vAlign w:val="bottom"/>
            <w:tcBorders>
              <w:bottom w:val="single" w:sz="8" w:color="5EB5FC"/>
              <w:right w:val="single" w:sz="8" w:color="5EB5FC"/>
            </w:tcBorders>
            <w:shd w:val="clear" w:color="auto" w:fill="5EB5FC"/>
          </w:tcPr>
          <w:p>
            <w:pPr>
              <w:spacing w:after="0"/>
              <w:rPr>
                <w:sz w:val="4"/>
                <w:szCs w:val="4"/>
                <w:color w:val="auto"/>
              </w:rPr>
            </w:pPr>
          </w:p>
        </w:tc>
        <w:tc>
          <w:tcPr>
            <w:tcW w:w="2120" w:type="dxa"/>
            <w:vAlign w:val="bottom"/>
            <w:tcBorders>
              <w:bottom w:val="single" w:sz="8" w:color="5EB5FC"/>
              <w:right w:val="single" w:sz="8" w:color="5EB5FC"/>
            </w:tcBorders>
            <w:shd w:val="clear" w:color="auto" w:fill="5EB5FC"/>
          </w:tcPr>
          <w:p>
            <w:pPr>
              <w:spacing w:after="0"/>
              <w:rPr>
                <w:sz w:val="4"/>
                <w:szCs w:val="4"/>
                <w:color w:val="auto"/>
              </w:rPr>
            </w:pPr>
          </w:p>
        </w:tc>
        <w:tc>
          <w:tcPr>
            <w:tcW w:w="2080" w:type="dxa"/>
            <w:vAlign w:val="bottom"/>
            <w:tcBorders>
              <w:bottom w:val="single" w:sz="8" w:color="5EB5FC"/>
              <w:right w:val="single" w:sz="8" w:color="5EB5FC"/>
            </w:tcBorders>
            <w:shd w:val="clear" w:color="auto" w:fill="5EB5FC"/>
          </w:tcPr>
          <w:p>
            <w:pPr>
              <w:spacing w:after="0"/>
              <w:rPr>
                <w:sz w:val="4"/>
                <w:szCs w:val="4"/>
                <w:color w:val="auto"/>
              </w:rPr>
            </w:pPr>
          </w:p>
        </w:tc>
        <w:tc>
          <w:tcPr>
            <w:tcW w:w="2080" w:type="dxa"/>
            <w:vAlign w:val="bottom"/>
            <w:tcBorders>
              <w:bottom w:val="single" w:sz="8" w:color="5EB5FC"/>
              <w:right w:val="single" w:sz="8" w:color="5EB5FC"/>
            </w:tcBorders>
            <w:shd w:val="clear" w:color="auto" w:fill="5EB5FC"/>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2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tcBorders>
              <w:right w:val="single" w:sz="8" w:color="A0DBF9"/>
            </w:tcBorders>
            <w:shd w:val="clear" w:color="auto" w:fill="E2F4FC"/>
          </w:tcPr>
          <w:p>
            <w:pPr>
              <w:jc w:val="center"/>
              <w:ind w:left="16"/>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187,274</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$4,224,415</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2100" w:type="dxa"/>
            <w:vAlign w:val="bottom"/>
            <w:tcBorders>
              <w:bottom w:val="single" w:sz="8" w:color="A0DBF9"/>
              <w:right w:val="single" w:sz="8" w:color="A0DBF9"/>
            </w:tcBorders>
            <w:shd w:val="clear" w:color="auto" w:fill="E2F4FC"/>
          </w:tcPr>
          <w:p>
            <w:pPr>
              <w:spacing w:after="0"/>
              <w:rPr>
                <w:sz w:val="7"/>
                <w:szCs w:val="7"/>
                <w:color w:val="auto"/>
              </w:rPr>
            </w:pPr>
          </w:p>
        </w:tc>
        <w:tc>
          <w:tcPr>
            <w:tcW w:w="212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J. Marshall, Jr</w:t>
            </w:r>
          </w:p>
        </w:tc>
        <w:tc>
          <w:tcPr>
            <w:tcW w:w="2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tcBorders>
              <w:right w:val="single" w:sz="8" w:color="A0DBF9"/>
            </w:tcBorders>
          </w:tcPr>
          <w:p>
            <w:pPr>
              <w:jc w:val="center"/>
              <w:ind w:left="16"/>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11,160</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$213,212</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tcPr>
          <w:p>
            <w:pPr>
              <w:spacing w:after="0"/>
              <w:rPr>
                <w:sz w:val="7"/>
                <w:szCs w:val="7"/>
                <w:color w:val="auto"/>
              </w:rPr>
            </w:pPr>
          </w:p>
        </w:tc>
        <w:tc>
          <w:tcPr>
            <w:tcW w:w="2100" w:type="dxa"/>
            <w:vAlign w:val="bottom"/>
            <w:tcBorders>
              <w:bottom w:val="single" w:sz="8" w:color="A0DBF9"/>
              <w:right w:val="single" w:sz="8" w:color="A0DBF9"/>
            </w:tcBorders>
          </w:tcPr>
          <w:p>
            <w:pPr>
              <w:spacing w:after="0"/>
              <w:rPr>
                <w:sz w:val="7"/>
                <w:szCs w:val="7"/>
                <w:color w:val="auto"/>
              </w:rPr>
            </w:pPr>
          </w:p>
        </w:tc>
        <w:tc>
          <w:tcPr>
            <w:tcW w:w="212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J. Bolla</w:t>
            </w:r>
          </w:p>
        </w:tc>
        <w:tc>
          <w:tcPr>
            <w:tcW w:w="2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tcBorders>
              <w:right w:val="single" w:sz="8" w:color="A0DBF9"/>
            </w:tcBorders>
            <w:shd w:val="clear" w:color="auto" w:fill="E2F4FC"/>
          </w:tcPr>
          <w:p>
            <w:pPr>
              <w:jc w:val="center"/>
              <w:ind w:left="16"/>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5,655</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$151,724</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2100" w:type="dxa"/>
            <w:vAlign w:val="bottom"/>
            <w:tcBorders>
              <w:bottom w:val="single" w:sz="8" w:color="A0DBF9"/>
              <w:right w:val="single" w:sz="8" w:color="A0DBF9"/>
            </w:tcBorders>
            <w:shd w:val="clear" w:color="auto" w:fill="E2F4FC"/>
          </w:tcPr>
          <w:p>
            <w:pPr>
              <w:spacing w:after="0"/>
              <w:rPr>
                <w:sz w:val="7"/>
                <w:szCs w:val="7"/>
                <w:color w:val="auto"/>
              </w:rPr>
            </w:pPr>
          </w:p>
        </w:tc>
        <w:tc>
          <w:tcPr>
            <w:tcW w:w="212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2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tcBorders>
              <w:right w:val="single" w:sz="8" w:color="A0DBF9"/>
            </w:tcBorders>
          </w:tcPr>
          <w:p>
            <w:pPr>
              <w:jc w:val="center"/>
              <w:ind w:left="16"/>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55,319</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$1,174,371</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tcPr>
          <w:p>
            <w:pPr>
              <w:spacing w:after="0"/>
              <w:rPr>
                <w:sz w:val="7"/>
                <w:szCs w:val="7"/>
                <w:color w:val="auto"/>
              </w:rPr>
            </w:pPr>
          </w:p>
        </w:tc>
        <w:tc>
          <w:tcPr>
            <w:tcW w:w="2100" w:type="dxa"/>
            <w:vAlign w:val="bottom"/>
            <w:tcBorders>
              <w:bottom w:val="single" w:sz="8" w:color="A0DBF9"/>
              <w:right w:val="single" w:sz="8" w:color="A0DBF9"/>
            </w:tcBorders>
          </w:tcPr>
          <w:p>
            <w:pPr>
              <w:spacing w:after="0"/>
              <w:rPr>
                <w:sz w:val="7"/>
                <w:szCs w:val="7"/>
                <w:color w:val="auto"/>
              </w:rPr>
            </w:pPr>
          </w:p>
        </w:tc>
        <w:tc>
          <w:tcPr>
            <w:tcW w:w="212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 Ph.D.</w:t>
            </w:r>
          </w:p>
        </w:tc>
        <w:tc>
          <w:tcPr>
            <w:tcW w:w="2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9"/>
              </w:rPr>
              <w:t>—</w:t>
            </w:r>
          </w:p>
        </w:tc>
        <w:tc>
          <w:tcPr>
            <w:tcW w:w="2120" w:type="dxa"/>
            <w:vAlign w:val="bottom"/>
            <w:tcBorders>
              <w:right w:val="single" w:sz="8" w:color="A0DBF9"/>
            </w:tcBorders>
            <w:shd w:val="clear" w:color="auto" w:fill="E2F4FC"/>
          </w:tcPr>
          <w:p>
            <w:pPr>
              <w:jc w:val="center"/>
              <w:ind w:left="16"/>
              <w:spacing w:after="0"/>
              <w:rPr>
                <w:sz w:val="20"/>
                <w:szCs w:val="20"/>
                <w:color w:val="auto"/>
              </w:rPr>
            </w:pPr>
            <w:r>
              <w:rPr>
                <w:rFonts w:ascii="Arial" w:cs="Arial" w:eastAsia="Arial" w:hAnsi="Arial"/>
                <w:sz w:val="18"/>
                <w:szCs w:val="18"/>
                <w:color w:val="auto"/>
                <w:w w:val="99"/>
              </w:rPr>
              <w:t>—</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37,573</w:t>
            </w:r>
          </w:p>
        </w:tc>
        <w:tc>
          <w:tcPr>
            <w:tcW w:w="2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$831,512</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shd w:val="clear" w:color="auto" w:fill="E2F4FC"/>
          </w:tcPr>
          <w:p>
            <w:pPr>
              <w:spacing w:after="0"/>
              <w:rPr>
                <w:sz w:val="7"/>
                <w:szCs w:val="7"/>
                <w:color w:val="auto"/>
              </w:rPr>
            </w:pPr>
          </w:p>
        </w:tc>
        <w:tc>
          <w:tcPr>
            <w:tcW w:w="2100" w:type="dxa"/>
            <w:vAlign w:val="bottom"/>
            <w:tcBorders>
              <w:bottom w:val="single" w:sz="8" w:color="A0DBF9"/>
              <w:right w:val="single" w:sz="8" w:color="A0DBF9"/>
            </w:tcBorders>
            <w:shd w:val="clear" w:color="auto" w:fill="E2F4FC"/>
          </w:tcPr>
          <w:p>
            <w:pPr>
              <w:spacing w:after="0"/>
              <w:rPr>
                <w:sz w:val="7"/>
                <w:szCs w:val="7"/>
                <w:color w:val="auto"/>
              </w:rPr>
            </w:pPr>
          </w:p>
        </w:tc>
        <w:tc>
          <w:tcPr>
            <w:tcW w:w="212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2080" w:type="dxa"/>
            <w:vAlign w:val="bottom"/>
            <w:tcBorders>
              <w:bottom w:val="single" w:sz="8" w:color="A0DBF9"/>
              <w:right w:val="single" w:sz="8" w:color="A0DBF9"/>
            </w:tcBorders>
            <w:shd w:val="clear" w:color="auto" w:fill="E2F4FC"/>
          </w:tcPr>
          <w:p>
            <w:pPr>
              <w:spacing w:after="0"/>
              <w:rPr>
                <w:sz w:val="7"/>
                <w:szCs w:val="7"/>
                <w:color w:val="auto"/>
              </w:rPr>
            </w:pPr>
          </w:p>
        </w:tc>
        <w:tc>
          <w:tcPr>
            <w:tcW w:w="0" w:type="dxa"/>
            <w:vAlign w:val="bottom"/>
          </w:tcPr>
          <w:p>
            <w:pPr>
              <w:spacing w:after="0"/>
              <w:rPr>
                <w:sz w:val="1"/>
                <w:szCs w:val="1"/>
                <w:color w:val="auto"/>
              </w:rPr>
            </w:pPr>
          </w:p>
        </w:tc>
      </w:tr>
      <w:tr>
        <w:trPr>
          <w:trHeight w:val="250"/>
        </w:trPr>
        <w:tc>
          <w:tcPr>
            <w:tcW w:w="266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Cesare Orlandi, M.D.</w:t>
            </w:r>
          </w:p>
        </w:tc>
        <w:tc>
          <w:tcPr>
            <w:tcW w:w="2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35,586</w:t>
            </w:r>
          </w:p>
        </w:tc>
        <w:tc>
          <w:tcPr>
            <w:tcW w:w="21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$273,548</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35,749</w:t>
            </w:r>
          </w:p>
        </w:tc>
        <w:tc>
          <w:tcPr>
            <w:tcW w:w="2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7"/>
              </w:rPr>
              <w:t>$785,898</w:t>
            </w:r>
          </w:p>
        </w:tc>
        <w:tc>
          <w:tcPr>
            <w:tcW w:w="0" w:type="dxa"/>
            <w:vAlign w:val="bottom"/>
          </w:tcPr>
          <w:p>
            <w:pPr>
              <w:spacing w:after="0"/>
              <w:rPr>
                <w:sz w:val="1"/>
                <w:szCs w:val="1"/>
                <w:color w:val="auto"/>
              </w:rPr>
            </w:pPr>
          </w:p>
        </w:tc>
      </w:tr>
      <w:tr>
        <w:trPr>
          <w:trHeight w:val="81"/>
        </w:trPr>
        <w:tc>
          <w:tcPr>
            <w:tcW w:w="2660" w:type="dxa"/>
            <w:vAlign w:val="bottom"/>
            <w:tcBorders>
              <w:left w:val="single" w:sz="8" w:color="A0DBF9"/>
              <w:bottom w:val="single" w:sz="8" w:color="A0DBF9"/>
              <w:right w:val="single" w:sz="8" w:color="A0DBF9"/>
            </w:tcBorders>
          </w:tcPr>
          <w:p>
            <w:pPr>
              <w:spacing w:after="0"/>
              <w:rPr>
                <w:sz w:val="7"/>
                <w:szCs w:val="7"/>
                <w:color w:val="auto"/>
              </w:rPr>
            </w:pPr>
          </w:p>
        </w:tc>
        <w:tc>
          <w:tcPr>
            <w:tcW w:w="2100" w:type="dxa"/>
            <w:vAlign w:val="bottom"/>
            <w:tcBorders>
              <w:bottom w:val="single" w:sz="8" w:color="A0DBF9"/>
              <w:right w:val="single" w:sz="8" w:color="A0DBF9"/>
            </w:tcBorders>
          </w:tcPr>
          <w:p>
            <w:pPr>
              <w:spacing w:after="0"/>
              <w:rPr>
                <w:sz w:val="7"/>
                <w:szCs w:val="7"/>
                <w:color w:val="auto"/>
              </w:rPr>
            </w:pPr>
          </w:p>
        </w:tc>
        <w:tc>
          <w:tcPr>
            <w:tcW w:w="212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2080" w:type="dxa"/>
            <w:vAlign w:val="bottom"/>
            <w:tcBorders>
              <w:bottom w:val="single" w:sz="8" w:color="A0DBF9"/>
              <w:right w:val="single" w:sz="8" w:color="A0DBF9"/>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540" w:right="280" w:hanging="424"/>
        <w:spacing w:after="0" w:line="230" w:lineRule="auto"/>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shown in this column represent the number of shares acquired on exercise multiplied by the difference between the options exercise price and the closing price of our common stock on the date of exercise.</w:t>
      </w:r>
    </w:p>
    <w:p>
      <w:pPr>
        <w:ind w:left="540" w:hanging="424"/>
        <w:spacing w:after="0"/>
        <w:tabs>
          <w:tab w:leader="none" w:pos="540" w:val="left"/>
        </w:tabs>
        <w:numPr>
          <w:ilvl w:val="0"/>
          <w:numId w:val="55"/>
        </w:numPr>
        <w:rPr>
          <w:rFonts w:ascii="Arial" w:cs="Arial" w:eastAsia="Arial" w:hAnsi="Arial"/>
          <w:sz w:val="14"/>
          <w:szCs w:val="14"/>
          <w:color w:val="auto"/>
        </w:rPr>
      </w:pPr>
      <w:r>
        <w:rPr>
          <w:rFonts w:ascii="Arial" w:cs="Arial" w:eastAsia="Arial" w:hAnsi="Arial"/>
          <w:sz w:val="14"/>
          <w:szCs w:val="14"/>
          <w:color w:val="auto"/>
        </w:rPr>
        <w:t>The amounts shown in this column represent the number of shares vested multiplied by the closing price of our common stock on the vesting day.</w:t>
      </w:r>
    </w:p>
    <w:p>
      <w:pPr>
        <w:spacing w:after="0" w:line="12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40"/>
          </w:cols>
          <w:pgMar w:left="320" w:top="459" w:right="4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Employment Agreements; Severance and Potential Payments</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Upon Termination or Change of Control</w:t>
      </w:r>
    </w:p>
    <w:p>
      <w:pPr>
        <w:spacing w:after="0" w:line="211" w:lineRule="exact"/>
        <w:rPr>
          <w:sz w:val="20"/>
          <w:szCs w:val="20"/>
          <w:color w:val="auto"/>
        </w:rPr>
      </w:pPr>
    </w:p>
    <w:p>
      <w:pPr>
        <w:ind w:left="120" w:right="100" w:firstLine="440"/>
        <w:spacing w:after="0" w:line="254" w:lineRule="auto"/>
        <w:rPr>
          <w:sz w:val="20"/>
          <w:szCs w:val="20"/>
          <w:color w:val="auto"/>
        </w:rPr>
      </w:pPr>
      <w:r>
        <w:rPr>
          <w:rFonts w:ascii="Arial" w:cs="Arial" w:eastAsia="Arial" w:hAnsi="Arial"/>
          <w:sz w:val="18"/>
          <w:szCs w:val="18"/>
          <w:color w:val="auto"/>
        </w:rPr>
        <w:t xml:space="preserve">In 2018, the Compensation Committee, working with Pearl Meyer, evaluated our executive compensation practices, including our severance arrangements in comparison to our peer group of public companies and market information. The Compensation Committee then recommended, and the Board subsequently authorized, modifications to our severance arrangements, including for our current NEOs. These modifications were implemented on January 25, 2019, and apply to our President and CEO and her direct reports at the Senior Vice President level and above, including Mr. Marshall, Mr. Bolla, Mr. Duffy and Mr. Robinson. In exchange for being bound by certain restrictive covenants and providing a release and waiver in favor of the Company, in the event of a termination of employment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or a resignation for </w:t>
      </w:r>
      <w:r>
        <w:rPr>
          <w:rFonts w:ascii="Arial" w:cs="Arial" w:eastAsia="Arial" w:hAnsi="Arial"/>
          <w:sz w:val="18"/>
          <w:szCs w:val="18"/>
          <w:i w:val="1"/>
          <w:iCs w:val="1"/>
          <w:color w:val="auto"/>
        </w:rPr>
        <w:t>good reason</w:t>
      </w:r>
      <w:r>
        <w:rPr>
          <w:rFonts w:ascii="Arial" w:cs="Arial" w:eastAsia="Arial" w:hAnsi="Arial"/>
          <w:sz w:val="18"/>
          <w:szCs w:val="18"/>
          <w:color w:val="auto"/>
        </w:rPr>
        <w:t>, these arrangements provide for the following severance payments and benefits:</w:t>
      </w:r>
    </w:p>
    <w:p>
      <w:pPr>
        <w:spacing w:after="0" w:line="100" w:lineRule="exact"/>
        <w:rPr>
          <w:sz w:val="20"/>
          <w:szCs w:val="20"/>
          <w:color w:val="auto"/>
        </w:rPr>
      </w:pPr>
    </w:p>
    <w:p>
      <w:pPr>
        <w:ind w:left="1080" w:right="40" w:hanging="424"/>
        <w:spacing w:after="0" w:line="259"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Non-Change of Control</w:t>
      </w:r>
      <w:r>
        <w:rPr>
          <w:rFonts w:ascii="Arial" w:cs="Arial" w:eastAsia="Arial" w:hAnsi="Arial"/>
          <w:sz w:val="18"/>
          <w:szCs w:val="18"/>
          <w:color w:val="auto"/>
        </w:rPr>
        <w:t>: one times annual base salary, plus a prorated portion of the target annual bonus in effect on the date of separation</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and an amount equal to the Company’s portion of COBRA premiums for up to 12 months following such termination of employment, in the event that the executive’s employment is terminated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or the executive resigns for </w:t>
      </w:r>
      <w:r>
        <w:rPr>
          <w:rFonts w:ascii="Arial" w:cs="Arial" w:eastAsia="Arial" w:hAnsi="Arial"/>
          <w:sz w:val="18"/>
          <w:szCs w:val="18"/>
          <w:i w:val="1"/>
          <w:iCs w:val="1"/>
          <w:color w:val="auto"/>
        </w:rPr>
        <w:t>good reason</w:t>
      </w:r>
      <w:r>
        <w:rPr>
          <w:rFonts w:ascii="Arial" w:cs="Arial" w:eastAsia="Arial" w:hAnsi="Arial"/>
          <w:sz w:val="18"/>
          <w:szCs w:val="18"/>
          <w:color w:val="auto"/>
        </w:rPr>
        <w:t xml:space="preserve"> </w:t>
      </w:r>
      <w:r>
        <w:rPr>
          <w:rFonts w:ascii="Arial" w:cs="Arial" w:eastAsia="Arial" w:hAnsi="Arial"/>
          <w:sz w:val="18"/>
          <w:szCs w:val="18"/>
          <w:u w:val="single" w:color="auto"/>
          <w:color w:val="auto"/>
        </w:rPr>
        <w:t>other than</w:t>
      </w:r>
      <w:r>
        <w:rPr>
          <w:rFonts w:ascii="Arial" w:cs="Arial" w:eastAsia="Arial" w:hAnsi="Arial"/>
          <w:sz w:val="18"/>
          <w:szCs w:val="18"/>
          <w:color w:val="auto"/>
        </w:rPr>
        <w:t xml:space="preserve"> after a </w:t>
      </w:r>
      <w:r>
        <w:rPr>
          <w:rFonts w:ascii="Arial" w:cs="Arial" w:eastAsia="Arial" w:hAnsi="Arial"/>
          <w:sz w:val="18"/>
          <w:szCs w:val="18"/>
          <w:i w:val="1"/>
          <w:iCs w:val="1"/>
          <w:color w:val="auto"/>
        </w:rPr>
        <w:t>change of</w:t>
      </w:r>
      <w:r>
        <w:rPr>
          <w:rFonts w:ascii="Arial" w:cs="Arial" w:eastAsia="Arial" w:hAnsi="Arial"/>
          <w:sz w:val="18"/>
          <w:szCs w:val="18"/>
          <w:color w:val="auto"/>
        </w:rPr>
        <w:t xml:space="preserve"> </w:t>
      </w:r>
      <w:r>
        <w:rPr>
          <w:rFonts w:ascii="Arial" w:cs="Arial" w:eastAsia="Arial" w:hAnsi="Arial"/>
          <w:sz w:val="18"/>
          <w:szCs w:val="18"/>
          <w:i w:val="1"/>
          <w:iCs w:val="1"/>
          <w:color w:val="auto"/>
        </w:rPr>
        <w:t>control</w:t>
      </w:r>
      <w:r>
        <w:rPr>
          <w:rFonts w:ascii="Arial" w:cs="Arial" w:eastAsia="Arial" w:hAnsi="Arial"/>
          <w:sz w:val="18"/>
          <w:szCs w:val="18"/>
          <w:color w:val="auto"/>
        </w:rPr>
        <w:t>;</w:t>
      </w:r>
    </w:p>
    <w:p>
      <w:pPr>
        <w:spacing w:after="0" w:line="92" w:lineRule="exact"/>
        <w:rPr>
          <w:rFonts w:ascii="Arial" w:cs="Arial" w:eastAsia="Arial" w:hAnsi="Arial"/>
          <w:sz w:val="18"/>
          <w:szCs w:val="18"/>
          <w:color w:val="auto"/>
        </w:rPr>
      </w:pPr>
    </w:p>
    <w:p>
      <w:pPr>
        <w:ind w:left="1080" w:right="20" w:hanging="424"/>
        <w:spacing w:after="0" w:line="257"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“Double Trigger” Change of Control</w:t>
      </w:r>
      <w:r>
        <w:rPr>
          <w:rFonts w:ascii="Arial" w:cs="Arial" w:eastAsia="Arial" w:hAnsi="Arial"/>
          <w:sz w:val="18"/>
          <w:szCs w:val="18"/>
          <w:color w:val="auto"/>
        </w:rPr>
        <w:t>: two times annual base salary, plus two times the full-year target annual bonus in effect on the date of</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termination and an amount equal to the Company’s portion of COBRA premiums for 24 months following such termination of employment, in the event that the executive’s employment is terminated </w:t>
      </w:r>
      <w:r>
        <w:rPr>
          <w:rFonts w:ascii="Arial" w:cs="Arial" w:eastAsia="Arial" w:hAnsi="Arial"/>
          <w:sz w:val="18"/>
          <w:szCs w:val="18"/>
          <w:i w:val="1"/>
          <w:iCs w:val="1"/>
          <w:color w:val="auto"/>
        </w:rPr>
        <w:t>without cause</w:t>
      </w:r>
      <w:r>
        <w:rPr>
          <w:rFonts w:ascii="Arial" w:cs="Arial" w:eastAsia="Arial" w:hAnsi="Arial"/>
          <w:sz w:val="18"/>
          <w:szCs w:val="18"/>
          <w:color w:val="auto"/>
        </w:rPr>
        <w:t xml:space="preserve"> or the executive resigns for </w:t>
      </w:r>
      <w:r>
        <w:rPr>
          <w:rFonts w:ascii="Arial" w:cs="Arial" w:eastAsia="Arial" w:hAnsi="Arial"/>
          <w:sz w:val="18"/>
          <w:szCs w:val="18"/>
          <w:i w:val="1"/>
          <w:iCs w:val="1"/>
          <w:color w:val="auto"/>
        </w:rPr>
        <w:t>good reason</w:t>
      </w:r>
      <w:r>
        <w:rPr>
          <w:rFonts w:ascii="Arial" w:cs="Arial" w:eastAsia="Arial" w:hAnsi="Arial"/>
          <w:sz w:val="18"/>
          <w:szCs w:val="18"/>
          <w:color w:val="auto"/>
        </w:rPr>
        <w:t xml:space="preserve"> within 12 months of a </w:t>
      </w:r>
      <w:r>
        <w:rPr>
          <w:rFonts w:ascii="Arial" w:cs="Arial" w:eastAsia="Arial" w:hAnsi="Arial"/>
          <w:sz w:val="18"/>
          <w:szCs w:val="18"/>
          <w:i w:val="1"/>
          <w:iCs w:val="1"/>
          <w:color w:val="auto"/>
        </w:rPr>
        <w:t>change of control</w:t>
      </w:r>
      <w:r>
        <w:rPr>
          <w:rFonts w:ascii="Arial" w:cs="Arial" w:eastAsia="Arial" w:hAnsi="Arial"/>
          <w:sz w:val="18"/>
          <w:szCs w:val="18"/>
          <w:color w:val="auto"/>
        </w:rPr>
        <w:t>, with all unvested stock options and other equity-based awards also vesting in full (with performance-based equity awards vesting at target levels of achievement).</w:t>
      </w:r>
    </w:p>
    <w:p>
      <w:pPr>
        <w:spacing w:after="0" w:line="188" w:lineRule="exact"/>
        <w:rPr>
          <w:sz w:val="20"/>
          <w:szCs w:val="20"/>
          <w:color w:val="auto"/>
        </w:rPr>
      </w:pPr>
    </w:p>
    <w:p>
      <w:pPr>
        <w:ind w:left="120" w:right="60" w:firstLine="440"/>
        <w:spacing w:after="0" w:line="275" w:lineRule="auto"/>
        <w:rPr>
          <w:sz w:val="20"/>
          <w:szCs w:val="20"/>
          <w:color w:val="auto"/>
        </w:rPr>
      </w:pPr>
      <w:r>
        <w:rPr>
          <w:rFonts w:ascii="Arial" w:cs="Arial" w:eastAsia="Arial" w:hAnsi="Arial"/>
          <w:sz w:val="17"/>
          <w:szCs w:val="17"/>
          <w:color w:val="auto"/>
        </w:rPr>
        <w:t>The table below quantifies the amounts that would have become payable under each NEO’s employment agreement and equity award agreements if, on December 31, 2019, a change of control had been consummated and the NEO’s employment had been terminated without cause or the NEO resigned for good reason under the severance arrangements described above. Due to the number of factors that affect the nature and amount of any benefits provided upon the events discussed above, any actual amounts paid may be different. Factors that could affect these amounts include the timing during the year of any such event, the cost of benefits, the NEO’s base salary and our stock price.</w:t>
      </w:r>
    </w:p>
    <w:p>
      <w:pPr>
        <w:spacing w:after="0" w:line="217"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3520" w:type="dxa"/>
            <w:vAlign w:val="bottom"/>
            <w:tcBorders>
              <w:left w:val="single" w:sz="8" w:color="5EB5FC"/>
              <w:right w:val="single" w:sz="8" w:color="5EB5FC"/>
            </w:tcBorders>
            <w:shd w:val="clear" w:color="auto" w:fill="5EB5FC"/>
          </w:tcPr>
          <w:p>
            <w:pPr>
              <w:spacing w:after="0"/>
              <w:rPr>
                <w:sz w:val="15"/>
                <w:szCs w:val="15"/>
                <w:color w:val="auto"/>
              </w:rPr>
            </w:pPr>
          </w:p>
        </w:tc>
        <w:tc>
          <w:tcPr>
            <w:tcW w:w="60" w:type="dxa"/>
            <w:vAlign w:val="bottom"/>
            <w:shd w:val="clear" w:color="auto" w:fill="5EB5FC"/>
          </w:tcPr>
          <w:p>
            <w:pPr>
              <w:spacing w:after="0"/>
              <w:rPr>
                <w:sz w:val="15"/>
                <w:szCs w:val="15"/>
                <w:color w:val="auto"/>
              </w:rPr>
            </w:pPr>
          </w:p>
        </w:tc>
        <w:tc>
          <w:tcPr>
            <w:tcW w:w="3140" w:type="dxa"/>
            <w:vAlign w:val="bottom"/>
            <w:tcBorders>
              <w:right w:val="single" w:sz="8" w:color="5EB5FC"/>
            </w:tcBorders>
            <w:gridSpan w:val="3"/>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Payments for Termination</w:t>
            </w:r>
          </w:p>
        </w:tc>
        <w:tc>
          <w:tcPr>
            <w:tcW w:w="1080" w:type="dxa"/>
            <w:vAlign w:val="bottom"/>
            <w:tcBorders>
              <w:right w:val="single" w:sz="8" w:color="5EB5FC"/>
            </w:tcBorders>
            <w:shd w:val="clear" w:color="auto" w:fill="5EB5FC"/>
          </w:tcPr>
          <w:p>
            <w:pPr>
              <w:spacing w:after="0"/>
              <w:rPr>
                <w:sz w:val="15"/>
                <w:szCs w:val="15"/>
                <w:color w:val="auto"/>
              </w:rPr>
            </w:pPr>
          </w:p>
        </w:tc>
        <w:tc>
          <w:tcPr>
            <w:tcW w:w="2160" w:type="dxa"/>
            <w:vAlign w:val="bottom"/>
            <w:tcBorders>
              <w:right w:val="single" w:sz="8" w:color="5EB5FC"/>
            </w:tcBorders>
            <w:gridSpan w:val="2"/>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Payments for Termination</w:t>
            </w:r>
          </w:p>
        </w:tc>
        <w:tc>
          <w:tcPr>
            <w:tcW w:w="1080" w:type="dxa"/>
            <w:vAlign w:val="bottom"/>
            <w:tcBorders>
              <w:right w:val="single" w:sz="8" w:color="5EB5FC"/>
            </w:tcBorders>
            <w:shd w:val="clear" w:color="auto" w:fill="5EB5FC"/>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3520" w:type="dxa"/>
            <w:vAlign w:val="bottom"/>
            <w:tcBorders>
              <w:left w:val="single" w:sz="8" w:color="5EB5FC"/>
              <w:right w:val="single" w:sz="8" w:color="5EB5FC"/>
            </w:tcBorders>
            <w:shd w:val="clear" w:color="auto" w:fill="5EB5FC"/>
          </w:tcPr>
          <w:p>
            <w:pPr>
              <w:spacing w:after="0"/>
              <w:rPr>
                <w:sz w:val="16"/>
                <w:szCs w:val="16"/>
                <w:color w:val="auto"/>
              </w:rPr>
            </w:pPr>
          </w:p>
        </w:tc>
        <w:tc>
          <w:tcPr>
            <w:tcW w:w="60" w:type="dxa"/>
            <w:vAlign w:val="bottom"/>
            <w:shd w:val="clear" w:color="auto" w:fill="5EB5FC"/>
          </w:tcPr>
          <w:p>
            <w:pPr>
              <w:spacing w:after="0"/>
              <w:rPr>
                <w:sz w:val="16"/>
                <w:szCs w:val="16"/>
                <w:color w:val="auto"/>
              </w:rPr>
            </w:pPr>
          </w:p>
        </w:tc>
        <w:tc>
          <w:tcPr>
            <w:tcW w:w="3140" w:type="dxa"/>
            <w:vAlign w:val="bottom"/>
            <w:tcBorders>
              <w:right w:val="single" w:sz="8" w:color="5EB5FC"/>
            </w:tcBorders>
            <w:gridSpan w:val="3"/>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not related to Change in Control</w:t>
            </w:r>
          </w:p>
        </w:tc>
        <w:tc>
          <w:tcPr>
            <w:tcW w:w="1080" w:type="dxa"/>
            <w:vAlign w:val="bottom"/>
            <w:tcBorders>
              <w:right w:val="single" w:sz="8" w:color="5EB5FC"/>
            </w:tcBorders>
            <w:shd w:val="clear" w:color="auto" w:fill="5EB5FC"/>
          </w:tcPr>
          <w:p>
            <w:pPr>
              <w:spacing w:after="0"/>
              <w:rPr>
                <w:sz w:val="16"/>
                <w:szCs w:val="16"/>
                <w:color w:val="auto"/>
              </w:rPr>
            </w:pPr>
          </w:p>
        </w:tc>
        <w:tc>
          <w:tcPr>
            <w:tcW w:w="2160" w:type="dxa"/>
            <w:vAlign w:val="bottom"/>
            <w:tcBorders>
              <w:right w:val="single" w:sz="8" w:color="5EB5FC"/>
            </w:tcBorders>
            <w:gridSpan w:val="2"/>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related to Change in Control</w:t>
            </w:r>
          </w:p>
        </w:tc>
        <w:tc>
          <w:tcPr>
            <w:tcW w:w="1080" w:type="dxa"/>
            <w:vAlign w:val="bottom"/>
            <w:tcBorders>
              <w:right w:val="single" w:sz="8" w:color="5EB5FC"/>
            </w:tcBorders>
            <w:shd w:val="clear" w:color="auto" w:fill="5EB5FC"/>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3520" w:type="dxa"/>
            <w:vAlign w:val="bottom"/>
            <w:tcBorders>
              <w:left w:val="single" w:sz="8" w:color="5EB5FC"/>
              <w:right w:val="single" w:sz="8" w:color="5EB5FC"/>
            </w:tcBorders>
            <w:shd w:val="clear" w:color="auto" w:fill="5EB5FC"/>
          </w:tcPr>
          <w:p>
            <w:pPr>
              <w:spacing w:after="0"/>
              <w:rPr>
                <w:sz w:val="15"/>
                <w:szCs w:val="15"/>
                <w:color w:val="auto"/>
              </w:rPr>
            </w:pPr>
          </w:p>
        </w:tc>
        <w:tc>
          <w:tcPr>
            <w:tcW w:w="60" w:type="dxa"/>
            <w:vAlign w:val="bottom"/>
            <w:shd w:val="clear" w:color="auto" w:fill="5EB5FC"/>
          </w:tcPr>
          <w:p>
            <w:pPr>
              <w:spacing w:after="0"/>
              <w:rPr>
                <w:sz w:val="15"/>
                <w:szCs w:val="15"/>
                <w:color w:val="auto"/>
              </w:rPr>
            </w:pPr>
          </w:p>
        </w:tc>
        <w:tc>
          <w:tcPr>
            <w:tcW w:w="1020" w:type="dxa"/>
            <w:vAlign w:val="bottom"/>
            <w:tcBorders>
              <w:right w:val="single" w:sz="8" w:color="5EB5FC"/>
            </w:tcBorders>
            <w:shd w:val="clear" w:color="auto" w:fill="5EB5FC"/>
          </w:tcPr>
          <w:p>
            <w:pPr>
              <w:spacing w:after="0"/>
              <w:rPr>
                <w:sz w:val="15"/>
                <w:szCs w:val="15"/>
                <w:color w:val="auto"/>
              </w:rPr>
            </w:pPr>
          </w:p>
        </w:tc>
        <w:tc>
          <w:tcPr>
            <w:tcW w:w="1060" w:type="dxa"/>
            <w:vAlign w:val="bottom"/>
            <w:tcBorders>
              <w:right w:val="single" w:sz="8" w:color="5EB5FC"/>
            </w:tcBorders>
            <w:shd w:val="clear" w:color="auto" w:fill="5EB5FC"/>
          </w:tcPr>
          <w:p>
            <w:pPr>
              <w:spacing w:after="0"/>
              <w:rPr>
                <w:sz w:val="15"/>
                <w:szCs w:val="15"/>
                <w:color w:val="auto"/>
              </w:rPr>
            </w:pPr>
          </w:p>
        </w:tc>
        <w:tc>
          <w:tcPr>
            <w:tcW w:w="1060" w:type="dxa"/>
            <w:vAlign w:val="bottom"/>
            <w:tcBorders>
              <w:right w:val="single" w:sz="8" w:color="5EB5FC"/>
            </w:tcBorders>
            <w:shd w:val="clear" w:color="auto" w:fill="5EB5FC"/>
          </w:tcPr>
          <w:p>
            <w:pPr>
              <w:spacing w:after="0"/>
              <w:rPr>
                <w:sz w:val="15"/>
                <w:szCs w:val="15"/>
                <w:color w:val="auto"/>
              </w:rPr>
            </w:pPr>
          </w:p>
        </w:tc>
        <w:tc>
          <w:tcPr>
            <w:tcW w:w="1080" w:type="dxa"/>
            <w:vAlign w:val="bottom"/>
            <w:tcBorders>
              <w:right w:val="single" w:sz="8" w:color="5EB5FC"/>
            </w:tcBorders>
            <w:shd w:val="clear" w:color="auto" w:fill="5EB5FC"/>
          </w:tcPr>
          <w:p>
            <w:pPr>
              <w:spacing w:after="0"/>
              <w:rPr>
                <w:sz w:val="15"/>
                <w:szCs w:val="15"/>
                <w:color w:val="auto"/>
              </w:rPr>
            </w:pPr>
          </w:p>
        </w:tc>
        <w:tc>
          <w:tcPr>
            <w:tcW w:w="10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Value of</w:t>
            </w:r>
          </w:p>
        </w:tc>
        <w:tc>
          <w:tcPr>
            <w:tcW w:w="1100" w:type="dxa"/>
            <w:vAlign w:val="bottom"/>
            <w:tcBorders>
              <w:right w:val="single" w:sz="8" w:color="5EB5FC"/>
            </w:tcBorders>
            <w:shd w:val="clear" w:color="auto" w:fill="5EB5FC"/>
          </w:tcPr>
          <w:p>
            <w:pPr>
              <w:spacing w:after="0"/>
              <w:rPr>
                <w:sz w:val="15"/>
                <w:szCs w:val="15"/>
                <w:color w:val="auto"/>
              </w:rPr>
            </w:pPr>
          </w:p>
        </w:tc>
        <w:tc>
          <w:tcPr>
            <w:tcW w:w="1080" w:type="dxa"/>
            <w:vAlign w:val="bottom"/>
            <w:tcBorders>
              <w:right w:val="single" w:sz="8" w:color="5EB5FC"/>
            </w:tcBorders>
            <w:shd w:val="clear" w:color="auto" w:fill="5EB5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3520" w:type="dxa"/>
            <w:vAlign w:val="bottom"/>
            <w:tcBorders>
              <w:left w:val="single" w:sz="8" w:color="5EB5FC"/>
              <w:right w:val="single" w:sz="8" w:color="5EB5FC"/>
            </w:tcBorders>
            <w:shd w:val="clear" w:color="auto" w:fill="5EB5FC"/>
          </w:tcPr>
          <w:p>
            <w:pPr>
              <w:spacing w:after="0"/>
              <w:rPr>
                <w:sz w:val="12"/>
                <w:szCs w:val="12"/>
                <w:color w:val="auto"/>
              </w:rPr>
            </w:pPr>
          </w:p>
        </w:tc>
        <w:tc>
          <w:tcPr>
            <w:tcW w:w="60" w:type="dxa"/>
            <w:vAlign w:val="bottom"/>
            <w:shd w:val="clear" w:color="auto" w:fill="5EB5FC"/>
          </w:tcPr>
          <w:p>
            <w:pPr>
              <w:spacing w:after="0"/>
              <w:rPr>
                <w:sz w:val="12"/>
                <w:szCs w:val="12"/>
                <w:color w:val="auto"/>
              </w:rPr>
            </w:pPr>
          </w:p>
        </w:tc>
        <w:tc>
          <w:tcPr>
            <w:tcW w:w="1020" w:type="dxa"/>
            <w:vAlign w:val="bottom"/>
            <w:tcBorders>
              <w:right w:val="single" w:sz="8" w:color="5EB5FC"/>
            </w:tcBorders>
            <w:shd w:val="clear" w:color="auto" w:fill="5EB5FC"/>
          </w:tcPr>
          <w:p>
            <w:pPr>
              <w:spacing w:after="0"/>
              <w:rPr>
                <w:sz w:val="12"/>
                <w:szCs w:val="12"/>
                <w:color w:val="auto"/>
              </w:rPr>
            </w:pPr>
          </w:p>
        </w:tc>
        <w:tc>
          <w:tcPr>
            <w:tcW w:w="10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06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106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0"/>
              </w:rPr>
              <w:t>Accelerated</w:t>
            </w:r>
          </w:p>
        </w:tc>
        <w:tc>
          <w:tcPr>
            <w:tcW w:w="1100" w:type="dxa"/>
            <w:vAlign w:val="bottom"/>
            <w:tcBorders>
              <w:right w:val="single" w:sz="8" w:color="5EB5FC"/>
            </w:tcBorders>
            <w:shd w:val="clear" w:color="auto" w:fill="5EB5FC"/>
          </w:tcPr>
          <w:p>
            <w:pPr>
              <w:spacing w:after="0"/>
              <w:rPr>
                <w:sz w:val="12"/>
                <w:szCs w:val="12"/>
                <w:color w:val="auto"/>
              </w:rPr>
            </w:pPr>
          </w:p>
        </w:tc>
        <w:tc>
          <w:tcPr>
            <w:tcW w:w="1080" w:type="dxa"/>
            <w:vAlign w:val="bottom"/>
            <w:tcBorders>
              <w:right w:val="single" w:sz="8" w:color="5EB5FC"/>
            </w:tcBorders>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3520" w:type="dxa"/>
            <w:vAlign w:val="bottom"/>
            <w:tcBorders>
              <w:left w:val="single" w:sz="8" w:color="5EB5FC"/>
              <w:right w:val="single" w:sz="8" w:color="5EB5FC"/>
            </w:tcBorders>
            <w:shd w:val="clear" w:color="auto" w:fill="5EB5FC"/>
          </w:tcPr>
          <w:p>
            <w:pPr>
              <w:spacing w:after="0"/>
              <w:rPr>
                <w:sz w:val="12"/>
                <w:szCs w:val="12"/>
                <w:color w:val="auto"/>
              </w:rPr>
            </w:pPr>
          </w:p>
        </w:tc>
        <w:tc>
          <w:tcPr>
            <w:tcW w:w="60" w:type="dxa"/>
            <w:vAlign w:val="bottom"/>
            <w:shd w:val="clear" w:color="auto" w:fill="5EB5FC"/>
          </w:tcPr>
          <w:p>
            <w:pPr>
              <w:spacing w:after="0"/>
              <w:rPr>
                <w:sz w:val="12"/>
                <w:szCs w:val="12"/>
                <w:color w:val="auto"/>
              </w:rPr>
            </w:pPr>
          </w:p>
        </w:tc>
        <w:tc>
          <w:tcPr>
            <w:tcW w:w="10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87"/>
              </w:rPr>
              <w:t>Cash</w:t>
            </w:r>
          </w:p>
        </w:tc>
        <w:tc>
          <w:tcPr>
            <w:tcW w:w="1060" w:type="dxa"/>
            <w:vAlign w:val="bottom"/>
            <w:tcBorders>
              <w:right w:val="single" w:sz="8" w:color="5EB5FC"/>
            </w:tcBorders>
            <w:vMerge w:val="continue"/>
            <w:shd w:val="clear" w:color="auto" w:fill="5EB5FC"/>
          </w:tcPr>
          <w:p>
            <w:pPr>
              <w:spacing w:after="0"/>
              <w:rPr>
                <w:sz w:val="12"/>
                <w:szCs w:val="12"/>
                <w:color w:val="auto"/>
              </w:rPr>
            </w:pPr>
          </w:p>
        </w:tc>
        <w:tc>
          <w:tcPr>
            <w:tcW w:w="10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87"/>
              </w:rPr>
              <w:t>Cash</w:t>
            </w:r>
          </w:p>
        </w:tc>
        <w:tc>
          <w:tcPr>
            <w:tcW w:w="1060" w:type="dxa"/>
            <w:vAlign w:val="bottom"/>
            <w:tcBorders>
              <w:right w:val="single" w:sz="8" w:color="5EB5FC"/>
            </w:tcBorders>
            <w:shd w:val="clear" w:color="auto" w:fill="5EB5FC"/>
          </w:tcPr>
          <w:p>
            <w:pPr>
              <w:jc w:val="center"/>
              <w:spacing w:after="0" w:line="144" w:lineRule="exact"/>
              <w:rPr>
                <w:sz w:val="20"/>
                <w:szCs w:val="20"/>
                <w:color w:val="auto"/>
              </w:rPr>
            </w:pPr>
            <w:r>
              <w:rPr>
                <w:rFonts w:ascii="Arial" w:cs="Arial" w:eastAsia="Arial" w:hAnsi="Arial"/>
                <w:sz w:val="14"/>
                <w:szCs w:val="14"/>
                <w:b w:val="1"/>
                <w:bCs w:val="1"/>
                <w:color w:val="FFFFFF"/>
                <w:w w:val="91"/>
              </w:rPr>
              <w:t>RSUs, PSUs,</w:t>
            </w: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Total Value</w:t>
            </w:r>
          </w:p>
        </w:tc>
        <w:tc>
          <w:tcPr>
            <w:tcW w:w="0" w:type="dxa"/>
            <w:vAlign w:val="bottom"/>
          </w:tcPr>
          <w:p>
            <w:pPr>
              <w:spacing w:after="0"/>
              <w:rPr>
                <w:sz w:val="1"/>
                <w:szCs w:val="1"/>
                <w:color w:val="auto"/>
              </w:rPr>
            </w:pPr>
          </w:p>
        </w:tc>
      </w:tr>
      <w:tr>
        <w:trPr>
          <w:trHeight w:val="149"/>
        </w:trPr>
        <w:tc>
          <w:tcPr>
            <w:tcW w:w="3520" w:type="dxa"/>
            <w:vAlign w:val="bottom"/>
            <w:tcBorders>
              <w:left w:val="single" w:sz="8" w:color="5EB5FC"/>
              <w:right w:val="single" w:sz="8" w:color="5EB5FC"/>
            </w:tcBorders>
            <w:vMerge w:val="restart"/>
            <w:shd w:val="clear" w:color="auto" w:fill="5EB5FC"/>
          </w:tcPr>
          <w:p>
            <w:pPr>
              <w:ind w:left="1520"/>
              <w:spacing w:after="0"/>
              <w:rPr>
                <w:sz w:val="20"/>
                <w:szCs w:val="20"/>
                <w:color w:val="auto"/>
              </w:rPr>
            </w:pPr>
            <w:r>
              <w:rPr>
                <w:rFonts w:ascii="Arial" w:cs="Arial" w:eastAsia="Arial" w:hAnsi="Arial"/>
                <w:sz w:val="14"/>
                <w:szCs w:val="14"/>
                <w:b w:val="1"/>
                <w:bCs w:val="1"/>
                <w:color w:val="FFFFFF"/>
              </w:rPr>
              <w:t>Name and</w:t>
            </w:r>
          </w:p>
        </w:tc>
        <w:tc>
          <w:tcPr>
            <w:tcW w:w="60" w:type="dxa"/>
            <w:vAlign w:val="bottom"/>
            <w:shd w:val="clear" w:color="auto" w:fill="5EB5FC"/>
          </w:tcPr>
          <w:p>
            <w:pPr>
              <w:spacing w:after="0"/>
              <w:rPr>
                <w:sz w:val="12"/>
                <w:szCs w:val="12"/>
                <w:color w:val="auto"/>
              </w:rPr>
            </w:pPr>
          </w:p>
        </w:tc>
        <w:tc>
          <w:tcPr>
            <w:tcW w:w="1020" w:type="dxa"/>
            <w:vAlign w:val="bottom"/>
            <w:tcBorders>
              <w:right w:val="single" w:sz="8" w:color="5EB5FC"/>
            </w:tcBorders>
            <w:vMerge w:val="continue"/>
            <w:shd w:val="clear" w:color="auto" w:fill="5EB5FC"/>
          </w:tcPr>
          <w:p>
            <w:pPr>
              <w:spacing w:after="0"/>
              <w:rPr>
                <w:sz w:val="12"/>
                <w:szCs w:val="12"/>
                <w:color w:val="auto"/>
              </w:rPr>
            </w:pPr>
          </w:p>
        </w:tc>
        <w:tc>
          <w:tcPr>
            <w:tcW w:w="106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1"/>
              </w:rPr>
              <w:t>Benefits</w:t>
            </w:r>
            <w:r>
              <w:rPr>
                <w:rFonts w:ascii="Arial" w:cs="Arial" w:eastAsia="Arial" w:hAnsi="Arial"/>
                <w:sz w:val="12"/>
                <w:szCs w:val="12"/>
                <w:b w:val="1"/>
                <w:bCs w:val="1"/>
                <w:color w:val="FFFFFF"/>
                <w:w w:val="91"/>
              </w:rPr>
              <w:t>(1)</w:t>
            </w:r>
          </w:p>
        </w:tc>
        <w:tc>
          <w:tcPr>
            <w:tcW w:w="1060" w:type="dxa"/>
            <w:vAlign w:val="bottom"/>
            <w:tcBorders>
              <w:right w:val="single" w:sz="8" w:color="5EB5FC"/>
            </w:tcBorders>
            <w:vMerge w:val="continue"/>
            <w:shd w:val="clear" w:color="auto" w:fill="5EB5FC"/>
          </w:tcPr>
          <w:p>
            <w:pPr>
              <w:spacing w:after="0"/>
              <w:rPr>
                <w:sz w:val="12"/>
                <w:szCs w:val="12"/>
                <w:color w:val="auto"/>
              </w:rPr>
            </w:pPr>
          </w:p>
        </w:tc>
        <w:tc>
          <w:tcPr>
            <w:tcW w:w="1080" w:type="dxa"/>
            <w:vAlign w:val="bottom"/>
            <w:tcBorders>
              <w:right w:val="single" w:sz="8" w:color="5EB5FC"/>
            </w:tcBorders>
            <w:vMerge w:val="continue"/>
            <w:shd w:val="clear" w:color="auto" w:fill="5EB5FC"/>
          </w:tcPr>
          <w:p>
            <w:pPr>
              <w:spacing w:after="0"/>
              <w:rPr>
                <w:sz w:val="12"/>
                <w:szCs w:val="12"/>
                <w:color w:val="auto"/>
              </w:rPr>
            </w:pPr>
          </w:p>
        </w:tc>
        <w:tc>
          <w:tcPr>
            <w:tcW w:w="106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0"/>
              </w:rPr>
              <w:t>RSAs and</w:t>
            </w:r>
          </w:p>
        </w:tc>
        <w:tc>
          <w:tcPr>
            <w:tcW w:w="1100" w:type="dxa"/>
            <w:vAlign w:val="bottom"/>
            <w:tcBorders>
              <w:right w:val="single" w:sz="8" w:color="5EB5FC"/>
            </w:tcBorders>
            <w:vMerge w:val="continue"/>
            <w:shd w:val="clear" w:color="auto" w:fill="5EB5FC"/>
          </w:tcPr>
          <w:p>
            <w:pPr>
              <w:spacing w:after="0"/>
              <w:rPr>
                <w:sz w:val="12"/>
                <w:szCs w:val="12"/>
                <w:color w:val="auto"/>
              </w:rPr>
            </w:pPr>
          </w:p>
        </w:tc>
        <w:tc>
          <w:tcPr>
            <w:tcW w:w="1080" w:type="dxa"/>
            <w:vAlign w:val="bottom"/>
            <w:tcBorders>
              <w:right w:val="single" w:sz="8" w:color="5EB5FC"/>
            </w:tcBorders>
            <w:vMerge w:val="continue"/>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3520" w:type="dxa"/>
            <w:vAlign w:val="bottom"/>
            <w:tcBorders>
              <w:left w:val="single" w:sz="8" w:color="5EB5FC"/>
              <w:right w:val="single" w:sz="8" w:color="5EB5FC"/>
            </w:tcBorders>
            <w:vMerge w:val="continue"/>
            <w:shd w:val="clear" w:color="auto" w:fill="5EB5FC"/>
          </w:tcPr>
          <w:p>
            <w:pPr>
              <w:spacing w:after="0"/>
              <w:rPr>
                <w:sz w:val="5"/>
                <w:szCs w:val="5"/>
                <w:color w:val="auto"/>
              </w:rPr>
            </w:pPr>
          </w:p>
        </w:tc>
        <w:tc>
          <w:tcPr>
            <w:tcW w:w="60" w:type="dxa"/>
            <w:vAlign w:val="bottom"/>
            <w:shd w:val="clear" w:color="auto" w:fill="5EB5FC"/>
          </w:tcPr>
          <w:p>
            <w:pPr>
              <w:spacing w:after="0"/>
              <w:rPr>
                <w:sz w:val="5"/>
                <w:szCs w:val="5"/>
                <w:color w:val="auto"/>
              </w:rPr>
            </w:pPr>
          </w:p>
        </w:tc>
        <w:tc>
          <w:tcPr>
            <w:tcW w:w="10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Severance ($)</w:t>
            </w:r>
          </w:p>
        </w:tc>
        <w:tc>
          <w:tcPr>
            <w:tcW w:w="10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0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Value ($)</w:t>
            </w: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Severance ($)</w:t>
            </w:r>
          </w:p>
        </w:tc>
        <w:tc>
          <w:tcPr>
            <w:tcW w:w="106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4"/>
              </w:rPr>
              <w:t>PSAs</w:t>
            </w:r>
            <w:r>
              <w:rPr>
                <w:rFonts w:ascii="Arial" w:cs="Arial" w:eastAsia="Arial" w:hAnsi="Arial"/>
                <w:sz w:val="12"/>
                <w:szCs w:val="12"/>
                <w:b w:val="1"/>
                <w:bCs w:val="1"/>
                <w:color w:val="FFFFFF"/>
                <w:w w:val="94"/>
              </w:rPr>
              <w:t>(3)</w:t>
            </w:r>
            <w:r>
              <w:rPr>
                <w:rFonts w:ascii="Arial" w:cs="Arial" w:eastAsia="Arial" w:hAnsi="Arial"/>
                <w:sz w:val="14"/>
                <w:szCs w:val="14"/>
                <w:b w:val="1"/>
                <w:bCs w:val="1"/>
                <w:color w:val="FFFFFF"/>
                <w:w w:val="94"/>
              </w:rPr>
              <w:t xml:space="preserve"> ($)</w:t>
            </w: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Benefits ($)</w:t>
            </w:r>
          </w:p>
        </w:tc>
        <w:tc>
          <w:tcPr>
            <w:tcW w:w="108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0" w:type="dxa"/>
            <w:vAlign w:val="bottom"/>
          </w:tcPr>
          <w:p>
            <w:pPr>
              <w:spacing w:after="0"/>
              <w:rPr>
                <w:sz w:val="1"/>
                <w:szCs w:val="1"/>
                <w:color w:val="auto"/>
              </w:rPr>
            </w:pPr>
          </w:p>
        </w:tc>
      </w:tr>
      <w:tr>
        <w:trPr>
          <w:trHeight w:val="132"/>
        </w:trPr>
        <w:tc>
          <w:tcPr>
            <w:tcW w:w="3520" w:type="dxa"/>
            <w:vAlign w:val="bottom"/>
            <w:tcBorders>
              <w:left w:val="single" w:sz="8" w:color="5EB5FC"/>
              <w:right w:val="single" w:sz="8" w:color="5EB5FC"/>
            </w:tcBorders>
            <w:vMerge w:val="restart"/>
            <w:shd w:val="clear" w:color="auto" w:fill="5EB5FC"/>
          </w:tcPr>
          <w:p>
            <w:pPr>
              <w:ind w:left="1280"/>
              <w:spacing w:after="0"/>
              <w:rPr>
                <w:sz w:val="20"/>
                <w:szCs w:val="20"/>
                <w:color w:val="auto"/>
              </w:rPr>
            </w:pPr>
            <w:r>
              <w:rPr>
                <w:rFonts w:ascii="Arial" w:cs="Arial" w:eastAsia="Arial" w:hAnsi="Arial"/>
                <w:sz w:val="14"/>
                <w:szCs w:val="14"/>
                <w:b w:val="1"/>
                <w:bCs w:val="1"/>
                <w:color w:val="FFFFFF"/>
              </w:rPr>
              <w:t>Principal Position</w:t>
            </w:r>
          </w:p>
        </w:tc>
        <w:tc>
          <w:tcPr>
            <w:tcW w:w="60" w:type="dxa"/>
            <w:vAlign w:val="bottom"/>
            <w:shd w:val="clear" w:color="auto" w:fill="5EB5FC"/>
          </w:tcPr>
          <w:p>
            <w:pPr>
              <w:spacing w:after="0"/>
              <w:rPr>
                <w:sz w:val="11"/>
                <w:szCs w:val="11"/>
                <w:color w:val="auto"/>
              </w:rPr>
            </w:pPr>
          </w:p>
        </w:tc>
        <w:tc>
          <w:tcPr>
            <w:tcW w:w="1020" w:type="dxa"/>
            <w:vAlign w:val="bottom"/>
            <w:tcBorders>
              <w:right w:val="single" w:sz="8" w:color="5EB5FC"/>
            </w:tcBorders>
            <w:vMerge w:val="continue"/>
            <w:shd w:val="clear" w:color="auto" w:fill="5EB5FC"/>
          </w:tcPr>
          <w:p>
            <w:pPr>
              <w:spacing w:after="0"/>
              <w:rPr>
                <w:sz w:val="11"/>
                <w:szCs w:val="11"/>
                <w:color w:val="auto"/>
              </w:rPr>
            </w:pPr>
          </w:p>
        </w:tc>
        <w:tc>
          <w:tcPr>
            <w:tcW w:w="1060" w:type="dxa"/>
            <w:vAlign w:val="bottom"/>
            <w:tcBorders>
              <w:right w:val="single" w:sz="8" w:color="5EB5FC"/>
            </w:tcBorders>
            <w:vMerge w:val="continue"/>
            <w:shd w:val="clear" w:color="auto" w:fill="5EB5FC"/>
          </w:tcPr>
          <w:p>
            <w:pPr>
              <w:spacing w:after="0"/>
              <w:rPr>
                <w:sz w:val="11"/>
                <w:szCs w:val="11"/>
                <w:color w:val="auto"/>
              </w:rPr>
            </w:pPr>
          </w:p>
        </w:tc>
        <w:tc>
          <w:tcPr>
            <w:tcW w:w="1060" w:type="dxa"/>
            <w:vAlign w:val="bottom"/>
            <w:tcBorders>
              <w:right w:val="single" w:sz="8" w:color="5EB5FC"/>
            </w:tcBorders>
            <w:vMerge w:val="continue"/>
            <w:shd w:val="clear" w:color="auto" w:fill="5EB5FC"/>
          </w:tcPr>
          <w:p>
            <w:pPr>
              <w:spacing w:after="0"/>
              <w:rPr>
                <w:sz w:val="11"/>
                <w:szCs w:val="11"/>
                <w:color w:val="auto"/>
              </w:rPr>
            </w:pPr>
          </w:p>
        </w:tc>
        <w:tc>
          <w:tcPr>
            <w:tcW w:w="1080" w:type="dxa"/>
            <w:vAlign w:val="bottom"/>
            <w:tcBorders>
              <w:right w:val="single" w:sz="8" w:color="5EB5FC"/>
            </w:tcBorders>
            <w:vMerge w:val="continue"/>
            <w:shd w:val="clear" w:color="auto" w:fill="5EB5FC"/>
          </w:tcPr>
          <w:p>
            <w:pPr>
              <w:spacing w:after="0"/>
              <w:rPr>
                <w:sz w:val="11"/>
                <w:szCs w:val="11"/>
                <w:color w:val="auto"/>
              </w:rPr>
            </w:pPr>
          </w:p>
        </w:tc>
        <w:tc>
          <w:tcPr>
            <w:tcW w:w="1060" w:type="dxa"/>
            <w:vAlign w:val="bottom"/>
            <w:tcBorders>
              <w:right w:val="single" w:sz="8" w:color="5EB5FC"/>
            </w:tcBorders>
            <w:vMerge w:val="continue"/>
            <w:shd w:val="clear" w:color="auto" w:fill="5EB5FC"/>
          </w:tcPr>
          <w:p>
            <w:pPr>
              <w:spacing w:after="0"/>
              <w:rPr>
                <w:sz w:val="11"/>
                <w:szCs w:val="11"/>
                <w:color w:val="auto"/>
              </w:rPr>
            </w:pPr>
          </w:p>
        </w:tc>
        <w:tc>
          <w:tcPr>
            <w:tcW w:w="1100" w:type="dxa"/>
            <w:vAlign w:val="bottom"/>
            <w:tcBorders>
              <w:right w:val="single" w:sz="8" w:color="5EB5FC"/>
            </w:tcBorders>
            <w:vMerge w:val="continue"/>
            <w:shd w:val="clear" w:color="auto" w:fill="5EB5FC"/>
          </w:tcPr>
          <w:p>
            <w:pPr>
              <w:spacing w:after="0"/>
              <w:rPr>
                <w:sz w:val="11"/>
                <w:szCs w:val="11"/>
                <w:color w:val="auto"/>
              </w:rPr>
            </w:pPr>
          </w:p>
        </w:tc>
        <w:tc>
          <w:tcPr>
            <w:tcW w:w="1080" w:type="dxa"/>
            <w:vAlign w:val="bottom"/>
            <w:tcBorders>
              <w:right w:val="single" w:sz="8" w:color="5EB5FC"/>
            </w:tcBorders>
            <w:vMerge w:val="continue"/>
            <w:shd w:val="clear" w:color="auto" w:fill="5EB5FC"/>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3520" w:type="dxa"/>
            <w:vAlign w:val="bottom"/>
            <w:tcBorders>
              <w:left w:val="single" w:sz="8" w:color="5EB5FC"/>
              <w:bottom w:val="single" w:sz="8" w:color="5EB5FC"/>
              <w:right w:val="single" w:sz="8" w:color="5EB5FC"/>
            </w:tcBorders>
            <w:vMerge w:val="continue"/>
            <w:shd w:val="clear" w:color="auto" w:fill="5EB5FC"/>
          </w:tcPr>
          <w:p>
            <w:pPr>
              <w:spacing w:after="0"/>
              <w:rPr>
                <w:sz w:val="6"/>
                <w:szCs w:val="6"/>
                <w:color w:val="auto"/>
              </w:rPr>
            </w:pPr>
          </w:p>
        </w:tc>
        <w:tc>
          <w:tcPr>
            <w:tcW w:w="60" w:type="dxa"/>
            <w:vAlign w:val="bottom"/>
            <w:tcBorders>
              <w:bottom w:val="single" w:sz="8" w:color="5EB5FC"/>
            </w:tcBorders>
            <w:shd w:val="clear" w:color="auto" w:fill="5EB5FC"/>
          </w:tcPr>
          <w:p>
            <w:pPr>
              <w:spacing w:after="0"/>
              <w:rPr>
                <w:sz w:val="6"/>
                <w:szCs w:val="6"/>
                <w:color w:val="auto"/>
              </w:rPr>
            </w:pPr>
          </w:p>
        </w:tc>
        <w:tc>
          <w:tcPr>
            <w:tcW w:w="1020" w:type="dxa"/>
            <w:vAlign w:val="bottom"/>
            <w:tcBorders>
              <w:bottom w:val="single" w:sz="8" w:color="5EB5FC"/>
              <w:right w:val="single" w:sz="8" w:color="5EB5FC"/>
            </w:tcBorders>
            <w:shd w:val="clear" w:color="auto" w:fill="5EB5FC"/>
          </w:tcPr>
          <w:p>
            <w:pPr>
              <w:spacing w:after="0"/>
              <w:rPr>
                <w:sz w:val="6"/>
                <w:szCs w:val="6"/>
                <w:color w:val="auto"/>
              </w:rPr>
            </w:pPr>
          </w:p>
        </w:tc>
        <w:tc>
          <w:tcPr>
            <w:tcW w:w="1060" w:type="dxa"/>
            <w:vAlign w:val="bottom"/>
            <w:tcBorders>
              <w:bottom w:val="single" w:sz="8" w:color="5EB5FC"/>
              <w:right w:val="single" w:sz="8" w:color="5EB5FC"/>
            </w:tcBorders>
            <w:shd w:val="clear" w:color="auto" w:fill="5EB5FC"/>
          </w:tcPr>
          <w:p>
            <w:pPr>
              <w:spacing w:after="0"/>
              <w:rPr>
                <w:sz w:val="6"/>
                <w:szCs w:val="6"/>
                <w:color w:val="auto"/>
              </w:rPr>
            </w:pPr>
          </w:p>
        </w:tc>
        <w:tc>
          <w:tcPr>
            <w:tcW w:w="1060" w:type="dxa"/>
            <w:vAlign w:val="bottom"/>
            <w:tcBorders>
              <w:bottom w:val="single" w:sz="8" w:color="5EB5FC"/>
              <w:right w:val="single" w:sz="8" w:color="5EB5FC"/>
            </w:tcBorders>
            <w:shd w:val="clear" w:color="auto" w:fill="5EB5FC"/>
          </w:tcPr>
          <w:p>
            <w:pPr>
              <w:spacing w:after="0"/>
              <w:rPr>
                <w:sz w:val="6"/>
                <w:szCs w:val="6"/>
                <w:color w:val="auto"/>
              </w:rPr>
            </w:pPr>
          </w:p>
        </w:tc>
        <w:tc>
          <w:tcPr>
            <w:tcW w:w="1080" w:type="dxa"/>
            <w:vAlign w:val="bottom"/>
            <w:tcBorders>
              <w:bottom w:val="single" w:sz="8" w:color="5EB5FC"/>
              <w:right w:val="single" w:sz="8" w:color="5EB5FC"/>
            </w:tcBorders>
            <w:shd w:val="clear" w:color="auto" w:fill="5EB5FC"/>
          </w:tcPr>
          <w:p>
            <w:pPr>
              <w:spacing w:after="0"/>
              <w:rPr>
                <w:sz w:val="6"/>
                <w:szCs w:val="6"/>
                <w:color w:val="auto"/>
              </w:rPr>
            </w:pPr>
          </w:p>
        </w:tc>
        <w:tc>
          <w:tcPr>
            <w:tcW w:w="1060" w:type="dxa"/>
            <w:vAlign w:val="bottom"/>
            <w:tcBorders>
              <w:bottom w:val="single" w:sz="8" w:color="5EB5FC"/>
              <w:right w:val="single" w:sz="8" w:color="5EB5FC"/>
            </w:tcBorders>
            <w:shd w:val="clear" w:color="auto" w:fill="5EB5FC"/>
          </w:tcPr>
          <w:p>
            <w:pPr>
              <w:spacing w:after="0"/>
              <w:rPr>
                <w:sz w:val="6"/>
                <w:szCs w:val="6"/>
                <w:color w:val="auto"/>
              </w:rPr>
            </w:pPr>
          </w:p>
        </w:tc>
        <w:tc>
          <w:tcPr>
            <w:tcW w:w="1100" w:type="dxa"/>
            <w:vAlign w:val="bottom"/>
            <w:tcBorders>
              <w:bottom w:val="single" w:sz="8" w:color="5EB5FC"/>
              <w:right w:val="single" w:sz="8" w:color="5EB5FC"/>
            </w:tcBorders>
            <w:shd w:val="clear" w:color="auto" w:fill="5EB5FC"/>
          </w:tcPr>
          <w:p>
            <w:pPr>
              <w:spacing w:after="0"/>
              <w:rPr>
                <w:sz w:val="6"/>
                <w:szCs w:val="6"/>
                <w:color w:val="auto"/>
              </w:rPr>
            </w:pPr>
          </w:p>
        </w:tc>
        <w:tc>
          <w:tcPr>
            <w:tcW w:w="1080" w:type="dxa"/>
            <w:vAlign w:val="bottom"/>
            <w:tcBorders>
              <w:bottom w:val="single" w:sz="8" w:color="5EB5FC"/>
              <w:right w:val="single" w:sz="8" w:color="5EB5FC"/>
            </w:tcBorders>
            <w:shd w:val="clear" w:color="auto" w:fill="5EB5FC"/>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35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Mary Anne Heino</w:t>
            </w:r>
          </w:p>
        </w:tc>
        <w:tc>
          <w:tcPr>
            <w:tcW w:w="60" w:type="dxa"/>
            <w:vAlign w:val="bottom"/>
            <w:shd w:val="clear" w:color="auto" w:fill="E2F4FC"/>
          </w:tcPr>
          <w:p>
            <w:pPr>
              <w:spacing w:after="0"/>
              <w:rPr>
                <w:sz w:val="21"/>
                <w:szCs w:val="21"/>
                <w:color w:val="auto"/>
              </w:rPr>
            </w:pPr>
          </w:p>
        </w:tc>
        <w:tc>
          <w:tcPr>
            <w:tcW w:w="1020" w:type="dxa"/>
            <w:vAlign w:val="bottom"/>
            <w:tcBorders>
              <w:right w:val="single" w:sz="8" w:color="A0DBF9"/>
            </w:tcBorders>
            <w:shd w:val="clear" w:color="auto" w:fill="E2F4FC"/>
          </w:tcPr>
          <w:p>
            <w:pPr>
              <w:spacing w:after="0"/>
              <w:rPr>
                <w:sz w:val="21"/>
                <w:szCs w:val="21"/>
                <w:color w:val="auto"/>
              </w:rPr>
            </w:pPr>
          </w:p>
        </w:tc>
        <w:tc>
          <w:tcPr>
            <w:tcW w:w="1060" w:type="dxa"/>
            <w:vAlign w:val="bottom"/>
            <w:tcBorders>
              <w:right w:val="single" w:sz="8" w:color="A0DBF9"/>
            </w:tcBorders>
            <w:shd w:val="clear" w:color="auto" w:fill="E2F4FC"/>
          </w:tcPr>
          <w:p>
            <w:pPr>
              <w:spacing w:after="0"/>
              <w:rPr>
                <w:sz w:val="21"/>
                <w:szCs w:val="21"/>
                <w:color w:val="auto"/>
              </w:rPr>
            </w:pPr>
          </w:p>
        </w:tc>
        <w:tc>
          <w:tcPr>
            <w:tcW w:w="1060" w:type="dxa"/>
            <w:vAlign w:val="bottom"/>
            <w:tcBorders>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spacing w:after="0"/>
              <w:rPr>
                <w:sz w:val="21"/>
                <w:szCs w:val="21"/>
                <w:color w:val="auto"/>
              </w:rPr>
            </w:pPr>
          </w:p>
        </w:tc>
        <w:tc>
          <w:tcPr>
            <w:tcW w:w="1060" w:type="dxa"/>
            <w:vAlign w:val="bottom"/>
            <w:tcBorders>
              <w:right w:val="single" w:sz="8" w:color="A0DBF9"/>
            </w:tcBorders>
            <w:shd w:val="clear" w:color="auto" w:fill="E2F4FC"/>
          </w:tcPr>
          <w:p>
            <w:pPr>
              <w:spacing w:after="0"/>
              <w:rPr>
                <w:sz w:val="21"/>
                <w:szCs w:val="21"/>
                <w:color w:val="auto"/>
              </w:rPr>
            </w:pPr>
          </w:p>
        </w:tc>
        <w:tc>
          <w:tcPr>
            <w:tcW w:w="1100" w:type="dxa"/>
            <w:vAlign w:val="bottom"/>
            <w:tcBorders>
              <w:right w:val="single" w:sz="8" w:color="A0DBF9"/>
            </w:tcBorders>
            <w:shd w:val="clear" w:color="auto" w:fill="E2F4FC"/>
          </w:tcPr>
          <w:p>
            <w:pPr>
              <w:spacing w:after="0"/>
              <w:rPr>
                <w:sz w:val="21"/>
                <w:szCs w:val="21"/>
                <w:color w:val="auto"/>
              </w:rPr>
            </w:pPr>
          </w:p>
        </w:tc>
        <w:tc>
          <w:tcPr>
            <w:tcW w:w="1080" w:type="dxa"/>
            <w:vAlign w:val="bottom"/>
            <w:tcBorders>
              <w:right w:val="single" w:sz="8" w:color="A0DBF9"/>
            </w:tcBorders>
            <w:shd w:val="clear" w:color="auto" w:fill="E2F4FC"/>
          </w:tcPr>
          <w:p>
            <w:pPr>
              <w:spacing w:after="0"/>
              <w:rPr>
                <w:sz w:val="21"/>
                <w:szCs w:val="21"/>
                <w:color w:val="auto"/>
              </w:rPr>
            </w:pPr>
          </w:p>
        </w:tc>
        <w:tc>
          <w:tcPr>
            <w:tcW w:w="0" w:type="dxa"/>
            <w:vAlign w:val="bottom"/>
          </w:tcPr>
          <w:p>
            <w:pPr>
              <w:spacing w:after="0"/>
              <w:rPr>
                <w:sz w:val="1"/>
                <w:szCs w:val="1"/>
                <w:color w:val="auto"/>
              </w:rPr>
            </w:pPr>
          </w:p>
        </w:tc>
      </w:tr>
      <w:tr>
        <w:trPr>
          <w:trHeight w:val="351"/>
        </w:trPr>
        <w:tc>
          <w:tcPr>
            <w:tcW w:w="3520" w:type="dxa"/>
            <w:vAlign w:val="bottom"/>
            <w:tcBorders>
              <w:left w:val="single" w:sz="8" w:color="A0DBF9"/>
              <w:righ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President and Chief Executive Officer</w:t>
            </w:r>
          </w:p>
        </w:tc>
        <w:tc>
          <w:tcPr>
            <w:tcW w:w="1080" w:type="dxa"/>
            <w:vAlign w:val="bottom"/>
            <w:tcBorders>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0"/>
              </w:rPr>
              <w:t>$1,341,250</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6"/>
              </w:rPr>
              <w:t>$27,118</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$1,368,368</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$2,682,500</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$7,026,747</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$54,235</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$9,763,482</w:t>
            </w:r>
          </w:p>
        </w:tc>
        <w:tc>
          <w:tcPr>
            <w:tcW w:w="0" w:type="dxa"/>
            <w:vAlign w:val="bottom"/>
          </w:tcPr>
          <w:p>
            <w:pPr>
              <w:spacing w:after="0"/>
              <w:rPr>
                <w:sz w:val="1"/>
                <w:szCs w:val="1"/>
                <w:color w:val="auto"/>
              </w:rPr>
            </w:pPr>
          </w:p>
        </w:tc>
      </w:tr>
      <w:tr>
        <w:trPr>
          <w:trHeight w:val="108"/>
        </w:trPr>
        <w:tc>
          <w:tcPr>
            <w:tcW w:w="352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60" w:type="dxa"/>
            <w:vAlign w:val="bottom"/>
            <w:tcBorders>
              <w:bottom w:val="single" w:sz="8" w:color="A0DBF9"/>
            </w:tcBorders>
            <w:shd w:val="clear" w:color="auto" w:fill="E2F4FC"/>
          </w:tcPr>
          <w:p>
            <w:pPr>
              <w:spacing w:after="0"/>
              <w:rPr>
                <w:sz w:val="9"/>
                <w:szCs w:val="9"/>
                <w:color w:val="auto"/>
              </w:rPr>
            </w:pPr>
          </w:p>
        </w:tc>
        <w:tc>
          <w:tcPr>
            <w:tcW w:w="102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08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100" w:type="dxa"/>
            <w:vAlign w:val="bottom"/>
            <w:tcBorders>
              <w:bottom w:val="single" w:sz="8" w:color="A0DBF9"/>
              <w:right w:val="single" w:sz="8" w:color="A0DBF9"/>
            </w:tcBorders>
            <w:shd w:val="clear" w:color="auto" w:fill="E2F4FC"/>
          </w:tcPr>
          <w:p>
            <w:pPr>
              <w:spacing w:after="0"/>
              <w:rPr>
                <w:sz w:val="9"/>
                <w:szCs w:val="9"/>
                <w:color w:val="auto"/>
              </w:rPr>
            </w:pPr>
          </w:p>
        </w:tc>
        <w:tc>
          <w:tcPr>
            <w:tcW w:w="108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52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Robert Marshall</w:t>
            </w:r>
          </w:p>
        </w:tc>
        <w:tc>
          <w:tcPr>
            <w:tcW w:w="60" w:type="dxa"/>
            <w:vAlign w:val="bottom"/>
          </w:tcPr>
          <w:p>
            <w:pPr>
              <w:spacing w:after="0"/>
              <w:rPr>
                <w:sz w:val="19"/>
                <w:szCs w:val="19"/>
                <w:color w:val="auto"/>
              </w:rPr>
            </w:pPr>
          </w:p>
        </w:tc>
        <w:tc>
          <w:tcPr>
            <w:tcW w:w="1020" w:type="dxa"/>
            <w:vAlign w:val="bottom"/>
            <w:tcBorders>
              <w:right w:val="single" w:sz="8" w:color="A0DBF9"/>
            </w:tcBorders>
          </w:tcPr>
          <w:p>
            <w:pPr>
              <w:spacing w:after="0"/>
              <w:rPr>
                <w:sz w:val="19"/>
                <w:szCs w:val="19"/>
                <w:color w:val="auto"/>
              </w:rPr>
            </w:pPr>
          </w:p>
        </w:tc>
        <w:tc>
          <w:tcPr>
            <w:tcW w:w="1060" w:type="dxa"/>
            <w:vAlign w:val="bottom"/>
            <w:tcBorders>
              <w:right w:val="single" w:sz="8" w:color="A0DBF9"/>
            </w:tcBorders>
          </w:tcPr>
          <w:p>
            <w:pPr>
              <w:spacing w:after="0"/>
              <w:rPr>
                <w:sz w:val="19"/>
                <w:szCs w:val="19"/>
                <w:color w:val="auto"/>
              </w:rPr>
            </w:pPr>
          </w:p>
        </w:tc>
        <w:tc>
          <w:tcPr>
            <w:tcW w:w="106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1060" w:type="dxa"/>
            <w:vAlign w:val="bottom"/>
            <w:tcBorders>
              <w:right w:val="single" w:sz="8" w:color="A0DBF9"/>
            </w:tcBorders>
          </w:tcPr>
          <w:p>
            <w:pPr>
              <w:spacing w:after="0"/>
              <w:rPr>
                <w:sz w:val="19"/>
                <w:szCs w:val="19"/>
                <w:color w:val="auto"/>
              </w:rPr>
            </w:pPr>
          </w:p>
        </w:tc>
        <w:tc>
          <w:tcPr>
            <w:tcW w:w="1100" w:type="dxa"/>
            <w:vAlign w:val="bottom"/>
            <w:tcBorders>
              <w:right w:val="single" w:sz="8" w:color="A0DBF9"/>
            </w:tcBorders>
          </w:tcPr>
          <w:p>
            <w:pPr>
              <w:spacing w:after="0"/>
              <w:rPr>
                <w:sz w:val="19"/>
                <w:szCs w:val="19"/>
                <w:color w:val="auto"/>
              </w:rPr>
            </w:pPr>
          </w:p>
        </w:tc>
        <w:tc>
          <w:tcPr>
            <w:tcW w:w="1080" w:type="dxa"/>
            <w:vAlign w:val="bottom"/>
            <w:tcBorders>
              <w:right w:val="single" w:sz="8" w:color="A0DBF9"/>
            </w:tcBorders>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3520" w:type="dxa"/>
            <w:vAlign w:val="bottom"/>
            <w:tcBorders>
              <w:left w:val="single" w:sz="8" w:color="A0DBF9"/>
              <w:right w:val="single" w:sz="8" w:color="A0DBF9"/>
            </w:tcBorders>
          </w:tcPr>
          <w:p>
            <w:pPr>
              <w:ind w:left="340"/>
              <w:spacing w:after="0"/>
              <w:rPr>
                <w:sz w:val="20"/>
                <w:szCs w:val="20"/>
                <w:color w:val="auto"/>
              </w:rPr>
            </w:pPr>
            <w:r>
              <w:rPr>
                <w:rFonts w:ascii="Arial" w:cs="Arial" w:eastAsia="Arial" w:hAnsi="Arial"/>
                <w:sz w:val="18"/>
                <w:szCs w:val="18"/>
                <w:color w:val="auto"/>
              </w:rPr>
              <w:t>Chief Financial</w:t>
            </w:r>
          </w:p>
        </w:tc>
        <w:tc>
          <w:tcPr>
            <w:tcW w:w="60" w:type="dxa"/>
            <w:vAlign w:val="bottom"/>
          </w:tcPr>
          <w:p>
            <w:pPr>
              <w:spacing w:after="0"/>
              <w:rPr>
                <w:sz w:val="24"/>
                <w:szCs w:val="24"/>
                <w:color w:val="auto"/>
              </w:rPr>
            </w:pPr>
          </w:p>
        </w:tc>
        <w:tc>
          <w:tcPr>
            <w:tcW w:w="1020" w:type="dxa"/>
            <w:vAlign w:val="bottom"/>
            <w:tcBorders>
              <w:right w:val="single" w:sz="8" w:color="A0DBF9"/>
            </w:tcBorders>
          </w:tcPr>
          <w:p>
            <w:pPr>
              <w:spacing w:after="0"/>
              <w:rPr>
                <w:sz w:val="24"/>
                <w:szCs w:val="24"/>
                <w:color w:val="auto"/>
              </w:rPr>
            </w:pPr>
          </w:p>
        </w:tc>
        <w:tc>
          <w:tcPr>
            <w:tcW w:w="1060" w:type="dxa"/>
            <w:vAlign w:val="bottom"/>
            <w:tcBorders>
              <w:right w:val="single" w:sz="8" w:color="A0DBF9"/>
            </w:tcBorders>
          </w:tcPr>
          <w:p>
            <w:pPr>
              <w:spacing w:after="0"/>
              <w:rPr>
                <w:sz w:val="24"/>
                <w:szCs w:val="24"/>
                <w:color w:val="auto"/>
              </w:rPr>
            </w:pPr>
          </w:p>
        </w:tc>
        <w:tc>
          <w:tcPr>
            <w:tcW w:w="1060" w:type="dxa"/>
            <w:vAlign w:val="bottom"/>
            <w:tcBorders>
              <w:right w:val="single" w:sz="8" w:color="A0DBF9"/>
            </w:tcBorders>
          </w:tcPr>
          <w:p>
            <w:pPr>
              <w:spacing w:after="0"/>
              <w:rPr>
                <w:sz w:val="24"/>
                <w:szCs w:val="24"/>
                <w:color w:val="auto"/>
              </w:rPr>
            </w:pPr>
          </w:p>
        </w:tc>
        <w:tc>
          <w:tcPr>
            <w:tcW w:w="1080" w:type="dxa"/>
            <w:vAlign w:val="bottom"/>
            <w:tcBorders>
              <w:right w:val="single" w:sz="8" w:color="A0DBF9"/>
            </w:tcBorders>
          </w:tcPr>
          <w:p>
            <w:pPr>
              <w:spacing w:after="0"/>
              <w:rPr>
                <w:sz w:val="24"/>
                <w:szCs w:val="24"/>
                <w:color w:val="auto"/>
              </w:rPr>
            </w:pPr>
          </w:p>
        </w:tc>
        <w:tc>
          <w:tcPr>
            <w:tcW w:w="1060" w:type="dxa"/>
            <w:vAlign w:val="bottom"/>
            <w:tcBorders>
              <w:right w:val="single" w:sz="8" w:color="A0DBF9"/>
            </w:tcBorders>
          </w:tcPr>
          <w:p>
            <w:pPr>
              <w:spacing w:after="0"/>
              <w:rPr>
                <w:sz w:val="24"/>
                <w:szCs w:val="24"/>
                <w:color w:val="auto"/>
              </w:rPr>
            </w:pPr>
          </w:p>
        </w:tc>
        <w:tc>
          <w:tcPr>
            <w:tcW w:w="1100" w:type="dxa"/>
            <w:vAlign w:val="bottom"/>
            <w:tcBorders>
              <w:right w:val="single" w:sz="8" w:color="A0DBF9"/>
            </w:tcBorders>
          </w:tcPr>
          <w:p>
            <w:pPr>
              <w:spacing w:after="0"/>
              <w:rPr>
                <w:sz w:val="24"/>
                <w:szCs w:val="24"/>
                <w:color w:val="auto"/>
              </w:rPr>
            </w:pPr>
          </w:p>
        </w:tc>
        <w:tc>
          <w:tcPr>
            <w:tcW w:w="1080" w:type="dxa"/>
            <w:vAlign w:val="bottom"/>
            <w:tcBorders>
              <w:right w:val="single" w:sz="8" w:color="A0DBF9"/>
            </w:tcBorders>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3520" w:type="dxa"/>
            <w:vAlign w:val="bottom"/>
            <w:tcBorders>
              <w:left w:val="single" w:sz="8" w:color="A0DBF9"/>
              <w:right w:val="single" w:sz="8" w:color="A0DBF9"/>
            </w:tcBorders>
          </w:tcPr>
          <w:p>
            <w:pPr>
              <w:ind w:left="340"/>
              <w:spacing w:after="0"/>
              <w:rPr>
                <w:sz w:val="20"/>
                <w:szCs w:val="20"/>
                <w:color w:val="auto"/>
              </w:rPr>
            </w:pPr>
            <w:r>
              <w:rPr>
                <w:rFonts w:ascii="Arial" w:cs="Arial" w:eastAsia="Arial" w:hAnsi="Arial"/>
                <w:sz w:val="18"/>
                <w:szCs w:val="18"/>
                <w:color w:val="auto"/>
              </w:rPr>
              <w:t>Officer</w:t>
            </w:r>
          </w:p>
        </w:tc>
        <w:tc>
          <w:tcPr>
            <w:tcW w:w="1080" w:type="dxa"/>
            <w:vAlign w:val="bottom"/>
            <w:tcBorders>
              <w:right w:val="single" w:sz="8" w:color="A0DBF9"/>
            </w:tcBorders>
            <w:gridSpan w:val="2"/>
          </w:tcPr>
          <w:p>
            <w:pPr>
              <w:jc w:val="center"/>
              <w:spacing w:after="0"/>
              <w:rPr>
                <w:sz w:val="20"/>
                <w:szCs w:val="20"/>
                <w:color w:val="auto"/>
              </w:rPr>
            </w:pPr>
            <w:r>
              <w:rPr>
                <w:rFonts w:ascii="Arial" w:cs="Arial" w:eastAsia="Arial" w:hAnsi="Arial"/>
                <w:sz w:val="18"/>
                <w:szCs w:val="18"/>
                <w:color w:val="auto"/>
                <w:w w:val="90"/>
              </w:rPr>
              <w:t>$652,860</w:t>
            </w:r>
          </w:p>
        </w:tc>
        <w:tc>
          <w:tcPr>
            <w:tcW w:w="10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2"/>
              </w:rPr>
              <w:t>$29,014</w:t>
            </w:r>
          </w:p>
        </w:tc>
        <w:tc>
          <w:tcPr>
            <w:tcW w:w="10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$681,874</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$1,305,720</w:t>
            </w:r>
          </w:p>
        </w:tc>
        <w:tc>
          <w:tcPr>
            <w:tcW w:w="106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8"/>
              </w:rPr>
              <w:t>$1,095,808</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89"/>
              </w:rPr>
              <w:t>$58,028</w:t>
            </w:r>
          </w:p>
        </w:tc>
        <w:tc>
          <w:tcPr>
            <w:tcW w:w="108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$2,459,556</w:t>
            </w:r>
          </w:p>
        </w:tc>
        <w:tc>
          <w:tcPr>
            <w:tcW w:w="0" w:type="dxa"/>
            <w:vAlign w:val="bottom"/>
          </w:tcPr>
          <w:p>
            <w:pPr>
              <w:spacing w:after="0"/>
              <w:rPr>
                <w:sz w:val="1"/>
                <w:szCs w:val="1"/>
                <w:color w:val="auto"/>
              </w:rPr>
            </w:pPr>
          </w:p>
        </w:tc>
      </w:tr>
      <w:tr>
        <w:trPr>
          <w:trHeight w:val="108"/>
        </w:trPr>
        <w:tc>
          <w:tcPr>
            <w:tcW w:w="3520" w:type="dxa"/>
            <w:vAlign w:val="bottom"/>
            <w:tcBorders>
              <w:left w:val="single" w:sz="8" w:color="A0DBF9"/>
              <w:bottom w:val="single" w:sz="8" w:color="A0DBF9"/>
              <w:right w:val="single" w:sz="8" w:color="A0DBF9"/>
            </w:tcBorders>
          </w:tcPr>
          <w:p>
            <w:pPr>
              <w:spacing w:after="0"/>
              <w:rPr>
                <w:sz w:val="9"/>
                <w:szCs w:val="9"/>
                <w:color w:val="auto"/>
              </w:rPr>
            </w:pPr>
          </w:p>
        </w:tc>
        <w:tc>
          <w:tcPr>
            <w:tcW w:w="60" w:type="dxa"/>
            <w:vAlign w:val="bottom"/>
            <w:tcBorders>
              <w:bottom w:val="single" w:sz="8" w:color="A0DBF9"/>
            </w:tcBorders>
          </w:tcPr>
          <w:p>
            <w:pPr>
              <w:spacing w:after="0"/>
              <w:rPr>
                <w:sz w:val="9"/>
                <w:szCs w:val="9"/>
                <w:color w:val="auto"/>
              </w:rPr>
            </w:pPr>
          </w:p>
        </w:tc>
        <w:tc>
          <w:tcPr>
            <w:tcW w:w="1020" w:type="dxa"/>
            <w:vAlign w:val="bottom"/>
            <w:tcBorders>
              <w:bottom w:val="single" w:sz="8" w:color="A0DBF9"/>
              <w:right w:val="single" w:sz="8" w:color="A0DBF9"/>
            </w:tcBorders>
          </w:tcPr>
          <w:p>
            <w:pPr>
              <w:spacing w:after="0"/>
              <w:rPr>
                <w:sz w:val="9"/>
                <w:szCs w:val="9"/>
                <w:color w:val="auto"/>
              </w:rPr>
            </w:pPr>
          </w:p>
        </w:tc>
        <w:tc>
          <w:tcPr>
            <w:tcW w:w="1060" w:type="dxa"/>
            <w:vAlign w:val="bottom"/>
            <w:tcBorders>
              <w:bottom w:val="single" w:sz="8" w:color="A0DBF9"/>
              <w:right w:val="single" w:sz="8" w:color="A0DBF9"/>
            </w:tcBorders>
          </w:tcPr>
          <w:p>
            <w:pPr>
              <w:spacing w:after="0"/>
              <w:rPr>
                <w:sz w:val="9"/>
                <w:szCs w:val="9"/>
                <w:color w:val="auto"/>
              </w:rPr>
            </w:pPr>
          </w:p>
        </w:tc>
        <w:tc>
          <w:tcPr>
            <w:tcW w:w="1060" w:type="dxa"/>
            <w:vAlign w:val="bottom"/>
            <w:tcBorders>
              <w:bottom w:val="single" w:sz="8" w:color="A0DBF9"/>
              <w:right w:val="single" w:sz="8" w:color="A0DBF9"/>
            </w:tcBorders>
          </w:tcPr>
          <w:p>
            <w:pPr>
              <w:spacing w:after="0"/>
              <w:rPr>
                <w:sz w:val="9"/>
                <w:szCs w:val="9"/>
                <w:color w:val="auto"/>
              </w:rPr>
            </w:pPr>
          </w:p>
        </w:tc>
        <w:tc>
          <w:tcPr>
            <w:tcW w:w="1080" w:type="dxa"/>
            <w:vAlign w:val="bottom"/>
            <w:tcBorders>
              <w:bottom w:val="single" w:sz="8" w:color="A0DBF9"/>
              <w:right w:val="single" w:sz="8" w:color="A0DBF9"/>
            </w:tcBorders>
          </w:tcPr>
          <w:p>
            <w:pPr>
              <w:spacing w:after="0"/>
              <w:rPr>
                <w:sz w:val="9"/>
                <w:szCs w:val="9"/>
                <w:color w:val="auto"/>
              </w:rPr>
            </w:pPr>
          </w:p>
        </w:tc>
        <w:tc>
          <w:tcPr>
            <w:tcW w:w="1060" w:type="dxa"/>
            <w:vAlign w:val="bottom"/>
            <w:tcBorders>
              <w:bottom w:val="single" w:sz="8" w:color="A0DBF9"/>
              <w:right w:val="single" w:sz="8" w:color="A0DBF9"/>
            </w:tcBorders>
          </w:tcPr>
          <w:p>
            <w:pPr>
              <w:spacing w:after="0"/>
              <w:rPr>
                <w:sz w:val="9"/>
                <w:szCs w:val="9"/>
                <w:color w:val="auto"/>
              </w:rPr>
            </w:pPr>
          </w:p>
        </w:tc>
        <w:tc>
          <w:tcPr>
            <w:tcW w:w="1100" w:type="dxa"/>
            <w:vAlign w:val="bottom"/>
            <w:tcBorders>
              <w:bottom w:val="single" w:sz="8" w:color="A0DBF9"/>
              <w:right w:val="single" w:sz="8" w:color="A0DBF9"/>
            </w:tcBorders>
          </w:tcPr>
          <w:p>
            <w:pPr>
              <w:spacing w:after="0"/>
              <w:rPr>
                <w:sz w:val="9"/>
                <w:szCs w:val="9"/>
                <w:color w:val="auto"/>
              </w:rPr>
            </w:pPr>
          </w:p>
        </w:tc>
        <w:tc>
          <w:tcPr>
            <w:tcW w:w="1080" w:type="dxa"/>
            <w:vAlign w:val="bottom"/>
            <w:tcBorders>
              <w:bottom w:val="single" w:sz="8" w:color="A0DBF9"/>
              <w:right w:val="single" w:sz="8" w:color="A0DBF9"/>
            </w:tcBorders>
          </w:tcPr>
          <w:p>
            <w:pPr>
              <w:spacing w:after="0"/>
              <w:rPr>
                <w:sz w:val="9"/>
                <w:szCs w:val="9"/>
                <w:color w:val="auto"/>
              </w:rPr>
            </w:pPr>
          </w:p>
        </w:tc>
        <w:tc>
          <w:tcPr>
            <w:tcW w:w="0" w:type="dxa"/>
            <w:vAlign w:val="bottom"/>
          </w:tcPr>
          <w:p>
            <w:pPr>
              <w:spacing w:after="0"/>
              <w:rPr>
                <w:sz w:val="1"/>
                <w:szCs w:val="1"/>
                <w:color w:val="auto"/>
              </w:rPr>
            </w:pPr>
          </w:p>
        </w:tc>
      </w:tr>
      <w:tr>
        <w:trPr>
          <w:trHeight w:val="228"/>
        </w:trPr>
        <w:tc>
          <w:tcPr>
            <w:tcW w:w="352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John Bolla</w:t>
            </w:r>
          </w:p>
        </w:tc>
        <w:tc>
          <w:tcPr>
            <w:tcW w:w="60" w:type="dxa"/>
            <w:vAlign w:val="bottom"/>
            <w:shd w:val="clear" w:color="auto" w:fill="E2F4FC"/>
          </w:tcPr>
          <w:p>
            <w:pPr>
              <w:spacing w:after="0"/>
              <w:rPr>
                <w:sz w:val="19"/>
                <w:szCs w:val="19"/>
                <w:color w:val="auto"/>
              </w:rPr>
            </w:pPr>
          </w:p>
        </w:tc>
        <w:tc>
          <w:tcPr>
            <w:tcW w:w="1020" w:type="dxa"/>
            <w:vAlign w:val="bottom"/>
            <w:tcBorders>
              <w:right w:val="single" w:sz="8" w:color="A0DBF9"/>
            </w:tcBorders>
            <w:shd w:val="clear" w:color="auto" w:fill="E2F4FC"/>
          </w:tcPr>
          <w:p>
            <w:pPr>
              <w:spacing w:after="0"/>
              <w:rPr>
                <w:sz w:val="19"/>
                <w:szCs w:val="19"/>
                <w:color w:val="auto"/>
              </w:rPr>
            </w:pPr>
          </w:p>
        </w:tc>
        <w:tc>
          <w:tcPr>
            <w:tcW w:w="1060" w:type="dxa"/>
            <w:vAlign w:val="bottom"/>
            <w:tcBorders>
              <w:right w:val="single" w:sz="8" w:color="A0DBF9"/>
            </w:tcBorders>
            <w:shd w:val="clear" w:color="auto" w:fill="E2F4FC"/>
          </w:tcPr>
          <w:p>
            <w:pPr>
              <w:spacing w:after="0"/>
              <w:rPr>
                <w:sz w:val="19"/>
                <w:szCs w:val="19"/>
                <w:color w:val="auto"/>
              </w:rPr>
            </w:pPr>
          </w:p>
        </w:tc>
        <w:tc>
          <w:tcPr>
            <w:tcW w:w="1060" w:type="dxa"/>
            <w:vAlign w:val="bottom"/>
            <w:tcBorders>
              <w:right w:val="single" w:sz="8" w:color="A0DBF9"/>
            </w:tcBorders>
            <w:shd w:val="clear" w:color="auto" w:fill="E2F4FC"/>
          </w:tcPr>
          <w:p>
            <w:pPr>
              <w:spacing w:after="0"/>
              <w:rPr>
                <w:sz w:val="19"/>
                <w:szCs w:val="19"/>
                <w:color w:val="auto"/>
              </w:rPr>
            </w:pPr>
          </w:p>
        </w:tc>
        <w:tc>
          <w:tcPr>
            <w:tcW w:w="1080" w:type="dxa"/>
            <w:vAlign w:val="bottom"/>
            <w:tcBorders>
              <w:right w:val="single" w:sz="8" w:color="A0DBF9"/>
            </w:tcBorders>
            <w:shd w:val="clear" w:color="auto" w:fill="E2F4FC"/>
          </w:tcPr>
          <w:p>
            <w:pPr>
              <w:spacing w:after="0"/>
              <w:rPr>
                <w:sz w:val="19"/>
                <w:szCs w:val="19"/>
                <w:color w:val="auto"/>
              </w:rPr>
            </w:pPr>
          </w:p>
        </w:tc>
        <w:tc>
          <w:tcPr>
            <w:tcW w:w="1060" w:type="dxa"/>
            <w:vAlign w:val="bottom"/>
            <w:tcBorders>
              <w:right w:val="single" w:sz="8" w:color="A0DBF9"/>
            </w:tcBorders>
            <w:shd w:val="clear" w:color="auto" w:fill="E2F4FC"/>
          </w:tcPr>
          <w:p>
            <w:pPr>
              <w:spacing w:after="0"/>
              <w:rPr>
                <w:sz w:val="19"/>
                <w:szCs w:val="19"/>
                <w:color w:val="auto"/>
              </w:rPr>
            </w:pPr>
          </w:p>
        </w:tc>
        <w:tc>
          <w:tcPr>
            <w:tcW w:w="1100" w:type="dxa"/>
            <w:vAlign w:val="bottom"/>
            <w:tcBorders>
              <w:right w:val="single" w:sz="8" w:color="A0DBF9"/>
            </w:tcBorders>
            <w:shd w:val="clear" w:color="auto" w:fill="E2F4FC"/>
          </w:tcPr>
          <w:p>
            <w:pPr>
              <w:spacing w:after="0"/>
              <w:rPr>
                <w:sz w:val="19"/>
                <w:szCs w:val="19"/>
                <w:color w:val="auto"/>
              </w:rPr>
            </w:pPr>
          </w:p>
        </w:tc>
        <w:tc>
          <w:tcPr>
            <w:tcW w:w="1080" w:type="dxa"/>
            <w:vAlign w:val="bottom"/>
            <w:tcBorders>
              <w:right w:val="single" w:sz="8" w:color="A0DBF9"/>
            </w:tcBorders>
            <w:shd w:val="clear" w:color="auto" w:fill="E2F4FC"/>
          </w:tcPr>
          <w:p>
            <w:pPr>
              <w:spacing w:after="0"/>
              <w:rPr>
                <w:sz w:val="19"/>
                <w:szCs w:val="19"/>
                <w:color w:val="auto"/>
              </w:rPr>
            </w:pPr>
          </w:p>
        </w:tc>
        <w:tc>
          <w:tcPr>
            <w:tcW w:w="0" w:type="dxa"/>
            <w:vAlign w:val="bottom"/>
          </w:tcPr>
          <w:p>
            <w:pPr>
              <w:spacing w:after="0"/>
              <w:rPr>
                <w:sz w:val="1"/>
                <w:szCs w:val="1"/>
                <w:color w:val="auto"/>
              </w:rPr>
            </w:pPr>
          </w:p>
        </w:tc>
      </w:tr>
      <w:tr>
        <w:trPr>
          <w:trHeight w:val="346"/>
        </w:trPr>
        <w:tc>
          <w:tcPr>
            <w:tcW w:w="3520" w:type="dxa"/>
            <w:vAlign w:val="bottom"/>
            <w:tcBorders>
              <w:left w:val="single" w:sz="8" w:color="A0DBF9"/>
              <w:righ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Chief Operations Officer</w:t>
            </w:r>
          </w:p>
        </w:tc>
        <w:tc>
          <w:tcPr>
            <w:tcW w:w="1080" w:type="dxa"/>
            <w:vAlign w:val="bottom"/>
            <w:tcBorders>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0"/>
              </w:rPr>
              <w:t>$522,000</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$29,014</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$551,014</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$1,044,000</w:t>
            </w:r>
          </w:p>
        </w:tc>
        <w:tc>
          <w:tcPr>
            <w:tcW w:w="106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$679,271</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$58,028</w:t>
            </w:r>
          </w:p>
        </w:tc>
        <w:tc>
          <w:tcPr>
            <w:tcW w:w="108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$1,781,299</w:t>
            </w:r>
          </w:p>
        </w:tc>
        <w:tc>
          <w:tcPr>
            <w:tcW w:w="0" w:type="dxa"/>
            <w:vAlign w:val="bottom"/>
          </w:tcPr>
          <w:p>
            <w:pPr>
              <w:spacing w:after="0"/>
              <w:rPr>
                <w:sz w:val="1"/>
                <w:szCs w:val="1"/>
                <w:color w:val="auto"/>
              </w:rPr>
            </w:pPr>
          </w:p>
        </w:tc>
      </w:tr>
      <w:tr>
        <w:trPr>
          <w:trHeight w:val="108"/>
        </w:trPr>
        <w:tc>
          <w:tcPr>
            <w:tcW w:w="3520" w:type="dxa"/>
            <w:vAlign w:val="bottom"/>
            <w:tcBorders>
              <w:left w:val="single" w:sz="8" w:color="A0DBF9"/>
              <w:bottom w:val="single" w:sz="8" w:color="A0DBF9"/>
              <w:right w:val="single" w:sz="8" w:color="A0DBF9"/>
            </w:tcBorders>
            <w:shd w:val="clear" w:color="auto" w:fill="E2F4FC"/>
          </w:tcPr>
          <w:p>
            <w:pPr>
              <w:spacing w:after="0"/>
              <w:rPr>
                <w:sz w:val="9"/>
                <w:szCs w:val="9"/>
                <w:color w:val="auto"/>
              </w:rPr>
            </w:pPr>
          </w:p>
        </w:tc>
        <w:tc>
          <w:tcPr>
            <w:tcW w:w="60" w:type="dxa"/>
            <w:vAlign w:val="bottom"/>
            <w:tcBorders>
              <w:bottom w:val="single" w:sz="8" w:color="A0DBF9"/>
            </w:tcBorders>
            <w:shd w:val="clear" w:color="auto" w:fill="E2F4FC"/>
          </w:tcPr>
          <w:p>
            <w:pPr>
              <w:spacing w:after="0"/>
              <w:rPr>
                <w:sz w:val="9"/>
                <w:szCs w:val="9"/>
                <w:color w:val="auto"/>
              </w:rPr>
            </w:pPr>
          </w:p>
        </w:tc>
        <w:tc>
          <w:tcPr>
            <w:tcW w:w="102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080" w:type="dxa"/>
            <w:vAlign w:val="bottom"/>
            <w:tcBorders>
              <w:bottom w:val="single" w:sz="8" w:color="A0DBF9"/>
              <w:right w:val="single" w:sz="8" w:color="A0DBF9"/>
            </w:tcBorders>
            <w:shd w:val="clear" w:color="auto" w:fill="E2F4FC"/>
          </w:tcPr>
          <w:p>
            <w:pPr>
              <w:spacing w:after="0"/>
              <w:rPr>
                <w:sz w:val="9"/>
                <w:szCs w:val="9"/>
                <w:color w:val="auto"/>
              </w:rPr>
            </w:pPr>
          </w:p>
        </w:tc>
        <w:tc>
          <w:tcPr>
            <w:tcW w:w="1060" w:type="dxa"/>
            <w:vAlign w:val="bottom"/>
            <w:tcBorders>
              <w:bottom w:val="single" w:sz="8" w:color="A0DBF9"/>
              <w:right w:val="single" w:sz="8" w:color="A0DBF9"/>
            </w:tcBorders>
            <w:shd w:val="clear" w:color="auto" w:fill="E2F4FC"/>
          </w:tcPr>
          <w:p>
            <w:pPr>
              <w:spacing w:after="0"/>
              <w:rPr>
                <w:sz w:val="9"/>
                <w:szCs w:val="9"/>
                <w:color w:val="auto"/>
              </w:rPr>
            </w:pPr>
          </w:p>
        </w:tc>
        <w:tc>
          <w:tcPr>
            <w:tcW w:w="1100" w:type="dxa"/>
            <w:vAlign w:val="bottom"/>
            <w:tcBorders>
              <w:bottom w:val="single" w:sz="8" w:color="A0DBF9"/>
              <w:right w:val="single" w:sz="8" w:color="A0DBF9"/>
            </w:tcBorders>
            <w:shd w:val="clear" w:color="auto" w:fill="E2F4FC"/>
          </w:tcPr>
          <w:p>
            <w:pPr>
              <w:spacing w:after="0"/>
              <w:rPr>
                <w:sz w:val="9"/>
                <w:szCs w:val="9"/>
                <w:color w:val="auto"/>
              </w:rPr>
            </w:pPr>
          </w:p>
        </w:tc>
        <w:tc>
          <w:tcPr>
            <w:tcW w:w="1080" w:type="dxa"/>
            <w:vAlign w:val="bottom"/>
            <w:tcBorders>
              <w:bottom w:val="single" w:sz="8" w:color="A0DBF9"/>
              <w:right w:val="single" w:sz="8" w:color="A0DBF9"/>
            </w:tcBorders>
            <w:shd w:val="clear" w:color="auto" w:fill="E2F4FC"/>
          </w:tcPr>
          <w:p>
            <w:pPr>
              <w:spacing w:after="0"/>
              <w:rPr>
                <w:sz w:val="9"/>
                <w:szCs w:val="9"/>
                <w:color w:val="auto"/>
              </w:rPr>
            </w:pPr>
          </w:p>
        </w:tc>
        <w:tc>
          <w:tcPr>
            <w:tcW w:w="0" w:type="dxa"/>
            <w:vAlign w:val="bottom"/>
          </w:tcPr>
          <w:p>
            <w:pPr>
              <w:spacing w:after="0"/>
              <w:rPr>
                <w:sz w:val="1"/>
                <w:szCs w:val="1"/>
                <w:color w:val="auto"/>
              </w:rPr>
            </w:pPr>
          </w:p>
        </w:tc>
      </w:tr>
      <w:tr>
        <w:trPr>
          <w:trHeight w:val="358"/>
        </w:trPr>
        <w:tc>
          <w:tcPr>
            <w:tcW w:w="35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w:t>
            </w:r>
          </w:p>
        </w:tc>
        <w:tc>
          <w:tcPr>
            <w:tcW w:w="10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24"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2340" w:type="dxa"/>
            <w:vAlign w:val="bottom"/>
            <w:tcBorders>
              <w:left w:val="single" w:sz="8" w:color="5EB5FC"/>
              <w:right w:val="single" w:sz="8" w:color="5EB5FC"/>
            </w:tcBorders>
            <w:shd w:val="clear" w:color="auto" w:fill="5EB5FC"/>
          </w:tcPr>
          <w:p>
            <w:pPr>
              <w:spacing w:after="0"/>
              <w:rPr>
                <w:sz w:val="15"/>
                <w:szCs w:val="15"/>
                <w:color w:val="auto"/>
              </w:rPr>
            </w:pPr>
          </w:p>
        </w:tc>
        <w:tc>
          <w:tcPr>
            <w:tcW w:w="100" w:type="dxa"/>
            <w:vAlign w:val="bottom"/>
            <w:shd w:val="clear" w:color="auto" w:fill="5EB5FC"/>
          </w:tcPr>
          <w:p>
            <w:pPr>
              <w:spacing w:after="0"/>
              <w:rPr>
                <w:sz w:val="15"/>
                <w:szCs w:val="15"/>
                <w:color w:val="auto"/>
              </w:rPr>
            </w:pPr>
          </w:p>
        </w:tc>
        <w:tc>
          <w:tcPr>
            <w:tcW w:w="1240" w:type="dxa"/>
            <w:vAlign w:val="bottom"/>
            <w:tcBorders>
              <w:right w:val="single" w:sz="8" w:color="5EB5FC"/>
            </w:tcBorders>
            <w:shd w:val="clear" w:color="auto" w:fill="5EB5FC"/>
          </w:tcPr>
          <w:p>
            <w:pPr>
              <w:spacing w:after="0"/>
              <w:rPr>
                <w:sz w:val="15"/>
                <w:szCs w:val="15"/>
                <w:color w:val="auto"/>
              </w:rPr>
            </w:pPr>
          </w:p>
        </w:tc>
        <w:tc>
          <w:tcPr>
            <w:tcW w:w="2540" w:type="dxa"/>
            <w:vAlign w:val="bottom"/>
            <w:tcBorders>
              <w:right w:val="single" w:sz="8" w:color="5EB5FC"/>
            </w:tcBorders>
            <w:gridSpan w:val="2"/>
            <w:shd w:val="clear" w:color="auto" w:fill="5EB5FC"/>
          </w:tcPr>
          <w:p>
            <w:pPr>
              <w:jc w:val="center"/>
              <w:ind w:left="83"/>
              <w:spacing w:after="0"/>
              <w:rPr>
                <w:sz w:val="20"/>
                <w:szCs w:val="20"/>
                <w:color w:val="auto"/>
              </w:rPr>
            </w:pPr>
            <w:r>
              <w:rPr>
                <w:rFonts w:ascii="Arial" w:cs="Arial" w:eastAsia="Arial" w:hAnsi="Arial"/>
                <w:sz w:val="14"/>
                <w:szCs w:val="14"/>
                <w:b w:val="1"/>
                <w:bCs w:val="1"/>
                <w:color w:val="FFFFFF"/>
                <w:w w:val="93"/>
              </w:rPr>
              <w:t>Payments for Termination</w:t>
            </w:r>
          </w:p>
        </w:tc>
        <w:tc>
          <w:tcPr>
            <w:tcW w:w="1320" w:type="dxa"/>
            <w:vAlign w:val="bottom"/>
            <w:tcBorders>
              <w:right w:val="single" w:sz="8" w:color="5EB5FC"/>
            </w:tcBorders>
            <w:shd w:val="clear" w:color="auto" w:fill="5EB5FC"/>
          </w:tcPr>
          <w:p>
            <w:pPr>
              <w:spacing w:after="0"/>
              <w:rPr>
                <w:sz w:val="15"/>
                <w:szCs w:val="15"/>
                <w:color w:val="auto"/>
              </w:rPr>
            </w:pPr>
          </w:p>
        </w:tc>
        <w:tc>
          <w:tcPr>
            <w:tcW w:w="100" w:type="dxa"/>
            <w:vAlign w:val="bottom"/>
            <w:shd w:val="clear" w:color="auto" w:fill="5EB5FC"/>
          </w:tcPr>
          <w:p>
            <w:pPr>
              <w:spacing w:after="0"/>
              <w:rPr>
                <w:sz w:val="15"/>
                <w:szCs w:val="15"/>
                <w:color w:val="auto"/>
              </w:rPr>
            </w:pPr>
          </w:p>
        </w:tc>
        <w:tc>
          <w:tcPr>
            <w:tcW w:w="1100" w:type="dxa"/>
            <w:vAlign w:val="bottom"/>
            <w:tcBorders>
              <w:right w:val="single" w:sz="8" w:color="5EB5FC"/>
            </w:tcBorders>
            <w:shd w:val="clear" w:color="auto" w:fill="5EB5FC"/>
          </w:tcPr>
          <w:p>
            <w:pPr>
              <w:spacing w:after="0"/>
              <w:rPr>
                <w:sz w:val="15"/>
                <w:szCs w:val="15"/>
                <w:color w:val="auto"/>
              </w:rPr>
            </w:pPr>
          </w:p>
        </w:tc>
        <w:tc>
          <w:tcPr>
            <w:tcW w:w="2300" w:type="dxa"/>
            <w:vAlign w:val="bottom"/>
            <w:tcBorders>
              <w:right w:val="single" w:sz="8" w:color="5EB5FC"/>
            </w:tcBorders>
            <w:gridSpan w:val="2"/>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Payments for Termination</w:t>
            </w:r>
          </w:p>
        </w:tc>
        <w:tc>
          <w:tcPr>
            <w:tcW w:w="0" w:type="dxa"/>
            <w:vAlign w:val="bottom"/>
          </w:tcPr>
          <w:p>
            <w:pPr>
              <w:spacing w:after="0"/>
              <w:rPr>
                <w:sz w:val="1"/>
                <w:szCs w:val="1"/>
                <w:color w:val="auto"/>
              </w:rPr>
            </w:pPr>
          </w:p>
        </w:tc>
      </w:tr>
      <w:tr>
        <w:trPr>
          <w:trHeight w:val="186"/>
        </w:trPr>
        <w:tc>
          <w:tcPr>
            <w:tcW w:w="2340" w:type="dxa"/>
            <w:vAlign w:val="bottom"/>
            <w:tcBorders>
              <w:left w:val="single" w:sz="8" w:color="5EB5FC"/>
              <w:right w:val="single" w:sz="8" w:color="5EB5FC"/>
            </w:tcBorders>
            <w:shd w:val="clear" w:color="auto" w:fill="5EB5FC"/>
          </w:tcPr>
          <w:p>
            <w:pPr>
              <w:spacing w:after="0"/>
              <w:rPr>
                <w:sz w:val="16"/>
                <w:szCs w:val="16"/>
                <w:color w:val="auto"/>
              </w:rPr>
            </w:pPr>
          </w:p>
        </w:tc>
        <w:tc>
          <w:tcPr>
            <w:tcW w:w="100" w:type="dxa"/>
            <w:vAlign w:val="bottom"/>
            <w:shd w:val="clear" w:color="auto" w:fill="5EB5FC"/>
          </w:tcPr>
          <w:p>
            <w:pPr>
              <w:spacing w:after="0"/>
              <w:rPr>
                <w:sz w:val="16"/>
                <w:szCs w:val="16"/>
                <w:color w:val="auto"/>
              </w:rPr>
            </w:pPr>
          </w:p>
        </w:tc>
        <w:tc>
          <w:tcPr>
            <w:tcW w:w="1240" w:type="dxa"/>
            <w:vAlign w:val="bottom"/>
            <w:tcBorders>
              <w:right w:val="single" w:sz="8" w:color="5EB5FC"/>
            </w:tcBorders>
            <w:shd w:val="clear" w:color="auto" w:fill="5EB5FC"/>
          </w:tcPr>
          <w:p>
            <w:pPr>
              <w:spacing w:after="0"/>
              <w:rPr>
                <w:sz w:val="16"/>
                <w:szCs w:val="16"/>
                <w:color w:val="auto"/>
              </w:rPr>
            </w:pPr>
          </w:p>
        </w:tc>
        <w:tc>
          <w:tcPr>
            <w:tcW w:w="2540" w:type="dxa"/>
            <w:vAlign w:val="bottom"/>
            <w:tcBorders>
              <w:right w:val="single" w:sz="8" w:color="5EB5FC"/>
            </w:tcBorders>
            <w:gridSpan w:val="2"/>
            <w:shd w:val="clear" w:color="auto" w:fill="5EB5FC"/>
          </w:tcPr>
          <w:p>
            <w:pPr>
              <w:jc w:val="center"/>
              <w:ind w:left="103"/>
              <w:spacing w:after="0"/>
              <w:rPr>
                <w:sz w:val="20"/>
                <w:szCs w:val="20"/>
                <w:color w:val="auto"/>
              </w:rPr>
            </w:pPr>
            <w:r>
              <w:rPr>
                <w:rFonts w:ascii="Arial" w:cs="Arial" w:eastAsia="Arial" w:hAnsi="Arial"/>
                <w:sz w:val="14"/>
                <w:szCs w:val="14"/>
                <w:b w:val="1"/>
                <w:bCs w:val="1"/>
                <w:color w:val="FFFFFF"/>
                <w:w w:val="93"/>
              </w:rPr>
              <w:t>not related to Change in Control</w:t>
            </w:r>
          </w:p>
        </w:tc>
        <w:tc>
          <w:tcPr>
            <w:tcW w:w="1320" w:type="dxa"/>
            <w:vAlign w:val="bottom"/>
            <w:tcBorders>
              <w:right w:val="single" w:sz="8" w:color="5EB5FC"/>
            </w:tcBorders>
            <w:shd w:val="clear" w:color="auto" w:fill="5EB5FC"/>
          </w:tcPr>
          <w:p>
            <w:pPr>
              <w:spacing w:after="0"/>
              <w:rPr>
                <w:sz w:val="16"/>
                <w:szCs w:val="16"/>
                <w:color w:val="auto"/>
              </w:rPr>
            </w:pPr>
          </w:p>
        </w:tc>
        <w:tc>
          <w:tcPr>
            <w:tcW w:w="100" w:type="dxa"/>
            <w:vAlign w:val="bottom"/>
            <w:shd w:val="clear" w:color="auto" w:fill="5EB5FC"/>
          </w:tcPr>
          <w:p>
            <w:pPr>
              <w:spacing w:after="0"/>
              <w:rPr>
                <w:sz w:val="16"/>
                <w:szCs w:val="16"/>
                <w:color w:val="auto"/>
              </w:rPr>
            </w:pPr>
          </w:p>
        </w:tc>
        <w:tc>
          <w:tcPr>
            <w:tcW w:w="1100" w:type="dxa"/>
            <w:vAlign w:val="bottom"/>
            <w:tcBorders>
              <w:right w:val="single" w:sz="8" w:color="5EB5FC"/>
            </w:tcBorders>
            <w:shd w:val="clear" w:color="auto" w:fill="5EB5FC"/>
          </w:tcPr>
          <w:p>
            <w:pPr>
              <w:spacing w:after="0"/>
              <w:rPr>
                <w:sz w:val="16"/>
                <w:szCs w:val="16"/>
                <w:color w:val="auto"/>
              </w:rPr>
            </w:pPr>
          </w:p>
        </w:tc>
        <w:tc>
          <w:tcPr>
            <w:tcW w:w="2300" w:type="dxa"/>
            <w:vAlign w:val="bottom"/>
            <w:tcBorders>
              <w:right w:val="single" w:sz="8" w:color="5EB5FC"/>
            </w:tcBorders>
            <w:gridSpan w:val="2"/>
            <w:shd w:val="clear" w:color="auto" w:fill="5EB5FC"/>
          </w:tcPr>
          <w:p>
            <w:pPr>
              <w:jc w:val="center"/>
              <w:ind w:right="19"/>
              <w:spacing w:after="0"/>
              <w:rPr>
                <w:sz w:val="20"/>
                <w:szCs w:val="20"/>
                <w:color w:val="auto"/>
              </w:rPr>
            </w:pPr>
            <w:r>
              <w:rPr>
                <w:rFonts w:ascii="Arial" w:cs="Arial" w:eastAsia="Arial" w:hAnsi="Arial"/>
                <w:sz w:val="14"/>
                <w:szCs w:val="14"/>
                <w:b w:val="1"/>
                <w:bCs w:val="1"/>
                <w:color w:val="FFFFFF"/>
                <w:w w:val="93"/>
              </w:rPr>
              <w:t>related to Change in Control</w:t>
            </w:r>
          </w:p>
        </w:tc>
        <w:tc>
          <w:tcPr>
            <w:tcW w:w="0" w:type="dxa"/>
            <w:vAlign w:val="bottom"/>
          </w:tcPr>
          <w:p>
            <w:pPr>
              <w:spacing w:after="0"/>
              <w:rPr>
                <w:sz w:val="1"/>
                <w:szCs w:val="1"/>
                <w:color w:val="auto"/>
              </w:rPr>
            </w:pPr>
          </w:p>
        </w:tc>
      </w:tr>
      <w:tr>
        <w:trPr>
          <w:trHeight w:val="178"/>
        </w:trPr>
        <w:tc>
          <w:tcPr>
            <w:tcW w:w="2340" w:type="dxa"/>
            <w:vAlign w:val="bottom"/>
            <w:tcBorders>
              <w:left w:val="single" w:sz="8" w:color="5EB5FC"/>
              <w:right w:val="single" w:sz="8" w:color="5EB5FC"/>
            </w:tcBorders>
            <w:shd w:val="clear" w:color="auto" w:fill="5EB5FC"/>
          </w:tcPr>
          <w:p>
            <w:pPr>
              <w:spacing w:after="0"/>
              <w:rPr>
                <w:sz w:val="15"/>
                <w:szCs w:val="15"/>
                <w:color w:val="auto"/>
              </w:rPr>
            </w:pPr>
          </w:p>
        </w:tc>
        <w:tc>
          <w:tcPr>
            <w:tcW w:w="100" w:type="dxa"/>
            <w:vAlign w:val="bottom"/>
            <w:shd w:val="clear" w:color="auto" w:fill="5EB5FC"/>
          </w:tcPr>
          <w:p>
            <w:pPr>
              <w:spacing w:after="0"/>
              <w:rPr>
                <w:sz w:val="15"/>
                <w:szCs w:val="15"/>
                <w:color w:val="auto"/>
              </w:rPr>
            </w:pPr>
          </w:p>
        </w:tc>
        <w:tc>
          <w:tcPr>
            <w:tcW w:w="1240" w:type="dxa"/>
            <w:vAlign w:val="bottom"/>
            <w:tcBorders>
              <w:right w:val="single" w:sz="8" w:color="5EB5FC"/>
            </w:tcBorders>
            <w:shd w:val="clear" w:color="auto" w:fill="5EB5FC"/>
          </w:tcPr>
          <w:p>
            <w:pPr>
              <w:spacing w:after="0"/>
              <w:rPr>
                <w:sz w:val="15"/>
                <w:szCs w:val="15"/>
                <w:color w:val="auto"/>
              </w:rPr>
            </w:pPr>
          </w:p>
        </w:tc>
        <w:tc>
          <w:tcPr>
            <w:tcW w:w="1220" w:type="dxa"/>
            <w:vAlign w:val="bottom"/>
            <w:tcBorders>
              <w:right w:val="single" w:sz="8" w:color="5EB5FC"/>
            </w:tcBorders>
            <w:shd w:val="clear" w:color="auto" w:fill="5EB5FC"/>
          </w:tcPr>
          <w:p>
            <w:pPr>
              <w:spacing w:after="0"/>
              <w:rPr>
                <w:sz w:val="15"/>
                <w:szCs w:val="15"/>
                <w:color w:val="auto"/>
              </w:rPr>
            </w:pPr>
          </w:p>
        </w:tc>
        <w:tc>
          <w:tcPr>
            <w:tcW w:w="1320" w:type="dxa"/>
            <w:vAlign w:val="bottom"/>
            <w:tcBorders>
              <w:right w:val="single" w:sz="8" w:color="5EB5FC"/>
            </w:tcBorders>
            <w:shd w:val="clear" w:color="auto" w:fill="5EB5FC"/>
          </w:tcPr>
          <w:p>
            <w:pPr>
              <w:spacing w:after="0"/>
              <w:rPr>
                <w:sz w:val="15"/>
                <w:szCs w:val="15"/>
                <w:color w:val="auto"/>
              </w:rPr>
            </w:pPr>
          </w:p>
        </w:tc>
        <w:tc>
          <w:tcPr>
            <w:tcW w:w="1320" w:type="dxa"/>
            <w:vAlign w:val="bottom"/>
            <w:tcBorders>
              <w:right w:val="single" w:sz="8" w:color="5EB5FC"/>
            </w:tcBorders>
            <w:shd w:val="clear" w:color="auto" w:fill="5EB5FC"/>
          </w:tcPr>
          <w:p>
            <w:pPr>
              <w:spacing w:after="0"/>
              <w:rPr>
                <w:sz w:val="15"/>
                <w:szCs w:val="15"/>
                <w:color w:val="auto"/>
              </w:rPr>
            </w:pPr>
          </w:p>
        </w:tc>
        <w:tc>
          <w:tcPr>
            <w:tcW w:w="100" w:type="dxa"/>
            <w:vAlign w:val="bottom"/>
            <w:shd w:val="clear" w:color="auto" w:fill="5EB5FC"/>
          </w:tcPr>
          <w:p>
            <w:pPr>
              <w:spacing w:after="0"/>
              <w:rPr>
                <w:sz w:val="15"/>
                <w:szCs w:val="15"/>
                <w:color w:val="auto"/>
              </w:rPr>
            </w:pPr>
          </w:p>
        </w:tc>
        <w:tc>
          <w:tcPr>
            <w:tcW w:w="110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Value of</w:t>
            </w:r>
          </w:p>
        </w:tc>
        <w:tc>
          <w:tcPr>
            <w:tcW w:w="1100" w:type="dxa"/>
            <w:vAlign w:val="bottom"/>
            <w:tcBorders>
              <w:right w:val="single" w:sz="8" w:color="5EB5FC"/>
            </w:tcBorders>
            <w:shd w:val="clear" w:color="auto" w:fill="5EB5FC"/>
          </w:tcPr>
          <w:p>
            <w:pPr>
              <w:spacing w:after="0"/>
              <w:rPr>
                <w:sz w:val="15"/>
                <w:szCs w:val="15"/>
                <w:color w:val="auto"/>
              </w:rPr>
            </w:pPr>
          </w:p>
        </w:tc>
        <w:tc>
          <w:tcPr>
            <w:tcW w:w="1200" w:type="dxa"/>
            <w:vAlign w:val="bottom"/>
            <w:tcBorders>
              <w:right w:val="single" w:sz="8" w:color="5EB5FC"/>
            </w:tcBorders>
            <w:shd w:val="clear" w:color="auto" w:fill="5EB5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2340" w:type="dxa"/>
            <w:vAlign w:val="bottom"/>
            <w:tcBorders>
              <w:left w:val="single" w:sz="8" w:color="5EB5FC"/>
              <w:right w:val="single" w:sz="8" w:color="5EB5FC"/>
            </w:tcBorders>
            <w:shd w:val="clear" w:color="auto" w:fill="5EB5FC"/>
          </w:tcPr>
          <w:p>
            <w:pPr>
              <w:spacing w:after="0"/>
              <w:rPr>
                <w:sz w:val="12"/>
                <w:szCs w:val="12"/>
                <w:color w:val="auto"/>
              </w:rPr>
            </w:pPr>
          </w:p>
        </w:tc>
        <w:tc>
          <w:tcPr>
            <w:tcW w:w="100" w:type="dxa"/>
            <w:vAlign w:val="bottom"/>
            <w:shd w:val="clear" w:color="auto" w:fill="5EB5FC"/>
          </w:tcPr>
          <w:p>
            <w:pPr>
              <w:spacing w:after="0"/>
              <w:rPr>
                <w:sz w:val="12"/>
                <w:szCs w:val="12"/>
                <w:color w:val="auto"/>
              </w:rPr>
            </w:pPr>
          </w:p>
        </w:tc>
        <w:tc>
          <w:tcPr>
            <w:tcW w:w="1240" w:type="dxa"/>
            <w:vAlign w:val="bottom"/>
            <w:tcBorders>
              <w:right w:val="single" w:sz="8" w:color="5EB5FC"/>
            </w:tcBorders>
            <w:shd w:val="clear" w:color="auto" w:fill="5EB5FC"/>
          </w:tcPr>
          <w:p>
            <w:pPr>
              <w:spacing w:after="0"/>
              <w:rPr>
                <w:sz w:val="12"/>
                <w:szCs w:val="12"/>
                <w:color w:val="auto"/>
              </w:rPr>
            </w:pPr>
          </w:p>
        </w:tc>
        <w:tc>
          <w:tcPr>
            <w:tcW w:w="1220" w:type="dxa"/>
            <w:vAlign w:val="bottom"/>
            <w:tcBorders>
              <w:right w:val="single" w:sz="8" w:color="5EB5FC"/>
            </w:tcBorders>
            <w:vMerge w:val="restart"/>
            <w:shd w:val="clear" w:color="auto" w:fill="5EB5FC"/>
          </w:tcPr>
          <w:p>
            <w:pPr>
              <w:jc w:val="center"/>
              <w:ind w:left="3"/>
              <w:spacing w:after="0"/>
              <w:rPr>
                <w:sz w:val="20"/>
                <w:szCs w:val="20"/>
                <w:color w:val="auto"/>
              </w:rPr>
            </w:pPr>
            <w:r>
              <w:rPr>
                <w:rFonts w:ascii="Arial" w:cs="Arial" w:eastAsia="Arial" w:hAnsi="Arial"/>
                <w:sz w:val="14"/>
                <w:szCs w:val="14"/>
                <w:b w:val="1"/>
                <w:bCs w:val="1"/>
                <w:color w:val="FFFFFF"/>
                <w:w w:val="89"/>
              </w:rPr>
              <w:t>Total</w:t>
            </w:r>
          </w:p>
        </w:tc>
        <w:tc>
          <w:tcPr>
            <w:tcW w:w="1320" w:type="dxa"/>
            <w:vAlign w:val="bottom"/>
            <w:tcBorders>
              <w:right w:val="single" w:sz="8" w:color="5EB5FC"/>
            </w:tcBorders>
            <w:shd w:val="clear" w:color="auto" w:fill="5EB5FC"/>
          </w:tcPr>
          <w:p>
            <w:pPr>
              <w:spacing w:after="0"/>
              <w:rPr>
                <w:sz w:val="12"/>
                <w:szCs w:val="12"/>
                <w:color w:val="auto"/>
              </w:rPr>
            </w:pPr>
          </w:p>
        </w:tc>
        <w:tc>
          <w:tcPr>
            <w:tcW w:w="1320" w:type="dxa"/>
            <w:vAlign w:val="bottom"/>
            <w:tcBorders>
              <w:right w:val="single" w:sz="8" w:color="5EB5FC"/>
            </w:tcBorders>
            <w:shd w:val="clear" w:color="auto" w:fill="5EB5FC"/>
          </w:tcPr>
          <w:p>
            <w:pPr>
              <w:spacing w:after="0"/>
              <w:rPr>
                <w:sz w:val="12"/>
                <w:szCs w:val="12"/>
                <w:color w:val="auto"/>
              </w:rPr>
            </w:pPr>
          </w:p>
        </w:tc>
        <w:tc>
          <w:tcPr>
            <w:tcW w:w="100" w:type="dxa"/>
            <w:vAlign w:val="bottom"/>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3"/>
              </w:rPr>
              <w:t>Accelerated</w:t>
            </w:r>
          </w:p>
        </w:tc>
        <w:tc>
          <w:tcPr>
            <w:tcW w:w="1100" w:type="dxa"/>
            <w:vAlign w:val="bottom"/>
            <w:tcBorders>
              <w:right w:val="single" w:sz="8" w:color="5EB5FC"/>
            </w:tcBorders>
            <w:shd w:val="clear" w:color="auto" w:fill="5EB5FC"/>
          </w:tcPr>
          <w:p>
            <w:pPr>
              <w:spacing w:after="0"/>
              <w:rPr>
                <w:sz w:val="12"/>
                <w:szCs w:val="12"/>
                <w:color w:val="auto"/>
              </w:rPr>
            </w:pPr>
          </w:p>
        </w:tc>
        <w:tc>
          <w:tcPr>
            <w:tcW w:w="1200" w:type="dxa"/>
            <w:vAlign w:val="bottom"/>
            <w:tcBorders>
              <w:right w:val="single" w:sz="8" w:color="5EB5FC"/>
            </w:tcBorders>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144"/>
        </w:trPr>
        <w:tc>
          <w:tcPr>
            <w:tcW w:w="2340" w:type="dxa"/>
            <w:vAlign w:val="bottom"/>
            <w:tcBorders>
              <w:left w:val="single" w:sz="8" w:color="5EB5FC"/>
              <w:right w:val="single" w:sz="8" w:color="5EB5FC"/>
            </w:tcBorders>
            <w:shd w:val="clear" w:color="auto" w:fill="5EB5FC"/>
          </w:tcPr>
          <w:p>
            <w:pPr>
              <w:spacing w:after="0"/>
              <w:rPr>
                <w:sz w:val="12"/>
                <w:szCs w:val="12"/>
                <w:color w:val="auto"/>
              </w:rPr>
            </w:pPr>
          </w:p>
        </w:tc>
        <w:tc>
          <w:tcPr>
            <w:tcW w:w="100" w:type="dxa"/>
            <w:vAlign w:val="bottom"/>
            <w:shd w:val="clear" w:color="auto" w:fill="5EB5FC"/>
          </w:tcPr>
          <w:p>
            <w:pPr>
              <w:spacing w:after="0"/>
              <w:rPr>
                <w:sz w:val="12"/>
                <w:szCs w:val="12"/>
                <w:color w:val="auto"/>
              </w:rPr>
            </w:pPr>
          </w:p>
        </w:tc>
        <w:tc>
          <w:tcPr>
            <w:tcW w:w="124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87"/>
              </w:rPr>
              <w:t>Cash</w:t>
            </w:r>
          </w:p>
        </w:tc>
        <w:tc>
          <w:tcPr>
            <w:tcW w:w="1220" w:type="dxa"/>
            <w:vAlign w:val="bottom"/>
            <w:tcBorders>
              <w:right w:val="single" w:sz="8" w:color="5EB5FC"/>
            </w:tcBorders>
            <w:vMerge w:val="continue"/>
            <w:shd w:val="clear" w:color="auto" w:fill="5EB5FC"/>
          </w:tcPr>
          <w:p>
            <w:pPr>
              <w:spacing w:after="0"/>
              <w:rPr>
                <w:sz w:val="12"/>
                <w:szCs w:val="12"/>
                <w:color w:val="auto"/>
              </w:rPr>
            </w:pPr>
          </w:p>
        </w:tc>
        <w:tc>
          <w:tcPr>
            <w:tcW w:w="1320" w:type="dxa"/>
            <w:vAlign w:val="bottom"/>
            <w:tcBorders>
              <w:right w:val="single" w:sz="8" w:color="5EB5FC"/>
            </w:tcBorders>
            <w:vMerge w:val="restart"/>
            <w:shd w:val="clear" w:color="auto" w:fill="5EB5FC"/>
          </w:tcPr>
          <w:p>
            <w:pPr>
              <w:ind w:left="360"/>
              <w:spacing w:after="0"/>
              <w:rPr>
                <w:sz w:val="20"/>
                <w:szCs w:val="20"/>
                <w:color w:val="auto"/>
              </w:rPr>
            </w:pPr>
            <w:r>
              <w:rPr>
                <w:rFonts w:ascii="Arial" w:cs="Arial" w:eastAsia="Arial" w:hAnsi="Arial"/>
                <w:sz w:val="14"/>
                <w:szCs w:val="14"/>
                <w:b w:val="1"/>
                <w:bCs w:val="1"/>
                <w:color w:val="FFFFFF"/>
              </w:rPr>
              <w:t>Total Value</w:t>
            </w:r>
          </w:p>
        </w:tc>
        <w:tc>
          <w:tcPr>
            <w:tcW w:w="13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Cash</w:t>
            </w:r>
          </w:p>
        </w:tc>
        <w:tc>
          <w:tcPr>
            <w:tcW w:w="100" w:type="dxa"/>
            <w:vAlign w:val="bottom"/>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jc w:val="center"/>
              <w:spacing w:after="0" w:line="145" w:lineRule="exact"/>
              <w:rPr>
                <w:sz w:val="20"/>
                <w:szCs w:val="20"/>
                <w:color w:val="auto"/>
              </w:rPr>
            </w:pPr>
            <w:r>
              <w:rPr>
                <w:rFonts w:ascii="Arial" w:cs="Arial" w:eastAsia="Arial" w:hAnsi="Arial"/>
                <w:sz w:val="14"/>
                <w:szCs w:val="14"/>
                <w:b w:val="1"/>
                <w:bCs w:val="1"/>
                <w:color w:val="FFFFFF"/>
                <w:w w:val="91"/>
              </w:rPr>
              <w:t>RSUs, PSUs,</w:t>
            </w: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5"/>
              </w:rPr>
              <w:t>Total</w:t>
            </w:r>
          </w:p>
        </w:tc>
        <w:tc>
          <w:tcPr>
            <w:tcW w:w="1200" w:type="dxa"/>
            <w:vAlign w:val="bottom"/>
            <w:tcBorders>
              <w:right w:val="single" w:sz="8" w:color="5EB5FC"/>
            </w:tcBorders>
            <w:vMerge w:val="restart"/>
            <w:shd w:val="clear" w:color="auto" w:fill="5EB5FC"/>
          </w:tcPr>
          <w:p>
            <w:pPr>
              <w:ind w:left="260"/>
              <w:spacing w:after="0"/>
              <w:rPr>
                <w:sz w:val="20"/>
                <w:szCs w:val="20"/>
                <w:color w:val="auto"/>
              </w:rPr>
            </w:pPr>
            <w:r>
              <w:rPr>
                <w:rFonts w:ascii="Arial" w:cs="Arial" w:eastAsia="Arial" w:hAnsi="Arial"/>
                <w:sz w:val="14"/>
                <w:szCs w:val="14"/>
                <w:b w:val="1"/>
                <w:bCs w:val="1"/>
                <w:color w:val="FFFFFF"/>
              </w:rPr>
              <w:t>Total Value</w:t>
            </w:r>
          </w:p>
        </w:tc>
        <w:tc>
          <w:tcPr>
            <w:tcW w:w="0" w:type="dxa"/>
            <w:vAlign w:val="bottom"/>
          </w:tcPr>
          <w:p>
            <w:pPr>
              <w:spacing w:after="0"/>
              <w:rPr>
                <w:sz w:val="1"/>
                <w:szCs w:val="1"/>
                <w:color w:val="auto"/>
              </w:rPr>
            </w:pPr>
          </w:p>
        </w:tc>
      </w:tr>
      <w:tr>
        <w:trPr>
          <w:trHeight w:val="148"/>
        </w:trPr>
        <w:tc>
          <w:tcPr>
            <w:tcW w:w="2340" w:type="dxa"/>
            <w:vAlign w:val="bottom"/>
            <w:tcBorders>
              <w:left w:val="single" w:sz="8" w:color="5EB5FC"/>
              <w:right w:val="single" w:sz="8" w:color="5EB5FC"/>
            </w:tcBorders>
            <w:vMerge w:val="restart"/>
            <w:shd w:val="clear" w:color="auto" w:fill="5EB5FC"/>
          </w:tcPr>
          <w:p>
            <w:pPr>
              <w:ind w:left="920"/>
              <w:spacing w:after="0"/>
              <w:rPr>
                <w:sz w:val="20"/>
                <w:szCs w:val="20"/>
                <w:color w:val="auto"/>
              </w:rPr>
            </w:pPr>
            <w:r>
              <w:rPr>
                <w:rFonts w:ascii="Arial" w:cs="Arial" w:eastAsia="Arial" w:hAnsi="Arial"/>
                <w:sz w:val="14"/>
                <w:szCs w:val="14"/>
                <w:b w:val="1"/>
                <w:bCs w:val="1"/>
                <w:color w:val="FFFFFF"/>
              </w:rPr>
              <w:t>Name and</w:t>
            </w:r>
          </w:p>
        </w:tc>
        <w:tc>
          <w:tcPr>
            <w:tcW w:w="100" w:type="dxa"/>
            <w:vAlign w:val="bottom"/>
            <w:shd w:val="clear" w:color="auto" w:fill="5EB5FC"/>
          </w:tcPr>
          <w:p>
            <w:pPr>
              <w:spacing w:after="0"/>
              <w:rPr>
                <w:sz w:val="12"/>
                <w:szCs w:val="12"/>
                <w:color w:val="auto"/>
              </w:rPr>
            </w:pPr>
          </w:p>
        </w:tc>
        <w:tc>
          <w:tcPr>
            <w:tcW w:w="1240" w:type="dxa"/>
            <w:vAlign w:val="bottom"/>
            <w:tcBorders>
              <w:right w:val="single" w:sz="8" w:color="5EB5FC"/>
            </w:tcBorders>
            <w:vMerge w:val="continue"/>
            <w:shd w:val="clear" w:color="auto" w:fill="5EB5FC"/>
          </w:tcPr>
          <w:p>
            <w:pPr>
              <w:spacing w:after="0"/>
              <w:rPr>
                <w:sz w:val="12"/>
                <w:szCs w:val="12"/>
                <w:color w:val="auto"/>
              </w:rPr>
            </w:pPr>
          </w:p>
        </w:tc>
        <w:tc>
          <w:tcPr>
            <w:tcW w:w="1220" w:type="dxa"/>
            <w:vAlign w:val="bottom"/>
            <w:tcBorders>
              <w:right w:val="single" w:sz="8" w:color="5EB5FC"/>
            </w:tcBorders>
            <w:shd w:val="clear" w:color="auto" w:fill="5EB5FC"/>
          </w:tcPr>
          <w:p>
            <w:pPr>
              <w:jc w:val="center"/>
              <w:ind w:left="3"/>
              <w:spacing w:after="0" w:line="149" w:lineRule="exact"/>
              <w:rPr>
                <w:sz w:val="20"/>
                <w:szCs w:val="20"/>
                <w:color w:val="auto"/>
              </w:rPr>
            </w:pPr>
            <w:r>
              <w:rPr>
                <w:rFonts w:ascii="Arial" w:cs="Arial" w:eastAsia="Arial" w:hAnsi="Arial"/>
                <w:sz w:val="14"/>
                <w:szCs w:val="14"/>
                <w:b w:val="1"/>
                <w:bCs w:val="1"/>
                <w:color w:val="FFFFFF"/>
                <w:w w:val="88"/>
              </w:rPr>
              <w:t>Benefits</w:t>
            </w:r>
            <w:r>
              <w:rPr>
                <w:rFonts w:ascii="Arial" w:cs="Arial" w:eastAsia="Arial" w:hAnsi="Arial"/>
                <w:sz w:val="12"/>
                <w:szCs w:val="12"/>
                <w:b w:val="1"/>
                <w:bCs w:val="1"/>
                <w:color w:val="FFFFFF"/>
                <w:w w:val="88"/>
              </w:rPr>
              <w:t>(1)</w:t>
            </w:r>
          </w:p>
        </w:tc>
        <w:tc>
          <w:tcPr>
            <w:tcW w:w="1320" w:type="dxa"/>
            <w:vAlign w:val="bottom"/>
            <w:tcBorders>
              <w:right w:val="single" w:sz="8" w:color="5EB5FC"/>
            </w:tcBorders>
            <w:vMerge w:val="continue"/>
            <w:shd w:val="clear" w:color="auto" w:fill="5EB5FC"/>
          </w:tcPr>
          <w:p>
            <w:pPr>
              <w:spacing w:after="0"/>
              <w:rPr>
                <w:sz w:val="12"/>
                <w:szCs w:val="12"/>
                <w:color w:val="auto"/>
              </w:rPr>
            </w:pPr>
          </w:p>
        </w:tc>
        <w:tc>
          <w:tcPr>
            <w:tcW w:w="1320" w:type="dxa"/>
            <w:vAlign w:val="bottom"/>
            <w:tcBorders>
              <w:right w:val="single" w:sz="8" w:color="5EB5FC"/>
            </w:tcBorders>
            <w:vMerge w:val="continue"/>
            <w:shd w:val="clear" w:color="auto" w:fill="5EB5FC"/>
          </w:tcPr>
          <w:p>
            <w:pPr>
              <w:spacing w:after="0"/>
              <w:rPr>
                <w:sz w:val="12"/>
                <w:szCs w:val="12"/>
                <w:color w:val="auto"/>
              </w:rPr>
            </w:pPr>
          </w:p>
        </w:tc>
        <w:tc>
          <w:tcPr>
            <w:tcW w:w="100" w:type="dxa"/>
            <w:vAlign w:val="bottom"/>
            <w:shd w:val="clear" w:color="auto" w:fill="5EB5FC"/>
          </w:tcPr>
          <w:p>
            <w:pPr>
              <w:spacing w:after="0"/>
              <w:rPr>
                <w:sz w:val="12"/>
                <w:szCs w:val="12"/>
                <w:color w:val="auto"/>
              </w:rPr>
            </w:pPr>
          </w:p>
        </w:tc>
        <w:tc>
          <w:tcPr>
            <w:tcW w:w="110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3"/>
              </w:rPr>
              <w:t>RSAs and</w:t>
            </w:r>
          </w:p>
        </w:tc>
        <w:tc>
          <w:tcPr>
            <w:tcW w:w="1100" w:type="dxa"/>
            <w:vAlign w:val="bottom"/>
            <w:tcBorders>
              <w:right w:val="single" w:sz="8" w:color="5EB5FC"/>
            </w:tcBorders>
            <w:vMerge w:val="continue"/>
            <w:shd w:val="clear" w:color="auto" w:fill="5EB5FC"/>
          </w:tcPr>
          <w:p>
            <w:pPr>
              <w:spacing w:after="0"/>
              <w:rPr>
                <w:sz w:val="12"/>
                <w:szCs w:val="12"/>
                <w:color w:val="auto"/>
              </w:rPr>
            </w:pPr>
          </w:p>
        </w:tc>
        <w:tc>
          <w:tcPr>
            <w:tcW w:w="1200" w:type="dxa"/>
            <w:vAlign w:val="bottom"/>
            <w:tcBorders>
              <w:right w:val="single" w:sz="8" w:color="5EB5FC"/>
            </w:tcBorders>
            <w:vMerge w:val="continue"/>
            <w:shd w:val="clear" w:color="auto" w:fill="5EB5FC"/>
          </w:tcPr>
          <w:p>
            <w:pPr>
              <w:spacing w:after="0"/>
              <w:rPr>
                <w:sz w:val="12"/>
                <w:szCs w:val="12"/>
                <w:color w:val="auto"/>
              </w:rPr>
            </w:pPr>
          </w:p>
        </w:tc>
        <w:tc>
          <w:tcPr>
            <w:tcW w:w="0" w:type="dxa"/>
            <w:vAlign w:val="bottom"/>
          </w:tcPr>
          <w:p>
            <w:pPr>
              <w:spacing w:after="0"/>
              <w:rPr>
                <w:sz w:val="1"/>
                <w:szCs w:val="1"/>
                <w:color w:val="auto"/>
              </w:rPr>
            </w:pPr>
          </w:p>
        </w:tc>
      </w:tr>
      <w:tr>
        <w:trPr>
          <w:trHeight w:val="58"/>
        </w:trPr>
        <w:tc>
          <w:tcPr>
            <w:tcW w:w="2340" w:type="dxa"/>
            <w:vAlign w:val="bottom"/>
            <w:tcBorders>
              <w:left w:val="single" w:sz="8" w:color="5EB5FC"/>
              <w:right w:val="single" w:sz="8" w:color="5EB5FC"/>
            </w:tcBorders>
            <w:vMerge w:val="continue"/>
            <w:shd w:val="clear" w:color="auto" w:fill="5EB5FC"/>
          </w:tcPr>
          <w:p>
            <w:pPr>
              <w:spacing w:after="0"/>
              <w:rPr>
                <w:sz w:val="5"/>
                <w:szCs w:val="5"/>
                <w:color w:val="auto"/>
              </w:rPr>
            </w:pPr>
          </w:p>
        </w:tc>
        <w:tc>
          <w:tcPr>
            <w:tcW w:w="100" w:type="dxa"/>
            <w:vAlign w:val="bottom"/>
            <w:shd w:val="clear" w:color="auto" w:fill="5EB5FC"/>
          </w:tcPr>
          <w:p>
            <w:pPr>
              <w:spacing w:after="0"/>
              <w:rPr>
                <w:sz w:val="5"/>
                <w:szCs w:val="5"/>
                <w:color w:val="auto"/>
              </w:rPr>
            </w:pPr>
          </w:p>
        </w:tc>
        <w:tc>
          <w:tcPr>
            <w:tcW w:w="124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Severance ($)</w:t>
            </w:r>
          </w:p>
        </w:tc>
        <w:tc>
          <w:tcPr>
            <w:tcW w:w="1220" w:type="dxa"/>
            <w:vAlign w:val="bottom"/>
            <w:tcBorders>
              <w:right w:val="single" w:sz="8" w:color="5EB5FC"/>
            </w:tcBorders>
            <w:vMerge w:val="restart"/>
            <w:shd w:val="clear" w:color="auto" w:fill="5EB5FC"/>
          </w:tcPr>
          <w:p>
            <w:pPr>
              <w:jc w:val="center"/>
              <w:ind w:left="3"/>
              <w:spacing w:after="0"/>
              <w:rPr>
                <w:sz w:val="20"/>
                <w:szCs w:val="20"/>
                <w:color w:val="auto"/>
              </w:rPr>
            </w:pPr>
            <w:r>
              <w:rPr>
                <w:rFonts w:ascii="Arial" w:cs="Arial" w:eastAsia="Arial" w:hAnsi="Arial"/>
                <w:sz w:val="14"/>
                <w:szCs w:val="14"/>
                <w:b w:val="1"/>
                <w:bCs w:val="1"/>
                <w:color w:val="FFFFFF"/>
              </w:rPr>
              <w:t>($)</w:t>
            </w:r>
          </w:p>
        </w:tc>
        <w:tc>
          <w:tcPr>
            <w:tcW w:w="13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w:t>
            </w:r>
          </w:p>
        </w:tc>
        <w:tc>
          <w:tcPr>
            <w:tcW w:w="132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0"/>
              </w:rPr>
              <w:t>Severance ($)</w:t>
            </w:r>
          </w:p>
        </w:tc>
        <w:tc>
          <w:tcPr>
            <w:tcW w:w="100" w:type="dxa"/>
            <w:vAlign w:val="bottom"/>
            <w:shd w:val="clear" w:color="auto" w:fill="5EB5FC"/>
          </w:tcPr>
          <w:p>
            <w:pPr>
              <w:spacing w:after="0"/>
              <w:rPr>
                <w:sz w:val="5"/>
                <w:szCs w:val="5"/>
                <w:color w:val="auto"/>
              </w:rPr>
            </w:pP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PSAs</w:t>
            </w:r>
            <w:r>
              <w:rPr>
                <w:rFonts w:ascii="Arial" w:cs="Arial" w:eastAsia="Arial" w:hAnsi="Arial"/>
                <w:sz w:val="12"/>
                <w:szCs w:val="12"/>
                <w:b w:val="1"/>
                <w:bCs w:val="1"/>
                <w:color w:val="FFFFFF"/>
                <w:w w:val="91"/>
              </w:rPr>
              <w:t>(3)</w:t>
            </w:r>
            <w:r>
              <w:rPr>
                <w:rFonts w:ascii="Arial" w:cs="Arial" w:eastAsia="Arial" w:hAnsi="Arial"/>
                <w:sz w:val="14"/>
                <w:szCs w:val="14"/>
                <w:b w:val="1"/>
                <w:bCs w:val="1"/>
                <w:color w:val="FFFFFF"/>
                <w:w w:val="91"/>
              </w:rPr>
              <w:t xml:space="preserve"> ($)</w:t>
            </w:r>
          </w:p>
        </w:tc>
        <w:tc>
          <w:tcPr>
            <w:tcW w:w="11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w w:val="91"/>
              </w:rPr>
              <w:t>Benefits ($)</w:t>
            </w:r>
          </w:p>
        </w:tc>
        <w:tc>
          <w:tcPr>
            <w:tcW w:w="1200" w:type="dxa"/>
            <w:vAlign w:val="bottom"/>
            <w:tcBorders>
              <w:right w:val="single" w:sz="8" w:color="5EB5FC"/>
            </w:tcBorders>
            <w:vMerge w:val="restart"/>
            <w:shd w:val="clear" w:color="auto" w:fill="5EB5FC"/>
          </w:tcPr>
          <w:p>
            <w:pPr>
              <w:jc w:val="center"/>
              <w:spacing w:after="0"/>
              <w:rPr>
                <w:sz w:val="20"/>
                <w:szCs w:val="20"/>
                <w:color w:val="auto"/>
              </w:rPr>
            </w:pPr>
            <w:r>
              <w:rPr>
                <w:rFonts w:ascii="Arial" w:cs="Arial" w:eastAsia="Arial" w:hAnsi="Arial"/>
                <w:sz w:val="14"/>
                <w:szCs w:val="14"/>
                <w:b w:val="1"/>
                <w:bCs w:val="1"/>
                <w:color w:val="FFFFFF"/>
              </w:rPr>
              <w:t>($)</w:t>
            </w:r>
          </w:p>
        </w:tc>
        <w:tc>
          <w:tcPr>
            <w:tcW w:w="0" w:type="dxa"/>
            <w:vAlign w:val="bottom"/>
          </w:tcPr>
          <w:p>
            <w:pPr>
              <w:spacing w:after="0"/>
              <w:rPr>
                <w:sz w:val="1"/>
                <w:szCs w:val="1"/>
                <w:color w:val="auto"/>
              </w:rPr>
            </w:pPr>
          </w:p>
        </w:tc>
      </w:tr>
      <w:tr>
        <w:trPr>
          <w:trHeight w:val="132"/>
        </w:trPr>
        <w:tc>
          <w:tcPr>
            <w:tcW w:w="2340" w:type="dxa"/>
            <w:vAlign w:val="bottom"/>
            <w:tcBorders>
              <w:left w:val="single" w:sz="8" w:color="5EB5FC"/>
              <w:right w:val="single" w:sz="8" w:color="5EB5FC"/>
            </w:tcBorders>
            <w:vMerge w:val="restart"/>
            <w:shd w:val="clear" w:color="auto" w:fill="5EB5FC"/>
          </w:tcPr>
          <w:p>
            <w:pPr>
              <w:ind w:left="680"/>
              <w:spacing w:after="0"/>
              <w:rPr>
                <w:sz w:val="20"/>
                <w:szCs w:val="20"/>
                <w:color w:val="auto"/>
              </w:rPr>
            </w:pPr>
            <w:r>
              <w:rPr>
                <w:rFonts w:ascii="Arial" w:cs="Arial" w:eastAsia="Arial" w:hAnsi="Arial"/>
                <w:sz w:val="14"/>
                <w:szCs w:val="14"/>
                <w:b w:val="1"/>
                <w:bCs w:val="1"/>
                <w:color w:val="FFFFFF"/>
              </w:rPr>
              <w:t>Principal Position</w:t>
            </w:r>
          </w:p>
        </w:tc>
        <w:tc>
          <w:tcPr>
            <w:tcW w:w="100" w:type="dxa"/>
            <w:vAlign w:val="bottom"/>
            <w:shd w:val="clear" w:color="auto" w:fill="5EB5FC"/>
          </w:tcPr>
          <w:p>
            <w:pPr>
              <w:spacing w:after="0"/>
              <w:rPr>
                <w:sz w:val="11"/>
                <w:szCs w:val="11"/>
                <w:color w:val="auto"/>
              </w:rPr>
            </w:pPr>
          </w:p>
        </w:tc>
        <w:tc>
          <w:tcPr>
            <w:tcW w:w="1240" w:type="dxa"/>
            <w:vAlign w:val="bottom"/>
            <w:tcBorders>
              <w:right w:val="single" w:sz="8" w:color="5EB5FC"/>
            </w:tcBorders>
            <w:vMerge w:val="continue"/>
            <w:shd w:val="clear" w:color="auto" w:fill="5EB5FC"/>
          </w:tcPr>
          <w:p>
            <w:pPr>
              <w:spacing w:after="0"/>
              <w:rPr>
                <w:sz w:val="11"/>
                <w:szCs w:val="11"/>
                <w:color w:val="auto"/>
              </w:rPr>
            </w:pPr>
          </w:p>
        </w:tc>
        <w:tc>
          <w:tcPr>
            <w:tcW w:w="1220" w:type="dxa"/>
            <w:vAlign w:val="bottom"/>
            <w:tcBorders>
              <w:right w:val="single" w:sz="8" w:color="5EB5FC"/>
            </w:tcBorders>
            <w:vMerge w:val="continue"/>
            <w:shd w:val="clear" w:color="auto" w:fill="5EB5FC"/>
          </w:tcPr>
          <w:p>
            <w:pPr>
              <w:spacing w:after="0"/>
              <w:rPr>
                <w:sz w:val="11"/>
                <w:szCs w:val="11"/>
                <w:color w:val="auto"/>
              </w:rPr>
            </w:pPr>
          </w:p>
        </w:tc>
        <w:tc>
          <w:tcPr>
            <w:tcW w:w="1320" w:type="dxa"/>
            <w:vAlign w:val="bottom"/>
            <w:tcBorders>
              <w:right w:val="single" w:sz="8" w:color="5EB5FC"/>
            </w:tcBorders>
            <w:vMerge w:val="continue"/>
            <w:shd w:val="clear" w:color="auto" w:fill="5EB5FC"/>
          </w:tcPr>
          <w:p>
            <w:pPr>
              <w:spacing w:after="0"/>
              <w:rPr>
                <w:sz w:val="11"/>
                <w:szCs w:val="11"/>
                <w:color w:val="auto"/>
              </w:rPr>
            </w:pPr>
          </w:p>
        </w:tc>
        <w:tc>
          <w:tcPr>
            <w:tcW w:w="1320" w:type="dxa"/>
            <w:vAlign w:val="bottom"/>
            <w:tcBorders>
              <w:right w:val="single" w:sz="8" w:color="5EB5FC"/>
            </w:tcBorders>
            <w:vMerge w:val="continue"/>
            <w:shd w:val="clear" w:color="auto" w:fill="5EB5FC"/>
          </w:tcPr>
          <w:p>
            <w:pPr>
              <w:spacing w:after="0"/>
              <w:rPr>
                <w:sz w:val="11"/>
                <w:szCs w:val="11"/>
                <w:color w:val="auto"/>
              </w:rPr>
            </w:pPr>
          </w:p>
        </w:tc>
        <w:tc>
          <w:tcPr>
            <w:tcW w:w="100" w:type="dxa"/>
            <w:vAlign w:val="bottom"/>
            <w:shd w:val="clear" w:color="auto" w:fill="5EB5FC"/>
          </w:tcPr>
          <w:p>
            <w:pPr>
              <w:spacing w:after="0"/>
              <w:rPr>
                <w:sz w:val="11"/>
                <w:szCs w:val="11"/>
                <w:color w:val="auto"/>
              </w:rPr>
            </w:pPr>
          </w:p>
        </w:tc>
        <w:tc>
          <w:tcPr>
            <w:tcW w:w="1100" w:type="dxa"/>
            <w:vAlign w:val="bottom"/>
            <w:tcBorders>
              <w:right w:val="single" w:sz="8" w:color="5EB5FC"/>
            </w:tcBorders>
            <w:vMerge w:val="continue"/>
            <w:shd w:val="clear" w:color="auto" w:fill="5EB5FC"/>
          </w:tcPr>
          <w:p>
            <w:pPr>
              <w:spacing w:after="0"/>
              <w:rPr>
                <w:sz w:val="11"/>
                <w:szCs w:val="11"/>
                <w:color w:val="auto"/>
              </w:rPr>
            </w:pPr>
          </w:p>
        </w:tc>
        <w:tc>
          <w:tcPr>
            <w:tcW w:w="1100" w:type="dxa"/>
            <w:vAlign w:val="bottom"/>
            <w:tcBorders>
              <w:right w:val="single" w:sz="8" w:color="5EB5FC"/>
            </w:tcBorders>
            <w:vMerge w:val="continue"/>
            <w:shd w:val="clear" w:color="auto" w:fill="5EB5FC"/>
          </w:tcPr>
          <w:p>
            <w:pPr>
              <w:spacing w:after="0"/>
              <w:rPr>
                <w:sz w:val="11"/>
                <w:szCs w:val="11"/>
                <w:color w:val="auto"/>
              </w:rPr>
            </w:pPr>
          </w:p>
        </w:tc>
        <w:tc>
          <w:tcPr>
            <w:tcW w:w="1200" w:type="dxa"/>
            <w:vAlign w:val="bottom"/>
            <w:tcBorders>
              <w:right w:val="single" w:sz="8" w:color="5EB5FC"/>
            </w:tcBorders>
            <w:vMerge w:val="continue"/>
            <w:shd w:val="clear" w:color="auto" w:fill="5EB5FC"/>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340" w:type="dxa"/>
            <w:vAlign w:val="bottom"/>
            <w:tcBorders>
              <w:left w:val="single" w:sz="8" w:color="5EB5FC"/>
              <w:bottom w:val="single" w:sz="8" w:color="5EB5FC"/>
              <w:right w:val="single" w:sz="8" w:color="5EB5FC"/>
            </w:tcBorders>
            <w:vMerge w:val="continue"/>
            <w:shd w:val="clear" w:color="auto" w:fill="5EB5FC"/>
          </w:tcPr>
          <w:p>
            <w:pPr>
              <w:spacing w:after="0"/>
              <w:rPr>
                <w:sz w:val="6"/>
                <w:szCs w:val="6"/>
                <w:color w:val="auto"/>
              </w:rPr>
            </w:pPr>
          </w:p>
        </w:tc>
        <w:tc>
          <w:tcPr>
            <w:tcW w:w="100" w:type="dxa"/>
            <w:vAlign w:val="bottom"/>
            <w:tcBorders>
              <w:bottom w:val="single" w:sz="8" w:color="5EB5FC"/>
            </w:tcBorders>
            <w:shd w:val="clear" w:color="auto" w:fill="5EB5FC"/>
          </w:tcPr>
          <w:p>
            <w:pPr>
              <w:spacing w:after="0"/>
              <w:rPr>
                <w:sz w:val="6"/>
                <w:szCs w:val="6"/>
                <w:color w:val="auto"/>
              </w:rPr>
            </w:pPr>
          </w:p>
        </w:tc>
        <w:tc>
          <w:tcPr>
            <w:tcW w:w="1240" w:type="dxa"/>
            <w:vAlign w:val="bottom"/>
            <w:tcBorders>
              <w:bottom w:val="single" w:sz="8" w:color="5EB5FC"/>
              <w:right w:val="single" w:sz="8" w:color="5EB5FC"/>
            </w:tcBorders>
            <w:shd w:val="clear" w:color="auto" w:fill="5EB5FC"/>
          </w:tcPr>
          <w:p>
            <w:pPr>
              <w:spacing w:after="0"/>
              <w:rPr>
                <w:sz w:val="6"/>
                <w:szCs w:val="6"/>
                <w:color w:val="auto"/>
              </w:rPr>
            </w:pPr>
          </w:p>
        </w:tc>
        <w:tc>
          <w:tcPr>
            <w:tcW w:w="1220" w:type="dxa"/>
            <w:vAlign w:val="bottom"/>
            <w:tcBorders>
              <w:bottom w:val="single" w:sz="8" w:color="5EB5FC"/>
              <w:right w:val="single" w:sz="8" w:color="5EB5FC"/>
            </w:tcBorders>
            <w:shd w:val="clear" w:color="auto" w:fill="5EB5FC"/>
          </w:tcPr>
          <w:p>
            <w:pPr>
              <w:spacing w:after="0"/>
              <w:rPr>
                <w:sz w:val="6"/>
                <w:szCs w:val="6"/>
                <w:color w:val="auto"/>
              </w:rPr>
            </w:pPr>
          </w:p>
        </w:tc>
        <w:tc>
          <w:tcPr>
            <w:tcW w:w="1320" w:type="dxa"/>
            <w:vAlign w:val="bottom"/>
            <w:tcBorders>
              <w:bottom w:val="single" w:sz="8" w:color="5EB5FC"/>
              <w:right w:val="single" w:sz="8" w:color="5EB5FC"/>
            </w:tcBorders>
            <w:shd w:val="clear" w:color="auto" w:fill="5EB5FC"/>
          </w:tcPr>
          <w:p>
            <w:pPr>
              <w:spacing w:after="0"/>
              <w:rPr>
                <w:sz w:val="6"/>
                <w:szCs w:val="6"/>
                <w:color w:val="auto"/>
              </w:rPr>
            </w:pPr>
          </w:p>
        </w:tc>
        <w:tc>
          <w:tcPr>
            <w:tcW w:w="1320" w:type="dxa"/>
            <w:vAlign w:val="bottom"/>
            <w:tcBorders>
              <w:bottom w:val="single" w:sz="8" w:color="5EB5FC"/>
              <w:right w:val="single" w:sz="8" w:color="5EB5FC"/>
            </w:tcBorders>
            <w:shd w:val="clear" w:color="auto" w:fill="5EB5FC"/>
          </w:tcPr>
          <w:p>
            <w:pPr>
              <w:spacing w:after="0"/>
              <w:rPr>
                <w:sz w:val="6"/>
                <w:szCs w:val="6"/>
                <w:color w:val="auto"/>
              </w:rPr>
            </w:pPr>
          </w:p>
        </w:tc>
        <w:tc>
          <w:tcPr>
            <w:tcW w:w="100" w:type="dxa"/>
            <w:vAlign w:val="bottom"/>
            <w:tcBorders>
              <w:bottom w:val="single" w:sz="8" w:color="5EB5FC"/>
            </w:tcBorders>
            <w:shd w:val="clear" w:color="auto" w:fill="5EB5FC"/>
          </w:tcPr>
          <w:p>
            <w:pPr>
              <w:spacing w:after="0"/>
              <w:rPr>
                <w:sz w:val="6"/>
                <w:szCs w:val="6"/>
                <w:color w:val="auto"/>
              </w:rPr>
            </w:pPr>
          </w:p>
        </w:tc>
        <w:tc>
          <w:tcPr>
            <w:tcW w:w="1100" w:type="dxa"/>
            <w:vAlign w:val="bottom"/>
            <w:tcBorders>
              <w:bottom w:val="single" w:sz="8" w:color="5EB5FC"/>
              <w:right w:val="single" w:sz="8" w:color="5EB5FC"/>
            </w:tcBorders>
            <w:shd w:val="clear" w:color="auto" w:fill="5EB5FC"/>
          </w:tcPr>
          <w:p>
            <w:pPr>
              <w:spacing w:after="0"/>
              <w:rPr>
                <w:sz w:val="6"/>
                <w:szCs w:val="6"/>
                <w:color w:val="auto"/>
              </w:rPr>
            </w:pPr>
          </w:p>
        </w:tc>
        <w:tc>
          <w:tcPr>
            <w:tcW w:w="1100" w:type="dxa"/>
            <w:vAlign w:val="bottom"/>
            <w:tcBorders>
              <w:bottom w:val="single" w:sz="8" w:color="5EB5FC"/>
              <w:right w:val="single" w:sz="8" w:color="5EB5FC"/>
            </w:tcBorders>
            <w:shd w:val="clear" w:color="auto" w:fill="5EB5FC"/>
          </w:tcPr>
          <w:p>
            <w:pPr>
              <w:spacing w:after="0"/>
              <w:rPr>
                <w:sz w:val="6"/>
                <w:szCs w:val="6"/>
                <w:color w:val="auto"/>
              </w:rPr>
            </w:pPr>
          </w:p>
        </w:tc>
        <w:tc>
          <w:tcPr>
            <w:tcW w:w="1200" w:type="dxa"/>
            <w:vAlign w:val="bottom"/>
            <w:tcBorders>
              <w:bottom w:val="single" w:sz="8" w:color="5EB5FC"/>
              <w:right w:val="single" w:sz="8" w:color="5EB5FC"/>
            </w:tcBorders>
            <w:shd w:val="clear" w:color="auto" w:fill="5EB5FC"/>
          </w:tcPr>
          <w:p>
            <w:pPr>
              <w:spacing w:after="0"/>
              <w:rPr>
                <w:sz w:val="6"/>
                <w:szCs w:val="6"/>
                <w:color w:val="auto"/>
              </w:rPr>
            </w:pPr>
          </w:p>
        </w:tc>
        <w:tc>
          <w:tcPr>
            <w:tcW w:w="0" w:type="dxa"/>
            <w:vAlign w:val="bottom"/>
          </w:tcPr>
          <w:p>
            <w:pPr>
              <w:spacing w:after="0"/>
              <w:rPr>
                <w:sz w:val="1"/>
                <w:szCs w:val="1"/>
                <w:color w:val="auto"/>
              </w:rPr>
            </w:pPr>
          </w:p>
        </w:tc>
      </w:tr>
      <w:tr>
        <w:trPr>
          <w:trHeight w:val="234"/>
        </w:trPr>
        <w:tc>
          <w:tcPr>
            <w:tcW w:w="2340" w:type="dxa"/>
            <w:vAlign w:val="bottom"/>
            <w:tcBorders>
              <w:left w:val="single" w:sz="8" w:color="A0DBF9"/>
              <w:right w:val="single" w:sz="8" w:color="A0DBF9"/>
            </w:tcBorders>
          </w:tcPr>
          <w:p>
            <w:pPr>
              <w:ind w:left="240"/>
              <w:spacing w:after="0"/>
              <w:rPr>
                <w:sz w:val="20"/>
                <w:szCs w:val="20"/>
                <w:color w:val="auto"/>
              </w:rPr>
            </w:pPr>
            <w:r>
              <w:rPr>
                <w:rFonts w:ascii="Arial" w:cs="Arial" w:eastAsia="Arial" w:hAnsi="Arial"/>
                <w:sz w:val="18"/>
                <w:szCs w:val="18"/>
                <w:b w:val="1"/>
                <w:bCs w:val="1"/>
                <w:color w:val="auto"/>
              </w:rPr>
              <w:t>Michael P. Duffy</w:t>
            </w:r>
          </w:p>
        </w:tc>
        <w:tc>
          <w:tcPr>
            <w:tcW w:w="100" w:type="dxa"/>
            <w:vAlign w:val="bottom"/>
          </w:tcPr>
          <w:p>
            <w:pPr>
              <w:spacing w:after="0"/>
              <w:rPr>
                <w:sz w:val="20"/>
                <w:szCs w:val="20"/>
                <w:color w:val="auto"/>
              </w:rPr>
            </w:pPr>
          </w:p>
        </w:tc>
        <w:tc>
          <w:tcPr>
            <w:tcW w:w="1240" w:type="dxa"/>
            <w:vAlign w:val="bottom"/>
            <w:tcBorders>
              <w:right w:val="single" w:sz="8" w:color="A0DBF9"/>
            </w:tcBorders>
          </w:tcPr>
          <w:p>
            <w:pPr>
              <w:spacing w:after="0"/>
              <w:rPr>
                <w:sz w:val="20"/>
                <w:szCs w:val="20"/>
                <w:color w:val="auto"/>
              </w:rPr>
            </w:pPr>
          </w:p>
        </w:tc>
        <w:tc>
          <w:tcPr>
            <w:tcW w:w="1220" w:type="dxa"/>
            <w:vAlign w:val="bottom"/>
            <w:tcBorders>
              <w:right w:val="single" w:sz="8" w:color="A0DBF9"/>
            </w:tcBorders>
          </w:tcPr>
          <w:p>
            <w:pPr>
              <w:spacing w:after="0"/>
              <w:rPr>
                <w:sz w:val="20"/>
                <w:szCs w:val="20"/>
                <w:color w:val="auto"/>
              </w:rPr>
            </w:pPr>
          </w:p>
        </w:tc>
        <w:tc>
          <w:tcPr>
            <w:tcW w:w="1320" w:type="dxa"/>
            <w:vAlign w:val="bottom"/>
            <w:tcBorders>
              <w:right w:val="single" w:sz="8" w:color="A0DBF9"/>
            </w:tcBorders>
          </w:tcPr>
          <w:p>
            <w:pPr>
              <w:spacing w:after="0"/>
              <w:rPr>
                <w:sz w:val="20"/>
                <w:szCs w:val="20"/>
                <w:color w:val="auto"/>
              </w:rPr>
            </w:pPr>
          </w:p>
        </w:tc>
        <w:tc>
          <w:tcPr>
            <w:tcW w:w="1320" w:type="dxa"/>
            <w:vAlign w:val="bottom"/>
            <w:tcBorders>
              <w:right w:val="single" w:sz="8" w:color="A0DBF9"/>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1200" w:type="dxa"/>
            <w:vAlign w:val="bottom"/>
            <w:tcBorders>
              <w:right w:val="single" w:sz="8" w:color="A0DBF9"/>
            </w:tcBorders>
          </w:tcPr>
          <w:p>
            <w:pPr>
              <w:spacing w:after="0"/>
              <w:rPr>
                <w:sz w:val="20"/>
                <w:szCs w:val="20"/>
                <w:color w:val="auto"/>
              </w:rPr>
            </w:pPr>
          </w:p>
        </w:tc>
        <w:tc>
          <w:tcPr>
            <w:tcW w:w="0" w:type="dxa"/>
            <w:vAlign w:val="bottom"/>
          </w:tcPr>
          <w:p>
            <w:pPr>
              <w:spacing w:after="0"/>
              <w:rPr>
                <w:sz w:val="1"/>
                <w:szCs w:val="1"/>
                <w:color w:val="auto"/>
              </w:rPr>
            </w:pPr>
          </w:p>
        </w:tc>
      </w:tr>
      <w:tr>
        <w:trPr>
          <w:trHeight w:val="319"/>
        </w:trPr>
        <w:tc>
          <w:tcPr>
            <w:tcW w:w="2340" w:type="dxa"/>
            <w:vAlign w:val="bottom"/>
            <w:tcBorders>
              <w:left w:val="single" w:sz="8" w:color="A0DBF9"/>
              <w:right w:val="single" w:sz="8" w:color="A0DBF9"/>
            </w:tcBorders>
          </w:tcPr>
          <w:p>
            <w:pPr>
              <w:ind w:left="340"/>
              <w:spacing w:after="0"/>
              <w:rPr>
                <w:sz w:val="20"/>
                <w:szCs w:val="20"/>
                <w:color w:val="auto"/>
              </w:rPr>
            </w:pPr>
            <w:r>
              <w:rPr>
                <w:rFonts w:ascii="Arial" w:cs="Arial" w:eastAsia="Arial" w:hAnsi="Arial"/>
                <w:sz w:val="18"/>
                <w:szCs w:val="18"/>
                <w:color w:val="auto"/>
              </w:rPr>
              <w:t>Senior Vice President,</w:t>
            </w:r>
          </w:p>
        </w:tc>
        <w:tc>
          <w:tcPr>
            <w:tcW w:w="1340" w:type="dxa"/>
            <w:vAlign w:val="bottom"/>
            <w:tcBorders>
              <w:right w:val="single" w:sz="8" w:color="A0DBF9"/>
            </w:tcBorders>
            <w:gridSpan w:val="2"/>
          </w:tcPr>
          <w:p>
            <w:pPr>
              <w:jc w:val="center"/>
              <w:spacing w:after="0"/>
              <w:rPr>
                <w:sz w:val="20"/>
                <w:szCs w:val="20"/>
                <w:color w:val="auto"/>
              </w:rPr>
            </w:pPr>
            <w:r>
              <w:rPr>
                <w:rFonts w:ascii="Arial" w:cs="Arial" w:eastAsia="Arial" w:hAnsi="Arial"/>
                <w:sz w:val="18"/>
                <w:szCs w:val="18"/>
                <w:color w:val="auto"/>
                <w:w w:val="90"/>
              </w:rPr>
              <w:t>$634,920</w:t>
            </w:r>
          </w:p>
        </w:tc>
        <w:tc>
          <w:tcPr>
            <w:tcW w:w="1220" w:type="dxa"/>
            <w:vAlign w:val="bottom"/>
            <w:tcBorders>
              <w:right w:val="single" w:sz="8" w:color="A0DBF9"/>
            </w:tcBorders>
          </w:tcPr>
          <w:p>
            <w:pPr>
              <w:jc w:val="center"/>
              <w:ind w:left="3"/>
              <w:spacing w:after="0"/>
              <w:rPr>
                <w:sz w:val="20"/>
                <w:szCs w:val="20"/>
                <w:color w:val="auto"/>
              </w:rPr>
            </w:pPr>
            <w:r>
              <w:rPr>
                <w:rFonts w:ascii="Arial" w:cs="Arial" w:eastAsia="Arial" w:hAnsi="Arial"/>
                <w:sz w:val="18"/>
                <w:szCs w:val="18"/>
                <w:color w:val="auto"/>
                <w:w w:val="89"/>
              </w:rPr>
              <w:t>$27,118</w:t>
            </w:r>
          </w:p>
        </w:tc>
        <w:tc>
          <w:tcPr>
            <w:tcW w:w="132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$662,038</w:t>
            </w:r>
          </w:p>
        </w:tc>
        <w:tc>
          <w:tcPr>
            <w:tcW w:w="1320" w:type="dxa"/>
            <w:vAlign w:val="bottom"/>
            <w:tcBorders>
              <w:right w:val="single" w:sz="8" w:color="A0DBF9"/>
            </w:tcBorders>
          </w:tcPr>
          <w:p>
            <w:pPr>
              <w:jc w:val="right"/>
              <w:ind w:right="139"/>
              <w:spacing w:after="0"/>
              <w:rPr>
                <w:sz w:val="20"/>
                <w:szCs w:val="20"/>
                <w:color w:val="auto"/>
              </w:rPr>
            </w:pPr>
            <w:r>
              <w:rPr>
                <w:rFonts w:ascii="Arial" w:cs="Arial" w:eastAsia="Arial" w:hAnsi="Arial"/>
                <w:sz w:val="18"/>
                <w:szCs w:val="18"/>
                <w:color w:val="auto"/>
              </w:rPr>
              <w:t>$1,269,840</w:t>
            </w:r>
          </w:p>
        </w:tc>
        <w:tc>
          <w:tcPr>
            <w:tcW w:w="1200" w:type="dxa"/>
            <w:vAlign w:val="bottom"/>
            <w:tcBorders>
              <w:right w:val="single" w:sz="8" w:color="A0DBF9"/>
            </w:tcBorders>
            <w:gridSpan w:val="2"/>
          </w:tcPr>
          <w:p>
            <w:pPr>
              <w:jc w:val="center"/>
              <w:spacing w:after="0"/>
              <w:rPr>
                <w:sz w:val="20"/>
                <w:szCs w:val="20"/>
                <w:color w:val="auto"/>
              </w:rPr>
            </w:pPr>
            <w:r>
              <w:rPr>
                <w:rFonts w:ascii="Arial" w:cs="Arial" w:eastAsia="Arial" w:hAnsi="Arial"/>
                <w:sz w:val="18"/>
                <w:szCs w:val="18"/>
                <w:color w:val="auto"/>
                <w:w w:val="90"/>
              </w:rPr>
              <w:t>$1,606,097</w:t>
            </w:r>
          </w:p>
        </w:tc>
        <w:tc>
          <w:tcPr>
            <w:tcW w:w="11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2"/>
              </w:rPr>
              <w:t>$54,235</w:t>
            </w:r>
          </w:p>
        </w:tc>
        <w:tc>
          <w:tcPr>
            <w:tcW w:w="1200" w:type="dxa"/>
            <w:vAlign w:val="bottom"/>
            <w:tcBorders>
              <w:right w:val="single" w:sz="8" w:color="A0DBF9"/>
            </w:tcBorders>
          </w:tcPr>
          <w:p>
            <w:pPr>
              <w:jc w:val="center"/>
              <w:spacing w:after="0"/>
              <w:rPr>
                <w:sz w:val="20"/>
                <w:szCs w:val="20"/>
                <w:color w:val="auto"/>
              </w:rPr>
            </w:pPr>
            <w:r>
              <w:rPr>
                <w:rFonts w:ascii="Arial" w:cs="Arial" w:eastAsia="Arial" w:hAnsi="Arial"/>
                <w:sz w:val="18"/>
                <w:szCs w:val="18"/>
                <w:color w:val="auto"/>
                <w:w w:val="90"/>
              </w:rPr>
              <w:t>$2,930,172</w:t>
            </w:r>
          </w:p>
        </w:tc>
        <w:tc>
          <w:tcPr>
            <w:tcW w:w="0" w:type="dxa"/>
            <w:vAlign w:val="bottom"/>
          </w:tcPr>
          <w:p>
            <w:pPr>
              <w:spacing w:after="0"/>
              <w:rPr>
                <w:sz w:val="1"/>
                <w:szCs w:val="1"/>
                <w:color w:val="auto"/>
              </w:rPr>
            </w:pPr>
          </w:p>
        </w:tc>
      </w:tr>
      <w:tr>
        <w:trPr>
          <w:trHeight w:val="202"/>
        </w:trPr>
        <w:tc>
          <w:tcPr>
            <w:tcW w:w="2340" w:type="dxa"/>
            <w:vAlign w:val="bottom"/>
            <w:tcBorders>
              <w:left w:val="single" w:sz="8" w:color="A0DBF9"/>
              <w:right w:val="single" w:sz="8" w:color="A0DBF9"/>
            </w:tcBorders>
          </w:tcPr>
          <w:p>
            <w:pPr>
              <w:ind w:left="340"/>
              <w:spacing w:after="0" w:line="201" w:lineRule="exact"/>
              <w:rPr>
                <w:sz w:val="20"/>
                <w:szCs w:val="20"/>
                <w:color w:val="auto"/>
              </w:rPr>
            </w:pPr>
            <w:r>
              <w:rPr>
                <w:rFonts w:ascii="Arial" w:cs="Arial" w:eastAsia="Arial" w:hAnsi="Arial"/>
                <w:sz w:val="18"/>
                <w:szCs w:val="18"/>
                <w:color w:val="auto"/>
                <w:w w:val="93"/>
              </w:rPr>
              <w:t>Law and Public Policy and</w:t>
            </w:r>
          </w:p>
        </w:tc>
        <w:tc>
          <w:tcPr>
            <w:tcW w:w="100" w:type="dxa"/>
            <w:vAlign w:val="bottom"/>
          </w:tcPr>
          <w:p>
            <w:pPr>
              <w:spacing w:after="0"/>
              <w:rPr>
                <w:sz w:val="17"/>
                <w:szCs w:val="17"/>
                <w:color w:val="auto"/>
              </w:rPr>
            </w:pPr>
          </w:p>
        </w:tc>
        <w:tc>
          <w:tcPr>
            <w:tcW w:w="1240" w:type="dxa"/>
            <w:vAlign w:val="bottom"/>
            <w:tcBorders>
              <w:right w:val="single" w:sz="8" w:color="A0DBF9"/>
            </w:tcBorders>
          </w:tcPr>
          <w:p>
            <w:pPr>
              <w:spacing w:after="0"/>
              <w:rPr>
                <w:sz w:val="17"/>
                <w:szCs w:val="17"/>
                <w:color w:val="auto"/>
              </w:rPr>
            </w:pPr>
          </w:p>
        </w:tc>
        <w:tc>
          <w:tcPr>
            <w:tcW w:w="1220" w:type="dxa"/>
            <w:vAlign w:val="bottom"/>
            <w:tcBorders>
              <w:right w:val="single" w:sz="8" w:color="A0DBF9"/>
            </w:tcBorders>
          </w:tcPr>
          <w:p>
            <w:pPr>
              <w:spacing w:after="0"/>
              <w:rPr>
                <w:sz w:val="17"/>
                <w:szCs w:val="17"/>
                <w:color w:val="auto"/>
              </w:rPr>
            </w:pPr>
          </w:p>
        </w:tc>
        <w:tc>
          <w:tcPr>
            <w:tcW w:w="1320" w:type="dxa"/>
            <w:vAlign w:val="bottom"/>
            <w:tcBorders>
              <w:right w:val="single" w:sz="8" w:color="A0DBF9"/>
            </w:tcBorders>
          </w:tcPr>
          <w:p>
            <w:pPr>
              <w:spacing w:after="0"/>
              <w:rPr>
                <w:sz w:val="17"/>
                <w:szCs w:val="17"/>
                <w:color w:val="auto"/>
              </w:rPr>
            </w:pPr>
          </w:p>
        </w:tc>
        <w:tc>
          <w:tcPr>
            <w:tcW w:w="1320" w:type="dxa"/>
            <w:vAlign w:val="bottom"/>
            <w:tcBorders>
              <w:right w:val="single" w:sz="8" w:color="A0DBF9"/>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right w:val="single" w:sz="8" w:color="A0DBF9"/>
            </w:tcBorders>
          </w:tcPr>
          <w:p>
            <w:pPr>
              <w:spacing w:after="0"/>
              <w:rPr>
                <w:sz w:val="17"/>
                <w:szCs w:val="17"/>
                <w:color w:val="auto"/>
              </w:rPr>
            </w:pPr>
          </w:p>
        </w:tc>
        <w:tc>
          <w:tcPr>
            <w:tcW w:w="1100" w:type="dxa"/>
            <w:vAlign w:val="bottom"/>
            <w:tcBorders>
              <w:right w:val="single" w:sz="8" w:color="A0DBF9"/>
            </w:tcBorders>
          </w:tcPr>
          <w:p>
            <w:pPr>
              <w:spacing w:after="0"/>
              <w:rPr>
                <w:sz w:val="17"/>
                <w:szCs w:val="17"/>
                <w:color w:val="auto"/>
              </w:rPr>
            </w:pPr>
          </w:p>
        </w:tc>
        <w:tc>
          <w:tcPr>
            <w:tcW w:w="1200" w:type="dxa"/>
            <w:vAlign w:val="bottom"/>
            <w:tcBorders>
              <w:right w:val="single" w:sz="8" w:color="A0DBF9"/>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0DBF9"/>
              <w:right w:val="single" w:sz="8" w:color="A0DBF9"/>
            </w:tcBorders>
          </w:tcPr>
          <w:p>
            <w:pPr>
              <w:ind w:left="340"/>
              <w:spacing w:after="0"/>
              <w:rPr>
                <w:sz w:val="20"/>
                <w:szCs w:val="20"/>
                <w:color w:val="auto"/>
              </w:rPr>
            </w:pPr>
            <w:r>
              <w:rPr>
                <w:rFonts w:ascii="Arial" w:cs="Arial" w:eastAsia="Arial" w:hAnsi="Arial"/>
                <w:sz w:val="18"/>
                <w:szCs w:val="18"/>
                <w:color w:val="auto"/>
              </w:rPr>
              <w:t>General Counsel</w:t>
            </w:r>
          </w:p>
        </w:tc>
        <w:tc>
          <w:tcPr>
            <w:tcW w:w="100" w:type="dxa"/>
            <w:vAlign w:val="bottom"/>
          </w:tcPr>
          <w:p>
            <w:pPr>
              <w:spacing w:after="0"/>
              <w:rPr>
                <w:sz w:val="20"/>
                <w:szCs w:val="20"/>
                <w:color w:val="auto"/>
              </w:rPr>
            </w:pPr>
          </w:p>
        </w:tc>
        <w:tc>
          <w:tcPr>
            <w:tcW w:w="1240" w:type="dxa"/>
            <w:vAlign w:val="bottom"/>
            <w:tcBorders>
              <w:right w:val="single" w:sz="8" w:color="A0DBF9"/>
            </w:tcBorders>
          </w:tcPr>
          <w:p>
            <w:pPr>
              <w:spacing w:after="0"/>
              <w:rPr>
                <w:sz w:val="20"/>
                <w:szCs w:val="20"/>
                <w:color w:val="auto"/>
              </w:rPr>
            </w:pPr>
          </w:p>
        </w:tc>
        <w:tc>
          <w:tcPr>
            <w:tcW w:w="1220" w:type="dxa"/>
            <w:vAlign w:val="bottom"/>
            <w:tcBorders>
              <w:right w:val="single" w:sz="8" w:color="A0DBF9"/>
            </w:tcBorders>
          </w:tcPr>
          <w:p>
            <w:pPr>
              <w:spacing w:after="0"/>
              <w:rPr>
                <w:sz w:val="20"/>
                <w:szCs w:val="20"/>
                <w:color w:val="auto"/>
              </w:rPr>
            </w:pPr>
          </w:p>
        </w:tc>
        <w:tc>
          <w:tcPr>
            <w:tcW w:w="1320" w:type="dxa"/>
            <w:vAlign w:val="bottom"/>
            <w:tcBorders>
              <w:right w:val="single" w:sz="8" w:color="A0DBF9"/>
            </w:tcBorders>
          </w:tcPr>
          <w:p>
            <w:pPr>
              <w:spacing w:after="0"/>
              <w:rPr>
                <w:sz w:val="20"/>
                <w:szCs w:val="20"/>
                <w:color w:val="auto"/>
              </w:rPr>
            </w:pPr>
          </w:p>
        </w:tc>
        <w:tc>
          <w:tcPr>
            <w:tcW w:w="1320" w:type="dxa"/>
            <w:vAlign w:val="bottom"/>
            <w:tcBorders>
              <w:right w:val="single" w:sz="8" w:color="A0DBF9"/>
            </w:tcBorders>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1100" w:type="dxa"/>
            <w:vAlign w:val="bottom"/>
            <w:tcBorders>
              <w:right w:val="single" w:sz="8" w:color="A0DBF9"/>
            </w:tcBorders>
          </w:tcPr>
          <w:p>
            <w:pPr>
              <w:spacing w:after="0"/>
              <w:rPr>
                <w:sz w:val="20"/>
                <w:szCs w:val="20"/>
                <w:color w:val="auto"/>
              </w:rPr>
            </w:pPr>
          </w:p>
        </w:tc>
        <w:tc>
          <w:tcPr>
            <w:tcW w:w="1200" w:type="dxa"/>
            <w:vAlign w:val="bottom"/>
            <w:tcBorders>
              <w:right w:val="single" w:sz="8" w:color="A0DBF9"/>
            </w:tcBorders>
          </w:tcPr>
          <w:p>
            <w:pPr>
              <w:spacing w:after="0"/>
              <w:rPr>
                <w:sz w:val="20"/>
                <w:szCs w:val="20"/>
                <w:color w:val="auto"/>
              </w:rPr>
            </w:pPr>
          </w:p>
        </w:tc>
        <w:tc>
          <w:tcPr>
            <w:tcW w:w="0" w:type="dxa"/>
            <w:vAlign w:val="bottom"/>
          </w:tcPr>
          <w:p>
            <w:pPr>
              <w:spacing w:after="0"/>
              <w:rPr>
                <w:sz w:val="1"/>
                <w:szCs w:val="1"/>
                <w:color w:val="auto"/>
              </w:rPr>
            </w:pPr>
          </w:p>
        </w:tc>
      </w:tr>
      <w:tr>
        <w:trPr>
          <w:trHeight w:val="121"/>
        </w:trPr>
        <w:tc>
          <w:tcPr>
            <w:tcW w:w="2340" w:type="dxa"/>
            <w:vAlign w:val="bottom"/>
            <w:tcBorders>
              <w:left w:val="single" w:sz="8" w:color="A0DBF9"/>
              <w:bottom w:val="single" w:sz="8" w:color="A0DBF9"/>
              <w:right w:val="single" w:sz="8" w:color="A0DBF9"/>
            </w:tcBorders>
          </w:tcPr>
          <w:p>
            <w:pPr>
              <w:spacing w:after="0"/>
              <w:rPr>
                <w:sz w:val="10"/>
                <w:szCs w:val="10"/>
                <w:color w:val="auto"/>
              </w:rPr>
            </w:pPr>
          </w:p>
        </w:tc>
        <w:tc>
          <w:tcPr>
            <w:tcW w:w="100" w:type="dxa"/>
            <w:vAlign w:val="bottom"/>
            <w:tcBorders>
              <w:bottom w:val="single" w:sz="8" w:color="A0DBF9"/>
            </w:tcBorders>
          </w:tcPr>
          <w:p>
            <w:pPr>
              <w:spacing w:after="0"/>
              <w:rPr>
                <w:sz w:val="10"/>
                <w:szCs w:val="10"/>
                <w:color w:val="auto"/>
              </w:rPr>
            </w:pPr>
          </w:p>
        </w:tc>
        <w:tc>
          <w:tcPr>
            <w:tcW w:w="1240" w:type="dxa"/>
            <w:vAlign w:val="bottom"/>
            <w:tcBorders>
              <w:bottom w:val="single" w:sz="8" w:color="A0DBF9"/>
              <w:right w:val="single" w:sz="8" w:color="A0DBF9"/>
            </w:tcBorders>
          </w:tcPr>
          <w:p>
            <w:pPr>
              <w:spacing w:after="0"/>
              <w:rPr>
                <w:sz w:val="10"/>
                <w:szCs w:val="10"/>
                <w:color w:val="auto"/>
              </w:rPr>
            </w:pPr>
          </w:p>
        </w:tc>
        <w:tc>
          <w:tcPr>
            <w:tcW w:w="1220" w:type="dxa"/>
            <w:vAlign w:val="bottom"/>
            <w:tcBorders>
              <w:bottom w:val="single" w:sz="8" w:color="A0DBF9"/>
              <w:right w:val="single" w:sz="8" w:color="A0DBF9"/>
            </w:tcBorders>
          </w:tcPr>
          <w:p>
            <w:pPr>
              <w:spacing w:after="0"/>
              <w:rPr>
                <w:sz w:val="10"/>
                <w:szCs w:val="10"/>
                <w:color w:val="auto"/>
              </w:rPr>
            </w:pPr>
          </w:p>
        </w:tc>
        <w:tc>
          <w:tcPr>
            <w:tcW w:w="1320" w:type="dxa"/>
            <w:vAlign w:val="bottom"/>
            <w:tcBorders>
              <w:bottom w:val="single" w:sz="8" w:color="A0DBF9"/>
              <w:right w:val="single" w:sz="8" w:color="A0DBF9"/>
            </w:tcBorders>
          </w:tcPr>
          <w:p>
            <w:pPr>
              <w:spacing w:after="0"/>
              <w:rPr>
                <w:sz w:val="10"/>
                <w:szCs w:val="10"/>
                <w:color w:val="auto"/>
              </w:rPr>
            </w:pPr>
          </w:p>
        </w:tc>
        <w:tc>
          <w:tcPr>
            <w:tcW w:w="1320" w:type="dxa"/>
            <w:vAlign w:val="bottom"/>
            <w:tcBorders>
              <w:bottom w:val="single" w:sz="8" w:color="A0DBF9"/>
              <w:right w:val="single" w:sz="8" w:color="A0DBF9"/>
            </w:tcBorders>
          </w:tcPr>
          <w:p>
            <w:pPr>
              <w:spacing w:after="0"/>
              <w:rPr>
                <w:sz w:val="10"/>
                <w:szCs w:val="10"/>
                <w:color w:val="auto"/>
              </w:rPr>
            </w:pPr>
          </w:p>
        </w:tc>
        <w:tc>
          <w:tcPr>
            <w:tcW w:w="100" w:type="dxa"/>
            <w:vAlign w:val="bottom"/>
            <w:tcBorders>
              <w:bottom w:val="single" w:sz="8" w:color="A0DBF9"/>
            </w:tcBorders>
          </w:tcPr>
          <w:p>
            <w:pPr>
              <w:spacing w:after="0"/>
              <w:rPr>
                <w:sz w:val="10"/>
                <w:szCs w:val="10"/>
                <w:color w:val="auto"/>
              </w:rPr>
            </w:pPr>
          </w:p>
        </w:tc>
        <w:tc>
          <w:tcPr>
            <w:tcW w:w="1100" w:type="dxa"/>
            <w:vAlign w:val="bottom"/>
            <w:tcBorders>
              <w:bottom w:val="single" w:sz="8" w:color="A0DBF9"/>
              <w:right w:val="single" w:sz="8" w:color="A0DBF9"/>
            </w:tcBorders>
          </w:tcPr>
          <w:p>
            <w:pPr>
              <w:spacing w:after="0"/>
              <w:rPr>
                <w:sz w:val="10"/>
                <w:szCs w:val="10"/>
                <w:color w:val="auto"/>
              </w:rPr>
            </w:pPr>
          </w:p>
        </w:tc>
        <w:tc>
          <w:tcPr>
            <w:tcW w:w="1100" w:type="dxa"/>
            <w:vAlign w:val="bottom"/>
            <w:tcBorders>
              <w:bottom w:val="single" w:sz="8" w:color="A0DBF9"/>
              <w:right w:val="single" w:sz="8" w:color="A0DBF9"/>
            </w:tcBorders>
          </w:tcPr>
          <w:p>
            <w:pPr>
              <w:spacing w:after="0"/>
              <w:rPr>
                <w:sz w:val="10"/>
                <w:szCs w:val="10"/>
                <w:color w:val="auto"/>
              </w:rPr>
            </w:pPr>
          </w:p>
        </w:tc>
        <w:tc>
          <w:tcPr>
            <w:tcW w:w="1200" w:type="dxa"/>
            <w:vAlign w:val="bottom"/>
            <w:tcBorders>
              <w:bottom w:val="single" w:sz="8" w:color="A0DBF9"/>
              <w:right w:val="single" w:sz="8" w:color="A0DBF9"/>
            </w:tcBorders>
          </w:tcPr>
          <w:p>
            <w:pPr>
              <w:spacing w:after="0"/>
              <w:rPr>
                <w:sz w:val="10"/>
                <w:szCs w:val="10"/>
                <w:color w:val="auto"/>
              </w:rPr>
            </w:pPr>
          </w:p>
        </w:tc>
        <w:tc>
          <w:tcPr>
            <w:tcW w:w="0" w:type="dxa"/>
            <w:vAlign w:val="bottom"/>
          </w:tcPr>
          <w:p>
            <w:pPr>
              <w:spacing w:after="0"/>
              <w:rPr>
                <w:sz w:val="1"/>
                <w:szCs w:val="1"/>
                <w:color w:val="auto"/>
              </w:rPr>
            </w:pPr>
          </w:p>
        </w:tc>
      </w:tr>
      <w:tr>
        <w:trPr>
          <w:trHeight w:val="228"/>
        </w:trPr>
        <w:tc>
          <w:tcPr>
            <w:tcW w:w="2340" w:type="dxa"/>
            <w:vAlign w:val="bottom"/>
            <w:tcBorders>
              <w:left w:val="single" w:sz="8" w:color="A0DBF9"/>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Simon Robinson, Ph.D.</w:t>
            </w:r>
          </w:p>
        </w:tc>
        <w:tc>
          <w:tcPr>
            <w:tcW w:w="100" w:type="dxa"/>
            <w:vAlign w:val="bottom"/>
            <w:shd w:val="clear" w:color="auto" w:fill="E2F4FC"/>
          </w:tcPr>
          <w:p>
            <w:pPr>
              <w:spacing w:after="0"/>
              <w:rPr>
                <w:sz w:val="19"/>
                <w:szCs w:val="19"/>
                <w:color w:val="auto"/>
              </w:rPr>
            </w:pPr>
          </w:p>
        </w:tc>
        <w:tc>
          <w:tcPr>
            <w:tcW w:w="1240" w:type="dxa"/>
            <w:vAlign w:val="bottom"/>
            <w:tcBorders>
              <w:right w:val="single" w:sz="8" w:color="A0DBF9"/>
            </w:tcBorders>
            <w:shd w:val="clear" w:color="auto" w:fill="E2F4FC"/>
          </w:tcPr>
          <w:p>
            <w:pPr>
              <w:spacing w:after="0"/>
              <w:rPr>
                <w:sz w:val="19"/>
                <w:szCs w:val="19"/>
                <w:color w:val="auto"/>
              </w:rPr>
            </w:pPr>
          </w:p>
        </w:tc>
        <w:tc>
          <w:tcPr>
            <w:tcW w:w="1220" w:type="dxa"/>
            <w:vAlign w:val="bottom"/>
            <w:tcBorders>
              <w:right w:val="single" w:sz="8" w:color="A0DBF9"/>
            </w:tcBorders>
            <w:shd w:val="clear" w:color="auto" w:fill="E2F4FC"/>
          </w:tcPr>
          <w:p>
            <w:pPr>
              <w:spacing w:after="0"/>
              <w:rPr>
                <w:sz w:val="19"/>
                <w:szCs w:val="19"/>
                <w:color w:val="auto"/>
              </w:rPr>
            </w:pPr>
          </w:p>
        </w:tc>
        <w:tc>
          <w:tcPr>
            <w:tcW w:w="1320" w:type="dxa"/>
            <w:vAlign w:val="bottom"/>
            <w:tcBorders>
              <w:right w:val="single" w:sz="8" w:color="A0DBF9"/>
            </w:tcBorders>
            <w:shd w:val="clear" w:color="auto" w:fill="E2F4FC"/>
          </w:tcPr>
          <w:p>
            <w:pPr>
              <w:spacing w:after="0"/>
              <w:rPr>
                <w:sz w:val="19"/>
                <w:szCs w:val="19"/>
                <w:color w:val="auto"/>
              </w:rPr>
            </w:pPr>
          </w:p>
        </w:tc>
        <w:tc>
          <w:tcPr>
            <w:tcW w:w="1320" w:type="dxa"/>
            <w:vAlign w:val="bottom"/>
            <w:tcBorders>
              <w:right w:val="single" w:sz="8" w:color="A0DBF9"/>
            </w:tcBorders>
            <w:shd w:val="clear" w:color="auto" w:fill="E2F4FC"/>
          </w:tcPr>
          <w:p>
            <w:pPr>
              <w:spacing w:after="0"/>
              <w:rPr>
                <w:sz w:val="19"/>
                <w:szCs w:val="19"/>
                <w:color w:val="auto"/>
              </w:rPr>
            </w:pPr>
          </w:p>
        </w:tc>
        <w:tc>
          <w:tcPr>
            <w:tcW w:w="100" w:type="dxa"/>
            <w:vAlign w:val="bottom"/>
            <w:shd w:val="clear" w:color="auto" w:fill="E2F4FC"/>
          </w:tcPr>
          <w:p>
            <w:pPr>
              <w:spacing w:after="0"/>
              <w:rPr>
                <w:sz w:val="19"/>
                <w:szCs w:val="19"/>
                <w:color w:val="auto"/>
              </w:rPr>
            </w:pPr>
          </w:p>
        </w:tc>
        <w:tc>
          <w:tcPr>
            <w:tcW w:w="1100" w:type="dxa"/>
            <w:vAlign w:val="bottom"/>
            <w:tcBorders>
              <w:right w:val="single" w:sz="8" w:color="A0DBF9"/>
            </w:tcBorders>
            <w:shd w:val="clear" w:color="auto" w:fill="E2F4FC"/>
          </w:tcPr>
          <w:p>
            <w:pPr>
              <w:spacing w:after="0"/>
              <w:rPr>
                <w:sz w:val="19"/>
                <w:szCs w:val="19"/>
                <w:color w:val="auto"/>
              </w:rPr>
            </w:pPr>
          </w:p>
        </w:tc>
        <w:tc>
          <w:tcPr>
            <w:tcW w:w="1100" w:type="dxa"/>
            <w:vAlign w:val="bottom"/>
            <w:tcBorders>
              <w:right w:val="single" w:sz="8" w:color="A0DBF9"/>
            </w:tcBorders>
            <w:shd w:val="clear" w:color="auto" w:fill="E2F4FC"/>
          </w:tcPr>
          <w:p>
            <w:pPr>
              <w:spacing w:after="0"/>
              <w:rPr>
                <w:sz w:val="19"/>
                <w:szCs w:val="19"/>
                <w:color w:val="auto"/>
              </w:rPr>
            </w:pPr>
          </w:p>
        </w:tc>
        <w:tc>
          <w:tcPr>
            <w:tcW w:w="1200" w:type="dxa"/>
            <w:vAlign w:val="bottom"/>
            <w:tcBorders>
              <w:right w:val="single" w:sz="8" w:color="A0DBF9"/>
            </w:tcBorders>
            <w:shd w:val="clear" w:color="auto" w:fill="E2F4FC"/>
          </w:tcPr>
          <w:p>
            <w:pPr>
              <w:spacing w:after="0"/>
              <w:rPr>
                <w:sz w:val="19"/>
                <w:szCs w:val="19"/>
                <w:color w:val="auto"/>
              </w:rPr>
            </w:pPr>
          </w:p>
        </w:tc>
        <w:tc>
          <w:tcPr>
            <w:tcW w:w="0" w:type="dxa"/>
            <w:vAlign w:val="bottom"/>
          </w:tcPr>
          <w:p>
            <w:pPr>
              <w:spacing w:after="0"/>
              <w:rPr>
                <w:sz w:val="1"/>
                <w:szCs w:val="1"/>
                <w:color w:val="auto"/>
              </w:rPr>
            </w:pPr>
          </w:p>
        </w:tc>
      </w:tr>
      <w:tr>
        <w:trPr>
          <w:trHeight w:val="319"/>
        </w:trPr>
        <w:tc>
          <w:tcPr>
            <w:tcW w:w="2340" w:type="dxa"/>
            <w:vAlign w:val="bottom"/>
            <w:tcBorders>
              <w:left w:val="single" w:sz="8" w:color="A0DBF9"/>
              <w:righ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Senior Vice President</w:t>
            </w:r>
          </w:p>
        </w:tc>
        <w:tc>
          <w:tcPr>
            <w:tcW w:w="1340" w:type="dxa"/>
            <w:vAlign w:val="bottom"/>
            <w:tcBorders>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0"/>
              </w:rPr>
              <w:t>$477,568</w:t>
            </w:r>
          </w:p>
        </w:tc>
        <w:tc>
          <w:tcPr>
            <w:tcW w:w="1220" w:type="dxa"/>
            <w:vAlign w:val="bottom"/>
            <w:tcBorders>
              <w:right w:val="single" w:sz="8" w:color="A0DBF9"/>
            </w:tcBorders>
            <w:shd w:val="clear" w:color="auto" w:fill="E2F4FC"/>
          </w:tcPr>
          <w:p>
            <w:pPr>
              <w:jc w:val="center"/>
              <w:ind w:left="3"/>
              <w:spacing w:after="0"/>
              <w:rPr>
                <w:sz w:val="20"/>
                <w:szCs w:val="20"/>
                <w:color w:val="auto"/>
              </w:rPr>
            </w:pPr>
            <w:r>
              <w:rPr>
                <w:rFonts w:ascii="Arial" w:cs="Arial" w:eastAsia="Arial" w:hAnsi="Arial"/>
                <w:sz w:val="18"/>
                <w:szCs w:val="18"/>
                <w:color w:val="auto"/>
                <w:w w:val="89"/>
              </w:rPr>
              <w:t>$16,584</w:t>
            </w:r>
          </w:p>
        </w:tc>
        <w:tc>
          <w:tcPr>
            <w:tcW w:w="132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$494,152</w:t>
            </w:r>
          </w:p>
        </w:tc>
        <w:tc>
          <w:tcPr>
            <w:tcW w:w="1320" w:type="dxa"/>
            <w:vAlign w:val="bottom"/>
            <w:tcBorders>
              <w:right w:val="single" w:sz="8" w:color="A0DBF9"/>
            </w:tcBorders>
            <w:shd w:val="clear" w:color="auto" w:fill="E2F4FC"/>
          </w:tcPr>
          <w:p>
            <w:pPr>
              <w:jc w:val="right"/>
              <w:ind w:right="199"/>
              <w:spacing w:after="0"/>
              <w:rPr>
                <w:sz w:val="20"/>
                <w:szCs w:val="20"/>
                <w:color w:val="auto"/>
              </w:rPr>
            </w:pPr>
            <w:r>
              <w:rPr>
                <w:rFonts w:ascii="Arial" w:cs="Arial" w:eastAsia="Arial" w:hAnsi="Arial"/>
                <w:sz w:val="18"/>
                <w:szCs w:val="18"/>
                <w:color w:val="auto"/>
              </w:rPr>
              <w:t>$955,136</w:t>
            </w:r>
          </w:p>
        </w:tc>
        <w:tc>
          <w:tcPr>
            <w:tcW w:w="1200" w:type="dxa"/>
            <w:vAlign w:val="bottom"/>
            <w:tcBorders>
              <w:right w:val="single" w:sz="8" w:color="A0DBF9"/>
            </w:tcBorders>
            <w:gridSpan w:val="2"/>
            <w:shd w:val="clear" w:color="auto" w:fill="E2F4FC"/>
          </w:tcPr>
          <w:p>
            <w:pPr>
              <w:jc w:val="center"/>
              <w:spacing w:after="0"/>
              <w:rPr>
                <w:sz w:val="20"/>
                <w:szCs w:val="20"/>
                <w:color w:val="auto"/>
              </w:rPr>
            </w:pPr>
            <w:r>
              <w:rPr>
                <w:rFonts w:ascii="Arial" w:cs="Arial" w:eastAsia="Arial" w:hAnsi="Arial"/>
                <w:sz w:val="18"/>
                <w:szCs w:val="18"/>
                <w:color w:val="auto"/>
                <w:w w:val="90"/>
              </w:rPr>
              <w:t>$1,309,297</w:t>
            </w:r>
          </w:p>
        </w:tc>
        <w:tc>
          <w:tcPr>
            <w:tcW w:w="11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$33,168</w:t>
            </w:r>
          </w:p>
        </w:tc>
        <w:tc>
          <w:tcPr>
            <w:tcW w:w="1200" w:type="dxa"/>
            <w:vAlign w:val="bottom"/>
            <w:tcBorders>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0"/>
              </w:rPr>
              <w:t>$2,297,601</w:t>
            </w:r>
          </w:p>
        </w:tc>
        <w:tc>
          <w:tcPr>
            <w:tcW w:w="0" w:type="dxa"/>
            <w:vAlign w:val="bottom"/>
          </w:tcPr>
          <w:p>
            <w:pPr>
              <w:spacing w:after="0"/>
              <w:rPr>
                <w:sz w:val="1"/>
                <w:szCs w:val="1"/>
                <w:color w:val="auto"/>
              </w:rPr>
            </w:pPr>
          </w:p>
        </w:tc>
      </w:tr>
      <w:tr>
        <w:trPr>
          <w:trHeight w:val="202"/>
        </w:trPr>
        <w:tc>
          <w:tcPr>
            <w:tcW w:w="2340" w:type="dxa"/>
            <w:vAlign w:val="bottom"/>
            <w:tcBorders>
              <w:left w:val="single" w:sz="8" w:color="A0DBF9"/>
              <w:right w:val="single" w:sz="8" w:color="A0DBF9"/>
            </w:tcBorders>
            <w:shd w:val="clear" w:color="auto" w:fill="E2F4FC"/>
          </w:tcPr>
          <w:p>
            <w:pPr>
              <w:ind w:left="340"/>
              <w:spacing w:after="0" w:line="201" w:lineRule="exact"/>
              <w:rPr>
                <w:sz w:val="20"/>
                <w:szCs w:val="20"/>
                <w:color w:val="auto"/>
              </w:rPr>
            </w:pPr>
            <w:r>
              <w:rPr>
                <w:rFonts w:ascii="Arial" w:cs="Arial" w:eastAsia="Arial" w:hAnsi="Arial"/>
                <w:sz w:val="18"/>
                <w:szCs w:val="18"/>
                <w:color w:val="auto"/>
              </w:rPr>
              <w:t>Research and Pharma</w:t>
            </w:r>
          </w:p>
        </w:tc>
        <w:tc>
          <w:tcPr>
            <w:tcW w:w="100" w:type="dxa"/>
            <w:vAlign w:val="bottom"/>
            <w:shd w:val="clear" w:color="auto" w:fill="E2F4FC"/>
          </w:tcPr>
          <w:p>
            <w:pPr>
              <w:spacing w:after="0"/>
              <w:rPr>
                <w:sz w:val="17"/>
                <w:szCs w:val="17"/>
                <w:color w:val="auto"/>
              </w:rPr>
            </w:pPr>
          </w:p>
        </w:tc>
        <w:tc>
          <w:tcPr>
            <w:tcW w:w="1240" w:type="dxa"/>
            <w:vAlign w:val="bottom"/>
            <w:tcBorders>
              <w:right w:val="single" w:sz="8" w:color="A0DBF9"/>
            </w:tcBorders>
            <w:shd w:val="clear" w:color="auto" w:fill="E2F4FC"/>
          </w:tcPr>
          <w:p>
            <w:pPr>
              <w:spacing w:after="0"/>
              <w:rPr>
                <w:sz w:val="17"/>
                <w:szCs w:val="17"/>
                <w:color w:val="auto"/>
              </w:rPr>
            </w:pPr>
          </w:p>
        </w:tc>
        <w:tc>
          <w:tcPr>
            <w:tcW w:w="1220" w:type="dxa"/>
            <w:vAlign w:val="bottom"/>
            <w:tcBorders>
              <w:right w:val="single" w:sz="8" w:color="A0DBF9"/>
            </w:tcBorders>
            <w:shd w:val="clear" w:color="auto" w:fill="E2F4FC"/>
          </w:tcPr>
          <w:p>
            <w:pPr>
              <w:spacing w:after="0"/>
              <w:rPr>
                <w:sz w:val="17"/>
                <w:szCs w:val="17"/>
                <w:color w:val="auto"/>
              </w:rPr>
            </w:pPr>
          </w:p>
        </w:tc>
        <w:tc>
          <w:tcPr>
            <w:tcW w:w="1320" w:type="dxa"/>
            <w:vAlign w:val="bottom"/>
            <w:tcBorders>
              <w:right w:val="single" w:sz="8" w:color="A0DBF9"/>
            </w:tcBorders>
            <w:shd w:val="clear" w:color="auto" w:fill="E2F4FC"/>
          </w:tcPr>
          <w:p>
            <w:pPr>
              <w:spacing w:after="0"/>
              <w:rPr>
                <w:sz w:val="17"/>
                <w:szCs w:val="17"/>
                <w:color w:val="auto"/>
              </w:rPr>
            </w:pPr>
          </w:p>
        </w:tc>
        <w:tc>
          <w:tcPr>
            <w:tcW w:w="1320" w:type="dxa"/>
            <w:vAlign w:val="bottom"/>
            <w:tcBorders>
              <w:right w:val="single" w:sz="8" w:color="A0DBF9"/>
            </w:tcBorders>
            <w:shd w:val="clear" w:color="auto" w:fill="E2F4FC"/>
          </w:tcPr>
          <w:p>
            <w:pPr>
              <w:spacing w:after="0"/>
              <w:rPr>
                <w:sz w:val="17"/>
                <w:szCs w:val="17"/>
                <w:color w:val="auto"/>
              </w:rPr>
            </w:pPr>
          </w:p>
        </w:tc>
        <w:tc>
          <w:tcPr>
            <w:tcW w:w="100" w:type="dxa"/>
            <w:vAlign w:val="bottom"/>
            <w:shd w:val="clear" w:color="auto" w:fill="E2F4FC"/>
          </w:tcPr>
          <w:p>
            <w:pPr>
              <w:spacing w:after="0"/>
              <w:rPr>
                <w:sz w:val="17"/>
                <w:szCs w:val="17"/>
                <w:color w:val="auto"/>
              </w:rPr>
            </w:pPr>
          </w:p>
        </w:tc>
        <w:tc>
          <w:tcPr>
            <w:tcW w:w="1100" w:type="dxa"/>
            <w:vAlign w:val="bottom"/>
            <w:tcBorders>
              <w:right w:val="single" w:sz="8" w:color="A0DBF9"/>
            </w:tcBorders>
            <w:shd w:val="clear" w:color="auto" w:fill="E2F4FC"/>
          </w:tcPr>
          <w:p>
            <w:pPr>
              <w:spacing w:after="0"/>
              <w:rPr>
                <w:sz w:val="17"/>
                <w:szCs w:val="17"/>
                <w:color w:val="auto"/>
              </w:rPr>
            </w:pPr>
          </w:p>
        </w:tc>
        <w:tc>
          <w:tcPr>
            <w:tcW w:w="1100" w:type="dxa"/>
            <w:vAlign w:val="bottom"/>
            <w:tcBorders>
              <w:right w:val="single" w:sz="8" w:color="A0DBF9"/>
            </w:tcBorders>
            <w:shd w:val="clear" w:color="auto" w:fill="E2F4FC"/>
          </w:tcPr>
          <w:p>
            <w:pPr>
              <w:spacing w:after="0"/>
              <w:rPr>
                <w:sz w:val="17"/>
                <w:szCs w:val="17"/>
                <w:color w:val="auto"/>
              </w:rPr>
            </w:pPr>
          </w:p>
        </w:tc>
        <w:tc>
          <w:tcPr>
            <w:tcW w:w="1200" w:type="dxa"/>
            <w:vAlign w:val="bottom"/>
            <w:tcBorders>
              <w:right w:val="single" w:sz="8" w:color="A0DBF9"/>
            </w:tcBorders>
            <w:shd w:val="clear" w:color="auto" w:fill="E2F4FC"/>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340" w:type="dxa"/>
            <w:vAlign w:val="bottom"/>
            <w:tcBorders>
              <w:left w:val="single" w:sz="8" w:color="A0DBF9"/>
              <w:right w:val="single" w:sz="8" w:color="A0DBF9"/>
            </w:tcBorders>
            <w:shd w:val="clear" w:color="auto" w:fill="E2F4FC"/>
          </w:tcPr>
          <w:p>
            <w:pPr>
              <w:ind w:left="340"/>
              <w:spacing w:after="0"/>
              <w:rPr>
                <w:sz w:val="20"/>
                <w:szCs w:val="20"/>
                <w:color w:val="auto"/>
              </w:rPr>
            </w:pPr>
            <w:r>
              <w:rPr>
                <w:rFonts w:ascii="Arial" w:cs="Arial" w:eastAsia="Arial" w:hAnsi="Arial"/>
                <w:sz w:val="18"/>
                <w:szCs w:val="18"/>
                <w:color w:val="auto"/>
              </w:rPr>
              <w:t>Development</w:t>
            </w:r>
          </w:p>
        </w:tc>
        <w:tc>
          <w:tcPr>
            <w:tcW w:w="100" w:type="dxa"/>
            <w:vAlign w:val="bottom"/>
            <w:shd w:val="clear" w:color="auto" w:fill="E2F4FC"/>
          </w:tcPr>
          <w:p>
            <w:pPr>
              <w:spacing w:after="0"/>
              <w:rPr>
                <w:sz w:val="20"/>
                <w:szCs w:val="20"/>
                <w:color w:val="auto"/>
              </w:rPr>
            </w:pPr>
          </w:p>
        </w:tc>
        <w:tc>
          <w:tcPr>
            <w:tcW w:w="1240" w:type="dxa"/>
            <w:vAlign w:val="bottom"/>
            <w:tcBorders>
              <w:right w:val="single" w:sz="8" w:color="A0DBF9"/>
            </w:tcBorders>
            <w:shd w:val="clear" w:color="auto" w:fill="E2F4FC"/>
          </w:tcPr>
          <w:p>
            <w:pPr>
              <w:spacing w:after="0"/>
              <w:rPr>
                <w:sz w:val="20"/>
                <w:szCs w:val="20"/>
                <w:color w:val="auto"/>
              </w:rPr>
            </w:pPr>
          </w:p>
        </w:tc>
        <w:tc>
          <w:tcPr>
            <w:tcW w:w="1220" w:type="dxa"/>
            <w:vAlign w:val="bottom"/>
            <w:tcBorders>
              <w:right w:val="single" w:sz="8" w:color="A0DBF9"/>
            </w:tcBorders>
            <w:shd w:val="clear" w:color="auto" w:fill="E2F4FC"/>
          </w:tcPr>
          <w:p>
            <w:pPr>
              <w:spacing w:after="0"/>
              <w:rPr>
                <w:sz w:val="20"/>
                <w:szCs w:val="20"/>
                <w:color w:val="auto"/>
              </w:rPr>
            </w:pPr>
          </w:p>
        </w:tc>
        <w:tc>
          <w:tcPr>
            <w:tcW w:w="1320" w:type="dxa"/>
            <w:vAlign w:val="bottom"/>
            <w:tcBorders>
              <w:right w:val="single" w:sz="8" w:color="A0DBF9"/>
            </w:tcBorders>
            <w:shd w:val="clear" w:color="auto" w:fill="E2F4FC"/>
          </w:tcPr>
          <w:p>
            <w:pPr>
              <w:spacing w:after="0"/>
              <w:rPr>
                <w:sz w:val="20"/>
                <w:szCs w:val="20"/>
                <w:color w:val="auto"/>
              </w:rPr>
            </w:pPr>
          </w:p>
        </w:tc>
        <w:tc>
          <w:tcPr>
            <w:tcW w:w="1320" w:type="dxa"/>
            <w:vAlign w:val="bottom"/>
            <w:tcBorders>
              <w:right w:val="single" w:sz="8" w:color="A0DBF9"/>
            </w:tcBorders>
            <w:shd w:val="clear" w:color="auto" w:fill="E2F4FC"/>
          </w:tcPr>
          <w:p>
            <w:pPr>
              <w:spacing w:after="0"/>
              <w:rPr>
                <w:sz w:val="20"/>
                <w:szCs w:val="20"/>
                <w:color w:val="auto"/>
              </w:rPr>
            </w:pPr>
          </w:p>
        </w:tc>
        <w:tc>
          <w:tcPr>
            <w:tcW w:w="100" w:type="dxa"/>
            <w:vAlign w:val="bottom"/>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1100" w:type="dxa"/>
            <w:vAlign w:val="bottom"/>
            <w:tcBorders>
              <w:right w:val="single" w:sz="8" w:color="A0DBF9"/>
            </w:tcBorders>
            <w:shd w:val="clear" w:color="auto" w:fill="E2F4FC"/>
          </w:tcPr>
          <w:p>
            <w:pPr>
              <w:spacing w:after="0"/>
              <w:rPr>
                <w:sz w:val="20"/>
                <w:szCs w:val="20"/>
                <w:color w:val="auto"/>
              </w:rPr>
            </w:pPr>
          </w:p>
        </w:tc>
        <w:tc>
          <w:tcPr>
            <w:tcW w:w="1200" w:type="dxa"/>
            <w:vAlign w:val="bottom"/>
            <w:tcBorders>
              <w:right w:val="single" w:sz="8" w:color="A0DBF9"/>
            </w:tcBorders>
            <w:shd w:val="clear" w:color="auto" w:fill="E2F4FC"/>
          </w:tcPr>
          <w:p>
            <w:pPr>
              <w:spacing w:after="0"/>
              <w:rPr>
                <w:sz w:val="20"/>
                <w:szCs w:val="20"/>
                <w:color w:val="auto"/>
              </w:rPr>
            </w:pPr>
          </w:p>
        </w:tc>
        <w:tc>
          <w:tcPr>
            <w:tcW w:w="0" w:type="dxa"/>
            <w:vAlign w:val="bottom"/>
          </w:tcPr>
          <w:p>
            <w:pPr>
              <w:spacing w:after="0"/>
              <w:rPr>
                <w:sz w:val="1"/>
                <w:szCs w:val="1"/>
                <w:color w:val="auto"/>
              </w:rPr>
            </w:pPr>
          </w:p>
        </w:tc>
      </w:tr>
      <w:tr>
        <w:trPr>
          <w:trHeight w:val="122"/>
        </w:trPr>
        <w:tc>
          <w:tcPr>
            <w:tcW w:w="2340" w:type="dxa"/>
            <w:vAlign w:val="bottom"/>
            <w:tcBorders>
              <w:left w:val="single" w:sz="8" w:color="A0DBF9"/>
              <w:bottom w:val="single" w:sz="8" w:color="A0DBF9"/>
              <w:right w:val="single" w:sz="8" w:color="A0DBF9"/>
            </w:tcBorders>
            <w:shd w:val="clear" w:color="auto" w:fill="E2F4FC"/>
          </w:tcPr>
          <w:p>
            <w:pPr>
              <w:spacing w:after="0"/>
              <w:rPr>
                <w:sz w:val="10"/>
                <w:szCs w:val="10"/>
                <w:color w:val="auto"/>
              </w:rPr>
            </w:pPr>
          </w:p>
        </w:tc>
        <w:tc>
          <w:tcPr>
            <w:tcW w:w="100" w:type="dxa"/>
            <w:vAlign w:val="bottom"/>
            <w:tcBorders>
              <w:bottom w:val="single" w:sz="8" w:color="A0DBF9"/>
            </w:tcBorders>
            <w:shd w:val="clear" w:color="auto" w:fill="E2F4FC"/>
          </w:tcPr>
          <w:p>
            <w:pPr>
              <w:spacing w:after="0"/>
              <w:rPr>
                <w:sz w:val="10"/>
                <w:szCs w:val="10"/>
                <w:color w:val="auto"/>
              </w:rPr>
            </w:pPr>
          </w:p>
        </w:tc>
        <w:tc>
          <w:tcPr>
            <w:tcW w:w="1240" w:type="dxa"/>
            <w:vAlign w:val="bottom"/>
            <w:tcBorders>
              <w:bottom w:val="single" w:sz="8" w:color="A0DBF9"/>
              <w:right w:val="single" w:sz="8" w:color="A0DBF9"/>
            </w:tcBorders>
            <w:shd w:val="clear" w:color="auto" w:fill="E2F4FC"/>
          </w:tcPr>
          <w:p>
            <w:pPr>
              <w:spacing w:after="0"/>
              <w:rPr>
                <w:sz w:val="10"/>
                <w:szCs w:val="10"/>
                <w:color w:val="auto"/>
              </w:rPr>
            </w:pPr>
          </w:p>
        </w:tc>
        <w:tc>
          <w:tcPr>
            <w:tcW w:w="1220" w:type="dxa"/>
            <w:vAlign w:val="bottom"/>
            <w:tcBorders>
              <w:bottom w:val="single" w:sz="8" w:color="A0DBF9"/>
              <w:right w:val="single" w:sz="8" w:color="A0DBF9"/>
            </w:tcBorders>
            <w:shd w:val="clear" w:color="auto" w:fill="E2F4FC"/>
          </w:tcPr>
          <w:p>
            <w:pPr>
              <w:spacing w:after="0"/>
              <w:rPr>
                <w:sz w:val="10"/>
                <w:szCs w:val="10"/>
                <w:color w:val="auto"/>
              </w:rPr>
            </w:pPr>
          </w:p>
        </w:tc>
        <w:tc>
          <w:tcPr>
            <w:tcW w:w="1320" w:type="dxa"/>
            <w:vAlign w:val="bottom"/>
            <w:tcBorders>
              <w:bottom w:val="single" w:sz="8" w:color="A0DBF9"/>
              <w:right w:val="single" w:sz="8" w:color="A0DBF9"/>
            </w:tcBorders>
            <w:shd w:val="clear" w:color="auto" w:fill="E2F4FC"/>
          </w:tcPr>
          <w:p>
            <w:pPr>
              <w:spacing w:after="0"/>
              <w:rPr>
                <w:sz w:val="10"/>
                <w:szCs w:val="10"/>
                <w:color w:val="auto"/>
              </w:rPr>
            </w:pPr>
          </w:p>
        </w:tc>
        <w:tc>
          <w:tcPr>
            <w:tcW w:w="1320" w:type="dxa"/>
            <w:vAlign w:val="bottom"/>
            <w:tcBorders>
              <w:bottom w:val="single" w:sz="8" w:color="A0DBF9"/>
              <w:right w:val="single" w:sz="8" w:color="A0DBF9"/>
            </w:tcBorders>
            <w:shd w:val="clear" w:color="auto" w:fill="E2F4FC"/>
          </w:tcPr>
          <w:p>
            <w:pPr>
              <w:spacing w:after="0"/>
              <w:rPr>
                <w:sz w:val="10"/>
                <w:szCs w:val="10"/>
                <w:color w:val="auto"/>
              </w:rPr>
            </w:pPr>
          </w:p>
        </w:tc>
        <w:tc>
          <w:tcPr>
            <w:tcW w:w="100" w:type="dxa"/>
            <w:vAlign w:val="bottom"/>
            <w:tcBorders>
              <w:bottom w:val="single" w:sz="8" w:color="A0DBF9"/>
            </w:tcBorders>
            <w:shd w:val="clear" w:color="auto" w:fill="E2F4FC"/>
          </w:tcPr>
          <w:p>
            <w:pPr>
              <w:spacing w:after="0"/>
              <w:rPr>
                <w:sz w:val="10"/>
                <w:szCs w:val="10"/>
                <w:color w:val="auto"/>
              </w:rPr>
            </w:pPr>
          </w:p>
        </w:tc>
        <w:tc>
          <w:tcPr>
            <w:tcW w:w="1100" w:type="dxa"/>
            <w:vAlign w:val="bottom"/>
            <w:tcBorders>
              <w:bottom w:val="single" w:sz="8" w:color="A0DBF9"/>
              <w:right w:val="single" w:sz="8" w:color="A0DBF9"/>
            </w:tcBorders>
            <w:shd w:val="clear" w:color="auto" w:fill="E2F4FC"/>
          </w:tcPr>
          <w:p>
            <w:pPr>
              <w:spacing w:after="0"/>
              <w:rPr>
                <w:sz w:val="10"/>
                <w:szCs w:val="10"/>
                <w:color w:val="auto"/>
              </w:rPr>
            </w:pPr>
          </w:p>
        </w:tc>
        <w:tc>
          <w:tcPr>
            <w:tcW w:w="1100" w:type="dxa"/>
            <w:vAlign w:val="bottom"/>
            <w:tcBorders>
              <w:bottom w:val="single" w:sz="8" w:color="A0DBF9"/>
              <w:right w:val="single" w:sz="8" w:color="A0DBF9"/>
            </w:tcBorders>
            <w:shd w:val="clear" w:color="auto" w:fill="E2F4FC"/>
          </w:tcPr>
          <w:p>
            <w:pPr>
              <w:spacing w:after="0"/>
              <w:rPr>
                <w:sz w:val="10"/>
                <w:szCs w:val="10"/>
                <w:color w:val="auto"/>
              </w:rPr>
            </w:pPr>
          </w:p>
        </w:tc>
        <w:tc>
          <w:tcPr>
            <w:tcW w:w="1200" w:type="dxa"/>
            <w:vAlign w:val="bottom"/>
            <w:tcBorders>
              <w:bottom w:val="single" w:sz="8" w:color="A0DBF9"/>
              <w:right w:val="single" w:sz="8" w:color="A0DBF9"/>
            </w:tcBorders>
            <w:shd w:val="clear" w:color="auto" w:fill="E2F4FC"/>
          </w:tcPr>
          <w:p>
            <w:pPr>
              <w:spacing w:after="0"/>
              <w:rPr>
                <w:sz w:val="10"/>
                <w:szCs w:val="10"/>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40" w:hanging="424"/>
        <w:spacing w:after="0"/>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Total Benefits represent the Company-paid portion of COBRA.</w:t>
      </w:r>
    </w:p>
    <w:p>
      <w:pPr>
        <w:ind w:left="540" w:right="420" w:hanging="424"/>
        <w:spacing w:after="0" w:line="221"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in the ‘‘Value of Accelerated Stock Options’’ row represent the number of shares underlying in-the-money unvested stock options held by each NEO, multiplied by the difference between that option’s exercise price and $20.51 (the closing price of our common stock on December 31, 2019).</w:t>
      </w:r>
    </w:p>
    <w:p>
      <w:pPr>
        <w:ind w:left="540" w:right="360" w:hanging="424"/>
        <w:spacing w:after="0" w:line="232" w:lineRule="auto"/>
        <w:tabs>
          <w:tab w:leader="none" w:pos="54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in the ‘‘Value of Accelerated RSUs, PSUs, RSAs and PSAs’’ row represent the value of the number of each NEO’s performance and service-based RSUs, the vesting of which would have accelerated as of December 31, 2019, calculated by multiplying the number of accelerated RSUs by $20.51 (the closing price of our common stock on December 31, 2019). The acceleration of any performance based equity would vest at the target amount.</w:t>
      </w:r>
    </w:p>
    <w:p>
      <w:pPr>
        <w:spacing w:after="0" w:line="187" w:lineRule="exact"/>
        <w:rPr>
          <w:sz w:val="20"/>
          <w:szCs w:val="20"/>
          <w:color w:val="auto"/>
        </w:rPr>
      </w:pPr>
    </w:p>
    <w:p>
      <w:pPr>
        <w:ind w:left="120" w:right="460" w:firstLine="440"/>
        <w:spacing w:after="0" w:line="277" w:lineRule="auto"/>
        <w:rPr>
          <w:sz w:val="20"/>
          <w:szCs w:val="20"/>
          <w:color w:val="auto"/>
        </w:rPr>
      </w:pPr>
      <w:r>
        <w:rPr>
          <w:rFonts w:ascii="Arial" w:cs="Arial" w:eastAsia="Arial" w:hAnsi="Arial"/>
          <w:sz w:val="18"/>
          <w:szCs w:val="18"/>
          <w:color w:val="auto"/>
        </w:rPr>
        <w:t>No compensation is due to our NEOs upon a change of control that is not followed by a qualifying termination of employment, other than as described above or as required by applicable law.</w:t>
      </w:r>
    </w:p>
    <w:p>
      <w:pPr>
        <w:spacing w:after="0" w:line="170" w:lineRule="exact"/>
        <w:rPr>
          <w:sz w:val="20"/>
          <w:szCs w:val="20"/>
          <w:color w:val="auto"/>
        </w:rPr>
      </w:pPr>
    </w:p>
    <w:p>
      <w:pPr>
        <w:ind w:left="120" w:right="20" w:firstLine="440"/>
        <w:spacing w:after="0" w:line="254" w:lineRule="auto"/>
        <w:rPr>
          <w:sz w:val="20"/>
          <w:szCs w:val="20"/>
          <w:color w:val="auto"/>
        </w:rPr>
      </w:pPr>
      <w:r>
        <w:rPr>
          <w:rFonts w:ascii="Arial" w:cs="Arial" w:eastAsia="Arial" w:hAnsi="Arial"/>
          <w:sz w:val="18"/>
          <w:szCs w:val="18"/>
          <w:color w:val="auto"/>
        </w:rPr>
        <w:t>In addition, each of the severance arrangements with our NEOs provides for a modified cut-back in the event that adverse tax consequences are imposed on the receipt of parachute payments by the named executive officer pursuant to Sections 280G and 4999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If any payments or benefits from the Company in the nature of compensation that are paid to or for the named executive officer’s benefit, whether paid or payable pursuant to his or her employment agreement or otherwise (each,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would subject the named executive officer to the excise tax under Section 4999 of the Code, then the Payments will be reduced to the greatest amount of the Payments that can be paid that would not result in the imposition of the excise tax (the “</w:t>
      </w:r>
      <w:r>
        <w:rPr>
          <w:rFonts w:ascii="Arial" w:cs="Arial" w:eastAsia="Arial" w:hAnsi="Arial"/>
          <w:sz w:val="18"/>
          <w:szCs w:val="18"/>
          <w:b w:val="1"/>
          <w:bCs w:val="1"/>
          <w:i w:val="1"/>
          <w:iCs w:val="1"/>
          <w:color w:val="auto"/>
        </w:rPr>
        <w:t>Reduced Amount</w:t>
      </w:r>
      <w:r>
        <w:rPr>
          <w:rFonts w:ascii="Arial" w:cs="Arial" w:eastAsia="Arial" w:hAnsi="Arial"/>
          <w:sz w:val="18"/>
          <w:szCs w:val="18"/>
          <w:color w:val="auto"/>
        </w:rPr>
        <w:t>”). However, if the amount of the Payments the named executive officer would receive after payment of all applicable taxes, including any excise taxes, is greater than the Reduced Amount, then no such reduction will occur.</w:t>
      </w:r>
    </w:p>
    <w:p>
      <w:pPr>
        <w:spacing w:after="0" w:line="1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Orlandi Agreement</w:t>
      </w:r>
    </w:p>
    <w:p>
      <w:pPr>
        <w:spacing w:after="0" w:line="121" w:lineRule="exact"/>
        <w:rPr>
          <w:sz w:val="20"/>
          <w:szCs w:val="20"/>
          <w:color w:val="auto"/>
        </w:rPr>
      </w:pPr>
    </w:p>
    <w:p>
      <w:pPr>
        <w:ind w:left="120" w:right="100" w:firstLine="440"/>
        <w:spacing w:after="0" w:line="285" w:lineRule="auto"/>
        <w:rPr>
          <w:sz w:val="20"/>
          <w:szCs w:val="20"/>
          <w:color w:val="auto"/>
        </w:rPr>
      </w:pPr>
      <w:r>
        <w:rPr>
          <w:rFonts w:ascii="Arial" w:cs="Arial" w:eastAsia="Arial" w:hAnsi="Arial"/>
          <w:sz w:val="16"/>
          <w:szCs w:val="16"/>
          <w:color w:val="auto"/>
        </w:rPr>
        <w:t>On March 25, 2019, the Company announced Dr. Orlandi’s separation from the Company, effective as of September 2, 2019. The Company entered into the Orlandi Agreement with him at the time of the announcement which modified his then-existing severance arrangement with the Company (identical to the severance arrangements for the other NEOs other than Ms. Heino as described above). The Orlandi Agreement specified that he would receive, upon his separation and subject to his meeting his obligations under the agreement, (i) a cash payment of $384,121, which represents an amount equal to seven months of his base salary and a prorated portion of this target annual bonus ($213,960 of this amount was paid in 2019), and</w:t>
      </w:r>
    </w:p>
    <w:p>
      <w:pPr>
        <w:spacing w:after="0" w:line="2" w:lineRule="exact"/>
        <w:rPr>
          <w:sz w:val="20"/>
          <w:szCs w:val="20"/>
          <w:color w:val="auto"/>
        </w:rPr>
      </w:pPr>
    </w:p>
    <w:p>
      <w:pPr>
        <w:ind w:left="5540" w:right="1760" w:hanging="5424"/>
        <w:spacing w:after="0" w:line="433" w:lineRule="auto"/>
        <w:tabs>
          <w:tab w:leader="none" w:pos="387" w:val="left"/>
        </w:tabs>
        <w:numPr>
          <w:ilvl w:val="0"/>
          <w:numId w:val="58"/>
        </w:numPr>
        <w:rPr>
          <w:rFonts w:ascii="Arial" w:cs="Arial" w:eastAsia="Arial" w:hAnsi="Arial"/>
          <w:sz w:val="18"/>
          <w:szCs w:val="18"/>
          <w:color w:val="auto"/>
        </w:rPr>
      </w:pPr>
      <w:r>
        <w:rPr>
          <w:rFonts w:ascii="Arial" w:cs="Arial" w:eastAsia="Arial" w:hAnsi="Arial"/>
          <w:sz w:val="18"/>
          <w:szCs w:val="18"/>
          <w:color w:val="auto"/>
        </w:rPr>
        <w:t>$15,201 as reimbursement for COBRA premiums, in addition to any amounts required by law or the terms of the Company’s 53</w:t>
      </w:r>
    </w:p>
    <w:p>
      <w:pPr>
        <w:sectPr>
          <w:pgSz w:w="11900" w:h="16838" w:orient="portrait"/>
          <w:cols w:equalWidth="0" w:num="1">
            <w:col w:w="11140"/>
          </w:cols>
          <w:pgMar w:left="320" w:top="459" w:right="439" w:bottom="1440" w:gutter="0" w:footer="0" w:header="0"/>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91" w:lineRule="auto"/>
        <w:rPr>
          <w:sz w:val="20"/>
          <w:szCs w:val="20"/>
          <w:color w:val="auto"/>
        </w:rPr>
      </w:pPr>
      <w:r>
        <w:rPr>
          <w:rFonts w:ascii="Arial" w:cs="Arial" w:eastAsia="Arial" w:hAnsi="Arial"/>
          <w:sz w:val="16"/>
          <w:szCs w:val="16"/>
          <w:color w:val="auto"/>
        </w:rPr>
        <w:t>policies and benefits plans. The Company entered into the Orlandi Agreement as an inducement for Dr. Orlandi to remain with the Company between the time of announcement and his last day of employment, September 2, 2019, so that he could assist the Company to (i) effect a smooth transition of leadership for our Medical Affairs, Clinical Development and Regulatory functions and (ii) facilitate the advancement of our clinical development programs and due diligence efforts. The Orlandi Agreement also required Dr. Orlandi to acknowledge and agree that he continued to be bound by the restrictive covenants to which he was subject, including confidentiality, non-competition, non-solicitation, no-hire and invention assignment covenants, and provided a release of claims in favor of the Company, its affiliates and certain other persons. In addition to the above amounts, Dr. Orlandi also received $75,736 in consulting fees for work conducted in 2019 after his last day of employment with the Company.</w:t>
      </w:r>
    </w:p>
    <w:p>
      <w:pPr>
        <w:spacing w:after="0" w:line="9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020"/>
          </w:cols>
          <w:pgMar w:left="320" w:top="459" w:right="55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STOCK OWNERSHIP OF CERTAIN BENEFICIAL OWNERS AND MANAGEMENT</w:t>
      </w:r>
    </w:p>
    <w:p>
      <w:pPr>
        <w:spacing w:after="0" w:line="229" w:lineRule="exact"/>
        <w:rPr>
          <w:sz w:val="20"/>
          <w:szCs w:val="20"/>
          <w:color w:val="auto"/>
        </w:rPr>
      </w:pPr>
    </w:p>
    <w:p>
      <w:pPr>
        <w:ind w:left="120" w:right="40" w:firstLine="440"/>
        <w:spacing w:after="0" w:line="301" w:lineRule="auto"/>
        <w:rPr>
          <w:sz w:val="20"/>
          <w:szCs w:val="20"/>
          <w:color w:val="auto"/>
        </w:rPr>
      </w:pPr>
      <w:r>
        <w:rPr>
          <w:rFonts w:ascii="Arial" w:cs="Arial" w:eastAsia="Arial" w:hAnsi="Arial"/>
          <w:sz w:val="16"/>
          <w:szCs w:val="16"/>
          <w:color w:val="auto"/>
        </w:rPr>
        <w:t>The following table sets forth information regarding the beneficial ownership of our common stock held by (i) each of our directors, (ii) each of our named executive officers, (iii) our directors and named executive officers as a group and (iv) each person known to us to beneficially own more than 5% of our common stock. For our directors and officers, the information is as of the Record Date, February 24, 2020. For other stockholders who own more than 5% of our common stock, the information is as of the most recent Schedule 13G filed by each of those stockholders with the SEC.</w:t>
      </w:r>
    </w:p>
    <w:p>
      <w:pPr>
        <w:spacing w:after="0" w:line="157" w:lineRule="exact"/>
        <w:rPr>
          <w:sz w:val="20"/>
          <w:szCs w:val="20"/>
          <w:color w:val="auto"/>
        </w:rPr>
      </w:pPr>
    </w:p>
    <w:p>
      <w:pPr>
        <w:ind w:left="120" w:right="380" w:firstLine="440"/>
        <w:spacing w:after="0" w:line="259" w:lineRule="auto"/>
        <w:rPr>
          <w:sz w:val="20"/>
          <w:szCs w:val="20"/>
          <w:color w:val="auto"/>
        </w:rPr>
      </w:pPr>
      <w:r>
        <w:rPr>
          <w:rFonts w:ascii="Arial" w:cs="Arial" w:eastAsia="Arial" w:hAnsi="Arial"/>
          <w:sz w:val="18"/>
          <w:szCs w:val="18"/>
          <w:color w:val="auto"/>
        </w:rPr>
        <w:t>Beneficial ownership of Shares is determined under rules of the SEC and generally includes any Shares over which a person exercises sole or shared voting or investment power. Except as noted by footnote, and subject to community property laws where applicable, we believe based on the information provided to us that the persons and entities named in the table below have sole voting and investment power with respect to all Shares shown as beneficially owned by them.</w:t>
      </w:r>
    </w:p>
    <w:p>
      <w:pPr>
        <w:spacing w:after="0" w:line="187" w:lineRule="exact"/>
        <w:rPr>
          <w:sz w:val="20"/>
          <w:szCs w:val="20"/>
          <w:color w:val="auto"/>
        </w:rPr>
      </w:pPr>
    </w:p>
    <w:p>
      <w:pPr>
        <w:ind w:left="120" w:right="80" w:firstLine="440"/>
        <w:spacing w:after="0" w:line="296" w:lineRule="auto"/>
        <w:rPr>
          <w:sz w:val="20"/>
          <w:szCs w:val="20"/>
          <w:color w:val="auto"/>
        </w:rPr>
      </w:pPr>
      <w:r>
        <w:rPr>
          <w:rFonts w:ascii="Arial" w:cs="Arial" w:eastAsia="Arial" w:hAnsi="Arial"/>
          <w:sz w:val="16"/>
          <w:szCs w:val="16"/>
          <w:color w:val="auto"/>
        </w:rPr>
        <w:t>Percentage of beneficial ownership is calculated in part based on 39,512,340 Shares outstanding as of February 24, 2020. Shares subject to RSAs or RSUs that are currently vested or that will vest within 60 days of the date of this proxy statement, and stock options currently exercisable or exercisable within 60 days of the date of this proxy statement, are deemed to be outstanding and beneficially owned by the person holding those RSAs, RSUs and options for the purposes of computing the percentage of beneficial ownership of that person and any group of which that person is a member, but are not deemed outstanding for the purpose of computing the percentage of beneficial ownership for any other person.</w:t>
      </w:r>
    </w:p>
    <w:p>
      <w:pPr>
        <w:spacing w:after="0" w:line="161" w:lineRule="exact"/>
        <w:rPr>
          <w:sz w:val="20"/>
          <w:szCs w:val="20"/>
          <w:color w:val="auto"/>
        </w:rPr>
      </w:pPr>
    </w:p>
    <w:p>
      <w:pPr>
        <w:ind w:left="120" w:right="220" w:firstLine="440"/>
        <w:spacing w:after="0" w:line="277" w:lineRule="auto"/>
        <w:rPr>
          <w:sz w:val="20"/>
          <w:szCs w:val="20"/>
          <w:color w:val="auto"/>
        </w:rPr>
      </w:pPr>
      <w:r>
        <w:rPr>
          <w:rFonts w:ascii="Arial" w:cs="Arial" w:eastAsia="Arial" w:hAnsi="Arial"/>
          <w:sz w:val="18"/>
          <w:szCs w:val="18"/>
          <w:color w:val="auto"/>
        </w:rPr>
        <w:t>Unless otherwise indicated, the address for each holder listed below is c/o Lantheus Holdings, Inc., 331 Treble Cove Road, North Billerica, MA 01862.</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180"/>
        </w:trPr>
        <w:tc>
          <w:tcPr>
            <w:tcW w:w="6960" w:type="dxa"/>
            <w:vAlign w:val="bottom"/>
            <w:tcBorders>
              <w:left w:val="single" w:sz="8" w:color="5EB5FC"/>
              <w:right w:val="single" w:sz="8" w:color="5EB5FC"/>
            </w:tcBorders>
            <w:shd w:val="clear" w:color="auto" w:fill="5EB5FC"/>
          </w:tcPr>
          <w:p>
            <w:pPr>
              <w:spacing w:after="0"/>
              <w:rPr>
                <w:sz w:val="15"/>
                <w:szCs w:val="15"/>
                <w:color w:val="auto"/>
              </w:rPr>
            </w:pPr>
          </w:p>
        </w:tc>
        <w:tc>
          <w:tcPr>
            <w:tcW w:w="1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2"/>
              </w:rPr>
              <w:t>Number of Shares</w:t>
            </w:r>
          </w:p>
        </w:tc>
        <w:tc>
          <w:tcPr>
            <w:tcW w:w="2320" w:type="dxa"/>
            <w:vAlign w:val="bottom"/>
            <w:tcBorders>
              <w:right w:val="single" w:sz="8" w:color="5EB5FC"/>
            </w:tcBorders>
            <w:shd w:val="clear" w:color="auto" w:fill="5EB5FC"/>
          </w:tcPr>
          <w:p>
            <w:pPr>
              <w:spacing w:after="0"/>
              <w:rPr>
                <w:sz w:val="15"/>
                <w:szCs w:val="15"/>
                <w:color w:val="auto"/>
              </w:rPr>
            </w:pPr>
          </w:p>
        </w:tc>
        <w:tc>
          <w:tcPr>
            <w:tcW w:w="0" w:type="dxa"/>
            <w:vAlign w:val="bottom"/>
          </w:tcPr>
          <w:p>
            <w:pPr>
              <w:spacing w:after="0"/>
              <w:rPr>
                <w:sz w:val="1"/>
                <w:szCs w:val="1"/>
                <w:color w:val="auto"/>
              </w:rPr>
            </w:pPr>
          </w:p>
        </w:tc>
      </w:tr>
      <w:tr>
        <w:trPr>
          <w:trHeight w:val="149"/>
        </w:trPr>
        <w:tc>
          <w:tcPr>
            <w:tcW w:w="6960" w:type="dxa"/>
            <w:vAlign w:val="bottom"/>
            <w:tcBorders>
              <w:left w:val="single" w:sz="8" w:color="5EB5FC"/>
              <w:right w:val="single" w:sz="8" w:color="5EB5FC"/>
            </w:tcBorders>
            <w:vMerge w:val="restart"/>
            <w:shd w:val="clear" w:color="auto" w:fill="5EB5FC"/>
          </w:tcPr>
          <w:p>
            <w:pPr>
              <w:ind w:left="2740"/>
              <w:spacing w:after="0"/>
              <w:rPr>
                <w:sz w:val="20"/>
                <w:szCs w:val="20"/>
                <w:color w:val="auto"/>
              </w:rPr>
            </w:pPr>
            <w:r>
              <w:rPr>
                <w:rFonts w:ascii="Arial" w:cs="Arial" w:eastAsia="Arial" w:hAnsi="Arial"/>
                <w:sz w:val="14"/>
                <w:szCs w:val="14"/>
                <w:b w:val="1"/>
                <w:bCs w:val="1"/>
                <w:color w:val="FFFFFF"/>
              </w:rPr>
              <w:t>Name of Beneficial Owner</w:t>
            </w:r>
          </w:p>
        </w:tc>
        <w:tc>
          <w:tcPr>
            <w:tcW w:w="1760" w:type="dxa"/>
            <w:vAlign w:val="bottom"/>
            <w:tcBorders>
              <w:right w:val="single" w:sz="8" w:color="5EB5FC"/>
            </w:tcBorders>
            <w:shd w:val="clear" w:color="auto" w:fill="5EB5FC"/>
          </w:tcPr>
          <w:p>
            <w:pPr>
              <w:jc w:val="center"/>
              <w:spacing w:after="0" w:line="149" w:lineRule="exact"/>
              <w:rPr>
                <w:sz w:val="20"/>
                <w:szCs w:val="20"/>
                <w:color w:val="auto"/>
              </w:rPr>
            </w:pPr>
            <w:r>
              <w:rPr>
                <w:rFonts w:ascii="Arial" w:cs="Arial" w:eastAsia="Arial" w:hAnsi="Arial"/>
                <w:sz w:val="14"/>
                <w:szCs w:val="14"/>
                <w:b w:val="1"/>
                <w:bCs w:val="1"/>
                <w:color w:val="FFFFFF"/>
                <w:w w:val="93"/>
              </w:rPr>
              <w:t>of Common Stock</w:t>
            </w:r>
          </w:p>
        </w:tc>
        <w:tc>
          <w:tcPr>
            <w:tcW w:w="2320" w:type="dxa"/>
            <w:vAlign w:val="bottom"/>
            <w:tcBorders>
              <w:right w:val="single" w:sz="8" w:color="5EB5FC"/>
            </w:tcBorders>
            <w:vMerge w:val="restart"/>
            <w:shd w:val="clear" w:color="auto" w:fill="5EB5FC"/>
          </w:tcPr>
          <w:p>
            <w:pPr>
              <w:ind w:left="440"/>
              <w:spacing w:after="0"/>
              <w:rPr>
                <w:sz w:val="20"/>
                <w:szCs w:val="20"/>
                <w:color w:val="auto"/>
              </w:rPr>
            </w:pPr>
            <w:r>
              <w:rPr>
                <w:rFonts w:ascii="Arial" w:cs="Arial" w:eastAsia="Arial" w:hAnsi="Arial"/>
                <w:sz w:val="14"/>
                <w:szCs w:val="14"/>
                <w:b w:val="1"/>
                <w:bCs w:val="1"/>
                <w:color w:val="FFFFFF"/>
              </w:rPr>
              <w:t>Percentage Ownership</w:t>
            </w:r>
          </w:p>
        </w:tc>
        <w:tc>
          <w:tcPr>
            <w:tcW w:w="0" w:type="dxa"/>
            <w:vAlign w:val="bottom"/>
          </w:tcPr>
          <w:p>
            <w:pPr>
              <w:spacing w:after="0"/>
              <w:rPr>
                <w:sz w:val="1"/>
                <w:szCs w:val="1"/>
                <w:color w:val="auto"/>
              </w:rPr>
            </w:pPr>
          </w:p>
        </w:tc>
      </w:tr>
      <w:tr>
        <w:trPr>
          <w:trHeight w:val="186"/>
        </w:trPr>
        <w:tc>
          <w:tcPr>
            <w:tcW w:w="6960" w:type="dxa"/>
            <w:vAlign w:val="bottom"/>
            <w:tcBorders>
              <w:left w:val="single" w:sz="8" w:color="5EB5FC"/>
              <w:right w:val="single" w:sz="8" w:color="5EB5FC"/>
            </w:tcBorders>
            <w:vMerge w:val="continue"/>
            <w:shd w:val="clear" w:color="auto" w:fill="5EB5FC"/>
          </w:tcPr>
          <w:p>
            <w:pPr>
              <w:spacing w:after="0"/>
              <w:rPr>
                <w:sz w:val="16"/>
                <w:szCs w:val="16"/>
                <w:color w:val="auto"/>
              </w:rPr>
            </w:pPr>
          </w:p>
        </w:tc>
        <w:tc>
          <w:tcPr>
            <w:tcW w:w="1760" w:type="dxa"/>
            <w:vAlign w:val="bottom"/>
            <w:tcBorders>
              <w:right w:val="single" w:sz="8" w:color="5EB5FC"/>
            </w:tcBorders>
            <w:shd w:val="clear" w:color="auto" w:fill="5EB5FC"/>
          </w:tcPr>
          <w:p>
            <w:pPr>
              <w:jc w:val="center"/>
              <w:spacing w:after="0"/>
              <w:rPr>
                <w:sz w:val="20"/>
                <w:szCs w:val="20"/>
                <w:color w:val="auto"/>
              </w:rPr>
            </w:pPr>
            <w:r>
              <w:rPr>
                <w:rFonts w:ascii="Arial" w:cs="Arial" w:eastAsia="Arial" w:hAnsi="Arial"/>
                <w:sz w:val="14"/>
                <w:szCs w:val="14"/>
                <w:b w:val="1"/>
                <w:bCs w:val="1"/>
                <w:color w:val="FFFFFF"/>
                <w:w w:val="93"/>
              </w:rPr>
              <w:t>Beneficially Owned</w:t>
            </w:r>
          </w:p>
        </w:tc>
        <w:tc>
          <w:tcPr>
            <w:tcW w:w="2320" w:type="dxa"/>
            <w:vAlign w:val="bottom"/>
            <w:tcBorders>
              <w:right w:val="single" w:sz="8" w:color="5EB5FC"/>
            </w:tcBorders>
            <w:vMerge w:val="continue"/>
            <w:shd w:val="clear" w:color="auto" w:fill="5EB5FC"/>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960" w:type="dxa"/>
            <w:vAlign w:val="bottom"/>
            <w:tcBorders>
              <w:left w:val="single" w:sz="8" w:color="5EB5FC"/>
              <w:right w:val="single" w:sz="8" w:color="5EB5FC"/>
            </w:tcBorders>
            <w:shd w:val="clear" w:color="auto" w:fill="5EB5FC"/>
          </w:tcPr>
          <w:p>
            <w:pPr>
              <w:spacing w:after="0"/>
              <w:rPr>
                <w:sz w:val="10"/>
                <w:szCs w:val="10"/>
                <w:color w:val="auto"/>
              </w:rPr>
            </w:pPr>
          </w:p>
        </w:tc>
        <w:tc>
          <w:tcPr>
            <w:tcW w:w="1760" w:type="dxa"/>
            <w:vAlign w:val="bottom"/>
            <w:tcBorders>
              <w:right w:val="single" w:sz="8" w:color="5EB5FC"/>
            </w:tcBorders>
            <w:shd w:val="clear" w:color="auto" w:fill="5EB5FC"/>
          </w:tcPr>
          <w:p>
            <w:pPr>
              <w:spacing w:after="0"/>
              <w:rPr>
                <w:sz w:val="10"/>
                <w:szCs w:val="10"/>
                <w:color w:val="auto"/>
              </w:rPr>
            </w:pPr>
          </w:p>
        </w:tc>
        <w:tc>
          <w:tcPr>
            <w:tcW w:w="2320" w:type="dxa"/>
            <w:vAlign w:val="bottom"/>
            <w:tcBorders>
              <w:right w:val="single" w:sz="8" w:color="5EB5FC"/>
            </w:tcBorders>
            <w:shd w:val="clear" w:color="auto" w:fill="5EB5FC"/>
          </w:tcPr>
          <w:p>
            <w:pPr>
              <w:spacing w:after="0"/>
              <w:rPr>
                <w:sz w:val="10"/>
                <w:szCs w:val="10"/>
                <w:color w:val="auto"/>
              </w:rPr>
            </w:pPr>
          </w:p>
        </w:tc>
        <w:tc>
          <w:tcPr>
            <w:tcW w:w="0" w:type="dxa"/>
            <w:vAlign w:val="bottom"/>
          </w:tcPr>
          <w:p>
            <w:pPr>
              <w:spacing w:after="0"/>
              <w:rPr>
                <w:sz w:val="1"/>
                <w:szCs w:val="1"/>
                <w:color w:val="auto"/>
              </w:rPr>
            </w:pPr>
          </w:p>
        </w:tc>
      </w:tr>
      <w:tr>
        <w:trPr>
          <w:trHeight w:val="275"/>
        </w:trPr>
        <w:tc>
          <w:tcPr>
            <w:tcW w:w="696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Directors and Named Executive Officers</w:t>
            </w:r>
          </w:p>
        </w:tc>
        <w:tc>
          <w:tcPr>
            <w:tcW w:w="1760" w:type="dxa"/>
            <w:vAlign w:val="bottom"/>
            <w:tcBorders>
              <w:bottom w:val="single" w:sz="8" w:color="E2F4FC"/>
              <w:right w:val="single" w:sz="8" w:color="A0DBF9"/>
            </w:tcBorders>
            <w:shd w:val="clear" w:color="auto" w:fill="E2F4FC"/>
          </w:tcPr>
          <w:p>
            <w:pPr>
              <w:spacing w:after="0"/>
              <w:rPr>
                <w:sz w:val="23"/>
                <w:szCs w:val="23"/>
                <w:color w:val="auto"/>
              </w:rPr>
            </w:pPr>
          </w:p>
        </w:tc>
        <w:tc>
          <w:tcPr>
            <w:tcW w:w="2320" w:type="dxa"/>
            <w:vAlign w:val="bottom"/>
            <w:tcBorders>
              <w:bottom w:val="single" w:sz="8" w:color="E2F4FC"/>
              <w:right w:val="single" w:sz="8" w:color="A0DBF9"/>
            </w:tcBorders>
            <w:shd w:val="clear" w:color="auto" w:fill="E2F4FC"/>
          </w:tcPr>
          <w:p>
            <w:pPr>
              <w:spacing w:after="0"/>
              <w:rPr>
                <w:sz w:val="23"/>
                <w:szCs w:val="23"/>
                <w:color w:val="auto"/>
              </w:rPr>
            </w:pP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Brian Markison</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7"/>
              </w:rPr>
              <w:t>86,462</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Mary Anne Heino</w:t>
            </w:r>
            <w:r>
              <w:rPr>
                <w:rFonts w:ascii="Arial" w:cs="Arial" w:eastAsia="Arial" w:hAnsi="Arial"/>
                <w:sz w:val="15"/>
                <w:szCs w:val="15"/>
                <w:color w:val="auto"/>
              </w:rPr>
              <w:t>(1)</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383,482</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1.0%</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James Clemmer</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7"/>
              </w:rPr>
              <w:t>60,980</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Samuel Leno</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71,943</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Julie McHugh</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7"/>
              </w:rPr>
              <w:t>17,510</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Dr. Frederick Robertson</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43,062</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Dr. Derace Schaffer</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7"/>
              </w:rPr>
              <w:t>16,994</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Dr. James Thrall</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9,764</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Gary Pruden</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7"/>
              </w:rPr>
              <w:t>10,072</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Kenneth Pucel</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7"/>
              </w:rPr>
              <w:t>13,264</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John Bolla</w:t>
            </w:r>
            <w:r>
              <w:rPr>
                <w:rFonts w:ascii="Arial" w:cs="Arial" w:eastAsia="Arial" w:hAnsi="Arial"/>
                <w:sz w:val="15"/>
                <w:szCs w:val="15"/>
                <w:color w:val="auto"/>
              </w:rPr>
              <w:t>(2)</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8"/>
              </w:rPr>
              <w:t>5,978</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Robert J. Marshall Jr.</w:t>
            </w:r>
            <w:r>
              <w:rPr>
                <w:rFonts w:ascii="Arial" w:cs="Arial" w:eastAsia="Arial" w:hAnsi="Arial"/>
                <w:sz w:val="15"/>
                <w:szCs w:val="15"/>
                <w:color w:val="auto"/>
              </w:rPr>
              <w:t>(3)</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8"/>
              </w:rPr>
              <w:t>3,324</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Michael P. Duffy</w:t>
            </w:r>
            <w:r>
              <w:rPr>
                <w:rFonts w:ascii="Arial" w:cs="Arial" w:eastAsia="Arial" w:hAnsi="Arial"/>
                <w:sz w:val="15"/>
                <w:szCs w:val="15"/>
                <w:color w:val="auto"/>
              </w:rPr>
              <w:t>(4)</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2"/>
              </w:rPr>
              <w:t>101,388</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All Directors and Named Executive Officers as a Group (13 persons)</w:t>
            </w:r>
            <w:r>
              <w:rPr>
                <w:rFonts w:ascii="Arial" w:cs="Arial" w:eastAsia="Arial" w:hAnsi="Arial"/>
                <w:sz w:val="15"/>
                <w:szCs w:val="15"/>
                <w:color w:val="auto"/>
              </w:rPr>
              <w:t>(5)</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824,223</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0"/>
        </w:trPr>
        <w:tc>
          <w:tcPr>
            <w:tcW w:w="6960" w:type="dxa"/>
            <w:vAlign w:val="bottom"/>
            <w:tcBorders>
              <w:top w:val="single" w:sz="8" w:color="A0DBF9"/>
              <w:left w:val="single" w:sz="8" w:color="A0DBF9"/>
              <w:bottom w:val="single" w:sz="8" w:color="A0DBF9"/>
              <w:right w:val="single" w:sz="8" w:color="A0DBF9"/>
            </w:tcBorders>
          </w:tcPr>
          <w:p>
            <w:pPr>
              <w:spacing w:after="0"/>
              <w:rPr>
                <w:sz w:val="21"/>
                <w:szCs w:val="21"/>
                <w:color w:val="auto"/>
              </w:rPr>
            </w:pPr>
          </w:p>
        </w:tc>
        <w:tc>
          <w:tcPr>
            <w:tcW w:w="1760" w:type="dxa"/>
            <w:vAlign w:val="bottom"/>
            <w:tcBorders>
              <w:top w:val="single" w:sz="8" w:color="A0DBF9"/>
              <w:bottom w:val="single" w:sz="8" w:color="A0DBF9"/>
              <w:right w:val="single" w:sz="8" w:color="A0DBF9"/>
            </w:tcBorders>
          </w:tcPr>
          <w:p>
            <w:pPr>
              <w:spacing w:after="0"/>
              <w:rPr>
                <w:sz w:val="21"/>
                <w:szCs w:val="21"/>
                <w:color w:val="auto"/>
              </w:rPr>
            </w:pPr>
          </w:p>
        </w:tc>
        <w:tc>
          <w:tcPr>
            <w:tcW w:w="2320" w:type="dxa"/>
            <w:vAlign w:val="bottom"/>
            <w:tcBorders>
              <w:top w:val="single" w:sz="8" w:color="A0DBF9"/>
              <w:bottom w:val="single" w:sz="8" w:color="A0DBF9"/>
              <w:right w:val="single" w:sz="8" w:color="A0DBF9"/>
            </w:tcBorders>
          </w:tcPr>
          <w:p>
            <w:pPr>
              <w:spacing w:after="0"/>
              <w:rPr>
                <w:sz w:val="21"/>
                <w:szCs w:val="21"/>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240"/>
              <w:spacing w:after="0"/>
              <w:rPr>
                <w:sz w:val="20"/>
                <w:szCs w:val="20"/>
                <w:color w:val="auto"/>
              </w:rPr>
            </w:pPr>
            <w:r>
              <w:rPr>
                <w:rFonts w:ascii="Arial" w:cs="Arial" w:eastAsia="Arial" w:hAnsi="Arial"/>
                <w:sz w:val="18"/>
                <w:szCs w:val="18"/>
                <w:b w:val="1"/>
                <w:bCs w:val="1"/>
                <w:color w:val="auto"/>
              </w:rPr>
              <w:t>5% Stockholders</w:t>
            </w:r>
          </w:p>
        </w:tc>
        <w:tc>
          <w:tcPr>
            <w:tcW w:w="1760" w:type="dxa"/>
            <w:vAlign w:val="bottom"/>
            <w:tcBorders>
              <w:bottom w:val="single" w:sz="8" w:color="E2F4FC"/>
              <w:right w:val="single" w:sz="8" w:color="A0DBF9"/>
            </w:tcBorders>
            <w:shd w:val="clear" w:color="auto" w:fill="E2F4FC"/>
          </w:tcPr>
          <w:p>
            <w:pPr>
              <w:spacing w:after="0"/>
              <w:rPr>
                <w:sz w:val="21"/>
                <w:szCs w:val="21"/>
                <w:color w:val="auto"/>
              </w:rPr>
            </w:pPr>
          </w:p>
        </w:tc>
        <w:tc>
          <w:tcPr>
            <w:tcW w:w="2320" w:type="dxa"/>
            <w:vAlign w:val="bottom"/>
            <w:tcBorders>
              <w:bottom w:val="single" w:sz="8" w:color="E2F4FC"/>
              <w:right w:val="single" w:sz="8" w:color="A0DBF9"/>
            </w:tcBorders>
            <w:shd w:val="clear" w:color="auto" w:fill="E2F4FC"/>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Blackrock, Inc.</w:t>
            </w:r>
            <w:r>
              <w:rPr>
                <w:rFonts w:ascii="Arial" w:cs="Arial" w:eastAsia="Arial" w:hAnsi="Arial"/>
                <w:sz w:val="15"/>
                <w:szCs w:val="15"/>
                <w:color w:val="auto"/>
              </w:rPr>
              <w:t>(6)</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9"/>
              </w:rPr>
              <w:t>6,058,429</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0"/>
              </w:rPr>
              <w:t>15.3%</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696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T. Rowe Price Associates, Inc.</w:t>
            </w:r>
            <w:r>
              <w:rPr>
                <w:rFonts w:ascii="Arial" w:cs="Arial" w:eastAsia="Arial" w:hAnsi="Arial"/>
                <w:sz w:val="15"/>
                <w:szCs w:val="15"/>
                <w:color w:val="auto"/>
              </w:rPr>
              <w:t>(7)</w:t>
            </w:r>
          </w:p>
        </w:tc>
        <w:tc>
          <w:tcPr>
            <w:tcW w:w="176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89"/>
              </w:rPr>
              <w:t>3,183,805</w:t>
            </w:r>
          </w:p>
        </w:tc>
        <w:tc>
          <w:tcPr>
            <w:tcW w:w="2320" w:type="dxa"/>
            <w:vAlign w:val="bottom"/>
            <w:tcBorders>
              <w:bottom w:val="single" w:sz="8" w:color="E2F4FC"/>
              <w:right w:val="single" w:sz="8" w:color="A0DBF9"/>
            </w:tcBorders>
            <w:shd w:val="clear" w:color="auto" w:fill="E2F4FC"/>
          </w:tcPr>
          <w:p>
            <w:pPr>
              <w:jc w:val="center"/>
              <w:spacing w:after="0"/>
              <w:rPr>
                <w:sz w:val="20"/>
                <w:szCs w:val="20"/>
                <w:color w:val="auto"/>
              </w:rPr>
            </w:pPr>
            <w:r>
              <w:rPr>
                <w:rFonts w:ascii="Arial" w:cs="Arial" w:eastAsia="Arial" w:hAnsi="Arial"/>
                <w:sz w:val="18"/>
                <w:szCs w:val="18"/>
                <w:color w:val="auto"/>
                <w:w w:val="92"/>
              </w:rPr>
              <w:t>8.1%</w:t>
            </w:r>
          </w:p>
        </w:tc>
        <w:tc>
          <w:tcPr>
            <w:tcW w:w="0" w:type="dxa"/>
            <w:vAlign w:val="bottom"/>
          </w:tcPr>
          <w:p>
            <w:pPr>
              <w:spacing w:after="0"/>
              <w:rPr>
                <w:sz w:val="1"/>
                <w:szCs w:val="1"/>
                <w:color w:val="auto"/>
              </w:rPr>
            </w:pPr>
          </w:p>
        </w:tc>
      </w:tr>
      <w:tr>
        <w:trPr>
          <w:trHeight w:val="224"/>
        </w:trPr>
        <w:tc>
          <w:tcPr>
            <w:tcW w:w="6960" w:type="dxa"/>
            <w:vAlign w:val="bottom"/>
            <w:tcBorders>
              <w:top w:val="single" w:sz="8" w:color="A0DBF9"/>
              <w:left w:val="single" w:sz="8" w:color="A0DBF9"/>
              <w:right w:val="single" w:sz="8" w:color="A0DBF9"/>
            </w:tcBorders>
          </w:tcPr>
          <w:p>
            <w:pPr>
              <w:ind w:left="520"/>
              <w:spacing w:after="0"/>
              <w:rPr>
                <w:sz w:val="20"/>
                <w:szCs w:val="20"/>
                <w:color w:val="auto"/>
              </w:rPr>
            </w:pPr>
            <w:r>
              <w:rPr>
                <w:rFonts w:ascii="Arial" w:cs="Arial" w:eastAsia="Arial" w:hAnsi="Arial"/>
                <w:sz w:val="18"/>
                <w:szCs w:val="18"/>
                <w:color w:val="auto"/>
              </w:rPr>
              <w:t>The Vanguard Group, Inc.</w:t>
            </w:r>
            <w:r>
              <w:rPr>
                <w:rFonts w:ascii="Arial" w:cs="Arial" w:eastAsia="Arial" w:hAnsi="Arial"/>
                <w:sz w:val="15"/>
                <w:szCs w:val="15"/>
                <w:color w:val="auto"/>
              </w:rPr>
              <w:t>(8)</w:t>
            </w:r>
          </w:p>
        </w:tc>
        <w:tc>
          <w:tcPr>
            <w:tcW w:w="176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89"/>
              </w:rPr>
              <w:t>2,863,926</w:t>
            </w:r>
          </w:p>
        </w:tc>
        <w:tc>
          <w:tcPr>
            <w:tcW w:w="2320" w:type="dxa"/>
            <w:vAlign w:val="bottom"/>
            <w:tcBorders>
              <w:top w:val="single" w:sz="8" w:color="A0DBF9"/>
              <w:right w:val="single" w:sz="8" w:color="A0DBF9"/>
            </w:tcBorders>
          </w:tcPr>
          <w:p>
            <w:pPr>
              <w:jc w:val="center"/>
              <w:spacing w:after="0"/>
              <w:rPr>
                <w:sz w:val="20"/>
                <w:szCs w:val="20"/>
                <w:color w:val="auto"/>
              </w:rPr>
            </w:pPr>
            <w:r>
              <w:rPr>
                <w:rFonts w:ascii="Arial" w:cs="Arial" w:eastAsia="Arial" w:hAnsi="Arial"/>
                <w:sz w:val="18"/>
                <w:szCs w:val="18"/>
                <w:color w:val="auto"/>
                <w:w w:val="92"/>
              </w:rPr>
              <w:t>7.2%</w:t>
            </w:r>
          </w:p>
        </w:tc>
        <w:tc>
          <w:tcPr>
            <w:tcW w:w="0" w:type="dxa"/>
            <w:vAlign w:val="bottom"/>
          </w:tcPr>
          <w:p>
            <w:pPr>
              <w:spacing w:after="0"/>
              <w:rPr>
                <w:sz w:val="1"/>
                <w:szCs w:val="1"/>
                <w:color w:val="auto"/>
              </w:rPr>
            </w:pPr>
          </w:p>
        </w:tc>
      </w:tr>
      <w:tr>
        <w:trPr>
          <w:trHeight w:val="26"/>
        </w:trPr>
        <w:tc>
          <w:tcPr>
            <w:tcW w:w="6960" w:type="dxa"/>
            <w:vAlign w:val="bottom"/>
            <w:tcBorders>
              <w:left w:val="single" w:sz="8" w:color="A0DBF9"/>
              <w:bottom w:val="single" w:sz="8" w:color="A0DBF9"/>
              <w:right w:val="single" w:sz="8" w:color="A0DBF9"/>
            </w:tcBorders>
          </w:tcPr>
          <w:p>
            <w:pPr>
              <w:spacing w:after="0"/>
              <w:rPr>
                <w:sz w:val="2"/>
                <w:szCs w:val="2"/>
                <w:color w:val="auto"/>
              </w:rPr>
            </w:pPr>
          </w:p>
        </w:tc>
        <w:tc>
          <w:tcPr>
            <w:tcW w:w="1760" w:type="dxa"/>
            <w:vAlign w:val="bottom"/>
            <w:tcBorders>
              <w:bottom w:val="single" w:sz="8" w:color="A0DBF9"/>
              <w:right w:val="single" w:sz="8" w:color="A0DBF9"/>
            </w:tcBorders>
          </w:tcPr>
          <w:p>
            <w:pPr>
              <w:spacing w:after="0"/>
              <w:rPr>
                <w:sz w:val="2"/>
                <w:szCs w:val="2"/>
                <w:color w:val="auto"/>
              </w:rPr>
            </w:pPr>
          </w:p>
        </w:tc>
        <w:tc>
          <w:tcPr>
            <w:tcW w:w="2320" w:type="dxa"/>
            <w:vAlign w:val="bottom"/>
            <w:tcBorders>
              <w:bottom w:val="single" w:sz="8" w:color="A0DBF9"/>
              <w:right w:val="single" w:sz="8" w:color="A0DBF9"/>
            </w:tcBorders>
          </w:tcPr>
          <w:p>
            <w:pPr>
              <w:spacing w:after="0"/>
              <w:rPr>
                <w:sz w:val="2"/>
                <w:szCs w:val="2"/>
                <w:color w:val="auto"/>
              </w:rPr>
            </w:pPr>
          </w:p>
        </w:tc>
        <w:tc>
          <w:tcPr>
            <w:tcW w:w="0" w:type="dxa"/>
            <w:vAlign w:val="bottom"/>
          </w:tcPr>
          <w:p>
            <w:pPr>
              <w:spacing w:after="0"/>
              <w:rPr>
                <w:sz w:val="1"/>
                <w:szCs w:val="1"/>
                <w:color w:val="auto"/>
              </w:rPr>
            </w:pPr>
          </w:p>
        </w:tc>
      </w:tr>
      <w:tr>
        <w:trPr>
          <w:trHeight w:val="358"/>
        </w:trPr>
        <w:tc>
          <w:tcPr>
            <w:tcW w:w="6960" w:type="dxa"/>
            <w:vAlign w:val="bottom"/>
          </w:tcPr>
          <w:p>
            <w:pPr>
              <w:ind w:left="5420"/>
              <w:spacing w:after="0"/>
              <w:rPr>
                <w:sz w:val="20"/>
                <w:szCs w:val="20"/>
                <w:color w:val="auto"/>
              </w:rPr>
            </w:pPr>
            <w:r>
              <w:rPr>
                <w:rFonts w:ascii="Arial" w:cs="Arial" w:eastAsia="Arial" w:hAnsi="Arial"/>
                <w:sz w:val="18"/>
                <w:szCs w:val="18"/>
                <w:color w:val="auto"/>
              </w:rPr>
              <w:t>55</w:t>
            </w:r>
          </w:p>
        </w:tc>
        <w:tc>
          <w:tcPr>
            <w:tcW w:w="17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40"/>
          </w:cols>
          <w:pgMar w:left="320" w:top="459" w:right="43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left="540" w:hanging="424"/>
        <w:spacing w:after="0"/>
        <w:tabs>
          <w:tab w:leader="none" w:pos="540" w:val="left"/>
        </w:tabs>
        <w:numPr>
          <w:ilvl w:val="0"/>
          <w:numId w:val="59"/>
        </w:numPr>
        <w:rPr>
          <w:rFonts w:ascii="Arial" w:cs="Arial" w:eastAsia="Arial" w:hAnsi="Arial"/>
          <w:sz w:val="14"/>
          <w:szCs w:val="14"/>
          <w:color w:val="auto"/>
        </w:rPr>
      </w:pPr>
      <w:r>
        <w:rPr>
          <w:rFonts w:ascii="Arial" w:cs="Arial" w:eastAsia="Arial" w:hAnsi="Arial"/>
          <w:sz w:val="14"/>
          <w:szCs w:val="14"/>
          <w:color w:val="auto"/>
        </w:rPr>
        <w:t>Represents beneficial ownership of less than 1% of our outstanding Shares.</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307,865 unvested RSAs, RSUs, PSAs and PSUs held by Ms. Heino.</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30,427 unvested RSAs, RSUs, PSAs and PSUs held by Mr. Bolla.</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50,104 unvested RSAs, RSUs, PSAs and PSUs held by Mr. Marshall.</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70,807 unvested RSAs, RSUs, PSAs and PSUs held by Mr. Duffy.</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Does not include 459,203 unvested RSAs, RSUs, PSAs and PSUs held by our directors and named executive officers as a group.</w:t>
      </w:r>
    </w:p>
    <w:p>
      <w:pPr>
        <w:ind w:left="540" w:right="18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solely on Amendment No. 3 to Schedule 13G filed on February 4, 2020 by Blackrock, Inc. In that filing, Blackrock, Inc. reports sole voting power with respect to 5,993,131 Shares and sole dispositive power with respect to 6,058,429 Shares, and lists its address as 55 E. 52nd Street, New York, New York 10055.</w:t>
      </w:r>
    </w:p>
    <w:p>
      <w:pPr>
        <w:ind w:left="540" w:hanging="424"/>
        <w:spacing w:after="0" w:line="221"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solely on the Schedule 13G filed on February 14, 2020 by T. Rowe Price Associates, Inc. In that filing, T. Rowe Price Associates, Inc. reports sole voting power with respect to 635,583 Shares and sole dispositive power with respect to 3,183,805 Shares, and lists its address as 100 E. Pratt Street, Baltimore, MD 21202.</w:t>
      </w:r>
    </w:p>
    <w:p>
      <w:pPr>
        <w:ind w:left="540" w:right="180" w:hanging="424"/>
        <w:spacing w:after="0" w:line="232" w:lineRule="auto"/>
        <w:tabs>
          <w:tab w:leader="none" w:pos="5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Based solely on the Amendment No. 2 to Schedule 13G filed on February 12, 2020 by The Vanguard Group, Inc. In that filing The Vanguard Group, Inc. reports sole voting power with respect to 81,705 Shares and sole dispositive power with respect to 2,773,135 Shares, shared voting power with respect to 14,494 Shares and shared dispositive power with respect to 90,791 Shares and lists its address as 100 Vanguard Blvd., Malvern, PA 19355.</w:t>
      </w:r>
    </w:p>
    <w:p>
      <w:pPr>
        <w:spacing w:after="0" w:line="120"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040"/>
          </w:cols>
          <w:pgMar w:left="320" w:top="459" w:right="53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Related Person Transactions</w:t>
      </w:r>
    </w:p>
    <w:p>
      <w:pPr>
        <w:spacing w:after="0" w:line="121" w:lineRule="exact"/>
        <w:rPr>
          <w:sz w:val="20"/>
          <w:szCs w:val="20"/>
          <w:color w:val="auto"/>
        </w:rPr>
      </w:pPr>
    </w:p>
    <w:p>
      <w:pPr>
        <w:ind w:left="120" w:right="140" w:firstLine="440"/>
        <w:spacing w:after="0" w:line="263" w:lineRule="auto"/>
        <w:rPr>
          <w:sz w:val="20"/>
          <w:szCs w:val="20"/>
          <w:color w:val="auto"/>
        </w:rPr>
      </w:pPr>
      <w:r>
        <w:rPr>
          <w:rFonts w:ascii="Arial" w:cs="Arial" w:eastAsia="Arial" w:hAnsi="Arial"/>
          <w:sz w:val="18"/>
          <w:szCs w:val="18"/>
          <w:color w:val="auto"/>
        </w:rPr>
        <w:t>This section describes certain relationships and related person transactions between us or our subsidiaries, on the one hand, and our directors, director nominees, executive officers, holders of more than 5% of our voting securities and certain related persons of any of the foregoing, on the other hand, since January 1, 2019.</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Indemnification Agreements</w:t>
      </w:r>
    </w:p>
    <w:p>
      <w:pPr>
        <w:spacing w:after="0" w:line="117" w:lineRule="exact"/>
        <w:rPr>
          <w:sz w:val="20"/>
          <w:szCs w:val="20"/>
          <w:color w:val="auto"/>
        </w:rPr>
      </w:pPr>
    </w:p>
    <w:p>
      <w:pPr>
        <w:ind w:left="120" w:firstLine="440"/>
        <w:spacing w:after="0" w:line="271" w:lineRule="auto"/>
        <w:rPr>
          <w:sz w:val="20"/>
          <w:szCs w:val="20"/>
          <w:color w:val="auto"/>
        </w:rPr>
      </w:pPr>
      <w:r>
        <w:rPr>
          <w:rFonts w:ascii="Arial" w:cs="Arial" w:eastAsia="Arial" w:hAnsi="Arial"/>
          <w:sz w:val="17"/>
          <w:szCs w:val="17"/>
          <w:color w:val="auto"/>
        </w:rPr>
        <w:t>We have entered into indemnification agreements with each of our directors and executive officers. These agreements, among other things, require us to indemnify each director and executive officer to the fullest extent permitted by applicable law, including indemnification of expenses, such as attorneys’ fees, judgments, penalties, fines and settlement amounts, actually and reasonably incurred by the director or executive officer in any action or proceeding, including, without limitation, all liability arising out of negligence or active or passive wrongdoing by that officer or director, in any action or proceeding by or in right of us, arising out of the person’s services as a director or executive officer, in each case, subject to certain exceptions. At present, we are not aware of any pending or threatened litigation or proceeding involving any of our directors, executive officers, employees or agents in which indemnification would be required or permitted. We believe these indemnification agreements are necessary to attract and retain qualified persons as directors and executive officers.</w:t>
      </w:r>
    </w:p>
    <w:p>
      <w:pPr>
        <w:spacing w:after="0" w:line="286" w:lineRule="exact"/>
        <w:rPr>
          <w:sz w:val="20"/>
          <w:szCs w:val="20"/>
          <w:color w:val="auto"/>
        </w:rPr>
      </w:pPr>
    </w:p>
    <w:p>
      <w:pPr>
        <w:ind w:left="120"/>
        <w:spacing w:after="0"/>
        <w:rPr>
          <w:sz w:val="20"/>
          <w:szCs w:val="20"/>
          <w:color w:val="auto"/>
        </w:rPr>
      </w:pPr>
      <w:r>
        <w:rPr>
          <w:rFonts w:ascii="Arial" w:cs="Arial" w:eastAsia="Arial" w:hAnsi="Arial"/>
          <w:sz w:val="18"/>
          <w:szCs w:val="18"/>
          <w:i w:val="1"/>
          <w:iCs w:val="1"/>
          <w:color w:val="auto"/>
        </w:rPr>
        <w:t>Agreement with Dr. Orlandi</w:t>
      </w:r>
    </w:p>
    <w:p>
      <w:pPr>
        <w:spacing w:after="0" w:line="117" w:lineRule="exact"/>
        <w:rPr>
          <w:sz w:val="20"/>
          <w:szCs w:val="20"/>
          <w:color w:val="auto"/>
        </w:rPr>
      </w:pPr>
    </w:p>
    <w:p>
      <w:pPr>
        <w:jc w:val="both"/>
        <w:ind w:left="120" w:right="80" w:firstLine="440"/>
        <w:spacing w:after="0" w:line="263" w:lineRule="auto"/>
        <w:rPr>
          <w:sz w:val="20"/>
          <w:szCs w:val="20"/>
          <w:color w:val="auto"/>
        </w:rPr>
      </w:pPr>
      <w:r>
        <w:rPr>
          <w:rFonts w:ascii="Arial" w:cs="Arial" w:eastAsia="Arial" w:hAnsi="Arial"/>
          <w:sz w:val="18"/>
          <w:szCs w:val="18"/>
          <w:color w:val="auto"/>
        </w:rPr>
        <w:t>In connection with his separation from the Company, effective as of September 2, 2019, Dr. Orlandi entered into an agreement with the Company under which he received certain payments in exchange for providing certain assistance to the Company and confirming restrictive covenants in favor of the Company. For more information, see “</w:t>
      </w:r>
      <w:r>
        <w:rPr>
          <w:rFonts w:ascii="Arial" w:cs="Arial" w:eastAsia="Arial" w:hAnsi="Arial"/>
          <w:sz w:val="18"/>
          <w:szCs w:val="18"/>
          <w:i w:val="1"/>
          <w:iCs w:val="1"/>
          <w:color w:val="auto"/>
        </w:rPr>
        <w:t>Orlandi Agreement</w:t>
      </w:r>
      <w:r>
        <w:rPr>
          <w:rFonts w:ascii="Arial" w:cs="Arial" w:eastAsia="Arial" w:hAnsi="Arial"/>
          <w:sz w:val="18"/>
          <w:szCs w:val="18"/>
          <w:color w:val="auto"/>
        </w:rPr>
        <w:t>.”</w:t>
      </w:r>
    </w:p>
    <w:p>
      <w:pPr>
        <w:spacing w:after="0" w:line="288"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Policies for Approval of Related Person Transactions</w:t>
      </w:r>
    </w:p>
    <w:p>
      <w:pPr>
        <w:spacing w:after="0" w:line="121" w:lineRule="exact"/>
        <w:rPr>
          <w:sz w:val="20"/>
          <w:szCs w:val="20"/>
          <w:color w:val="auto"/>
        </w:rPr>
      </w:pPr>
    </w:p>
    <w:p>
      <w:pPr>
        <w:ind w:left="120" w:right="100" w:firstLine="440"/>
        <w:spacing w:after="0" w:line="293" w:lineRule="auto"/>
        <w:rPr>
          <w:sz w:val="20"/>
          <w:szCs w:val="20"/>
          <w:color w:val="auto"/>
        </w:rPr>
      </w:pPr>
      <w:r>
        <w:rPr>
          <w:rFonts w:ascii="Arial" w:cs="Arial" w:eastAsia="Arial" w:hAnsi="Arial"/>
          <w:sz w:val="16"/>
          <w:szCs w:val="16"/>
          <w:color w:val="auto"/>
        </w:rPr>
        <w:t>We have a written policy relating to the approval of related person transactions pursuant to which the Audit Committee reviews and approves or ratifies all relationships and related person transactions between us and (i) our directors, director nominees and executive officers, (ii) any 5% record or beneficial owner of Shares or (iii) any immediate family member of any person specified in (i) or (ii) above. Management, under the oversight of the Audit Committee, is primarily responsible for the development and implementation of processes and controls to obtain information from our directors and executive officers with respect to related person transactions, and the Audit Committee is primarily responsible for determining, based on the facts and circumstances, whether we have, or a related person has, a direct or indirect material interest in the transaction.</w:t>
      </w:r>
    </w:p>
    <w:p>
      <w:pPr>
        <w:spacing w:after="0" w:line="164" w:lineRule="exact"/>
        <w:rPr>
          <w:sz w:val="20"/>
          <w:szCs w:val="20"/>
          <w:color w:val="auto"/>
        </w:rPr>
      </w:pPr>
    </w:p>
    <w:p>
      <w:pPr>
        <w:ind w:left="560"/>
        <w:spacing w:after="0"/>
        <w:rPr>
          <w:sz w:val="20"/>
          <w:szCs w:val="20"/>
          <w:color w:val="auto"/>
        </w:rPr>
      </w:pPr>
      <w:r>
        <w:rPr>
          <w:rFonts w:ascii="Arial" w:cs="Arial" w:eastAsia="Arial" w:hAnsi="Arial"/>
          <w:sz w:val="16"/>
          <w:szCs w:val="16"/>
          <w:color w:val="auto"/>
        </w:rPr>
        <w:t>As set forth in our related person transaction policy, in the course of its review and approval or ratification of a related person transaction, the</w:t>
      </w:r>
    </w:p>
    <w:p>
      <w:pPr>
        <w:spacing w:after="0" w:line="46"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Audit Committee will consider:</w:t>
      </w:r>
    </w:p>
    <w:p>
      <w:pPr>
        <w:spacing w:after="0" w:line="116" w:lineRule="exact"/>
        <w:rPr>
          <w:sz w:val="20"/>
          <w:szCs w:val="20"/>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nature of the related person’s interest in the transaction;</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availability of other sources of comparable products or services;</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material terms of the transaction, including, without limitation, the amount and type of transaction; and</w:t>
      </w:r>
    </w:p>
    <w:p>
      <w:pPr>
        <w:spacing w:after="0" w:line="130" w:lineRule="exact"/>
        <w:rPr>
          <w:rFonts w:ascii="Arial" w:cs="Arial" w:eastAsia="Arial" w:hAnsi="Arial"/>
          <w:sz w:val="18"/>
          <w:szCs w:val="18"/>
          <w:color w:val="auto"/>
        </w:rPr>
      </w:pPr>
    </w:p>
    <w:p>
      <w:pPr>
        <w:ind w:left="1080" w:hanging="424"/>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importance of the transaction to us.</w:t>
      </w:r>
    </w:p>
    <w:p>
      <w:pPr>
        <w:spacing w:after="0" w:line="225" w:lineRule="exact"/>
        <w:rPr>
          <w:sz w:val="20"/>
          <w:szCs w:val="20"/>
          <w:color w:val="auto"/>
        </w:rPr>
      </w:pPr>
    </w:p>
    <w:p>
      <w:pPr>
        <w:ind w:left="120" w:right="120" w:firstLine="440"/>
        <w:spacing w:after="0" w:line="263" w:lineRule="auto"/>
        <w:rPr>
          <w:sz w:val="20"/>
          <w:szCs w:val="20"/>
          <w:color w:val="auto"/>
        </w:rPr>
      </w:pPr>
      <w:r>
        <w:rPr>
          <w:rFonts w:ascii="Arial" w:cs="Arial" w:eastAsia="Arial" w:hAnsi="Arial"/>
          <w:sz w:val="18"/>
          <w:szCs w:val="18"/>
          <w:color w:val="auto"/>
        </w:rPr>
        <w:t>Any member of the Audit Committee who is a related person with respect to a transaction under review will not be permitted to participate in the approval or ratification of the transaction. However, that member of the Audit Committee will provide all material information concerning the transaction to the Audit Committee.</w:t>
      </w:r>
    </w:p>
    <w:p>
      <w:pPr>
        <w:spacing w:after="0" w:line="11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20"/>
          </w:cols>
          <w:pgMar w:left="320" w:top="459" w:right="45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PROPOSAL 4: RATIFICATION OF INDEPENDENT AUDITOR</w:t>
      </w:r>
    </w:p>
    <w:p>
      <w:pPr>
        <w:spacing w:after="0" w:line="229" w:lineRule="exact"/>
        <w:rPr>
          <w:sz w:val="20"/>
          <w:szCs w:val="20"/>
          <w:color w:val="auto"/>
        </w:rPr>
      </w:pPr>
    </w:p>
    <w:p>
      <w:pPr>
        <w:jc w:val="both"/>
        <w:ind w:left="120" w:right="160" w:firstLine="440"/>
        <w:spacing w:after="0" w:line="263" w:lineRule="auto"/>
        <w:rPr>
          <w:sz w:val="20"/>
          <w:szCs w:val="20"/>
          <w:color w:val="auto"/>
        </w:rPr>
      </w:pPr>
      <w:r>
        <w:rPr>
          <w:rFonts w:ascii="Arial" w:cs="Arial" w:eastAsia="Arial" w:hAnsi="Arial"/>
          <w:sz w:val="18"/>
          <w:szCs w:val="18"/>
          <w:color w:val="auto"/>
        </w:rPr>
        <w:t>The Audit Committee has appointed Deloitte &amp; Touche LLP (“</w:t>
      </w:r>
      <w:r>
        <w:rPr>
          <w:rFonts w:ascii="Arial" w:cs="Arial" w:eastAsia="Arial" w:hAnsi="Arial"/>
          <w:sz w:val="18"/>
          <w:szCs w:val="18"/>
          <w:b w:val="1"/>
          <w:bCs w:val="1"/>
          <w:i w:val="1"/>
          <w:iCs w:val="1"/>
          <w:color w:val="auto"/>
        </w:rPr>
        <w:t>Deloitte</w:t>
      </w:r>
      <w:r>
        <w:rPr>
          <w:rFonts w:ascii="Arial" w:cs="Arial" w:eastAsia="Arial" w:hAnsi="Arial"/>
          <w:sz w:val="18"/>
          <w:szCs w:val="18"/>
          <w:color w:val="auto"/>
        </w:rPr>
        <w:t>”) as our independent registered public accounting firm for the fiscal year ending December 31, 2020. Although stockholder ratification of the appointment of Deloitte is not required by law, we are submitting the appointment to our stockholders for ratification as a matter of good corporate governance.</w:t>
      </w:r>
    </w:p>
    <w:p>
      <w:pPr>
        <w:spacing w:after="0" w:line="184" w:lineRule="exact"/>
        <w:rPr>
          <w:sz w:val="20"/>
          <w:szCs w:val="20"/>
          <w:color w:val="auto"/>
        </w:rPr>
      </w:pPr>
    </w:p>
    <w:p>
      <w:pPr>
        <w:ind w:left="120" w:right="20" w:firstLine="440"/>
        <w:spacing w:after="0" w:line="277" w:lineRule="auto"/>
        <w:rPr>
          <w:sz w:val="20"/>
          <w:szCs w:val="20"/>
          <w:color w:val="auto"/>
        </w:rPr>
      </w:pPr>
      <w:r>
        <w:rPr>
          <w:rFonts w:ascii="Arial" w:cs="Arial" w:eastAsia="Arial" w:hAnsi="Arial"/>
          <w:sz w:val="18"/>
          <w:szCs w:val="18"/>
          <w:color w:val="auto"/>
        </w:rPr>
        <w:t>Representatives of Deloitte are expected to attend the Annual Meeting, will have an opportunity to make a statement if they desire to do so and are expected to be available to respond to appropriate questions.</w:t>
      </w:r>
    </w:p>
    <w:p>
      <w:pPr>
        <w:spacing w:after="0" w:line="274"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Vote Required</w:t>
      </w:r>
    </w:p>
    <w:p>
      <w:pPr>
        <w:spacing w:after="0" w:line="121" w:lineRule="exact"/>
        <w:rPr>
          <w:sz w:val="20"/>
          <w:szCs w:val="20"/>
          <w:color w:val="auto"/>
        </w:rPr>
      </w:pPr>
    </w:p>
    <w:p>
      <w:pPr>
        <w:ind w:left="120" w:right="20" w:firstLine="440"/>
        <w:spacing w:after="0" w:line="259" w:lineRule="auto"/>
        <w:rPr>
          <w:sz w:val="20"/>
          <w:szCs w:val="20"/>
          <w:color w:val="auto"/>
        </w:rPr>
      </w:pPr>
      <w:r>
        <w:rPr>
          <w:rFonts w:ascii="Arial" w:cs="Arial" w:eastAsia="Arial" w:hAnsi="Arial"/>
          <w:sz w:val="18"/>
          <w:szCs w:val="18"/>
          <w:color w:val="auto"/>
        </w:rPr>
        <w:t>The ratification of the appointment of Deloitte requires the affirmative vote of a majority of the votes cast at the Annual Meeting. If stockholders do not ratify the appointment of Deloitte, then the Audit Committee will reconsider the appointment. Even if stockholders ratify the appointment of Deloitte, the Audit Committee retains the discretion to appoint a different independent auditor at any time if it determines that such a change would be in the best interests of the Company and its stockholders.</w:t>
      </w:r>
    </w:p>
    <w:p>
      <w:pPr>
        <w:spacing w:after="0" w:line="29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Board of Directors’ Recommendation</w:t>
      </w:r>
    </w:p>
    <w:p>
      <w:pPr>
        <w:spacing w:after="0" w:line="229" w:lineRule="exact"/>
        <w:rPr>
          <w:sz w:val="20"/>
          <w:szCs w:val="20"/>
          <w:color w:val="auto"/>
        </w:rPr>
      </w:pPr>
    </w:p>
    <w:p>
      <w:pPr>
        <w:jc w:val="center"/>
        <w:ind w:left="440" w:right="1660"/>
        <w:spacing w:after="0" w:line="257" w:lineRule="auto"/>
        <w:rPr>
          <w:sz w:val="20"/>
          <w:szCs w:val="20"/>
          <w:color w:val="auto"/>
        </w:rPr>
      </w:pPr>
      <w:r>
        <w:rPr>
          <w:rFonts w:ascii="Arial" w:cs="Arial" w:eastAsia="Arial" w:hAnsi="Arial"/>
          <w:sz w:val="18"/>
          <w:szCs w:val="18"/>
          <w:b w:val="1"/>
          <w:bCs w:val="1"/>
          <w:i w:val="1"/>
          <w:iCs w:val="1"/>
          <w:color w:val="auto"/>
        </w:rPr>
        <w:t>THE BOARD UNANIMOUSLY RECOMMENDS THAT YOU VOTE “</w:t>
      </w:r>
      <w:r>
        <w:rPr>
          <w:rFonts w:ascii="Arial" w:cs="Arial" w:eastAsia="Arial" w:hAnsi="Arial"/>
          <w:sz w:val="18"/>
          <w:szCs w:val="18"/>
          <w:b w:val="1"/>
          <w:bCs w:val="1"/>
          <w:i w:val="1"/>
          <w:iCs w:val="1"/>
          <w:u w:val="single" w:color="auto"/>
          <w:color w:val="auto"/>
        </w:rPr>
        <w:t>FOR</w:t>
      </w:r>
      <w:r>
        <w:rPr>
          <w:rFonts w:ascii="Arial" w:cs="Arial" w:eastAsia="Arial" w:hAnsi="Arial"/>
          <w:sz w:val="18"/>
          <w:szCs w:val="18"/>
          <w:b w:val="1"/>
          <w:bCs w:val="1"/>
          <w:i w:val="1"/>
          <w:iCs w:val="1"/>
          <w:color w:val="auto"/>
        </w:rPr>
        <w:t>” THE RATIFICATION OF DELOITTE AS OUR INDEPENDENT REGISTERED PUBLIC ACCOUNTING FIRM FOR THE FISCAL YEAR ENDING DECEMBER 31, 2020 AND PROXIES SOLICITED BY THE BOARD WILL BE VOTED IN FAVOR OF SUCH APPROVAL, UNLESS A STOCKHOLDER INDICATES OTHERWISE ON THE PROXY.</w:t>
      </w:r>
    </w:p>
    <w:p>
      <w:pPr>
        <w:spacing w:after="0" w:line="292"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Deloitte Fees</w:t>
      </w:r>
    </w:p>
    <w:p>
      <w:pPr>
        <w:spacing w:after="0" w:line="121" w:lineRule="exact"/>
        <w:rPr>
          <w:sz w:val="20"/>
          <w:szCs w:val="20"/>
          <w:color w:val="auto"/>
        </w:rPr>
      </w:pPr>
    </w:p>
    <w:p>
      <w:pPr>
        <w:ind w:left="120" w:right="260" w:firstLine="440"/>
        <w:spacing w:after="0" w:line="277" w:lineRule="auto"/>
        <w:rPr>
          <w:sz w:val="20"/>
          <w:szCs w:val="20"/>
          <w:color w:val="auto"/>
        </w:rPr>
      </w:pPr>
      <w:r>
        <w:rPr>
          <w:rFonts w:ascii="Arial" w:cs="Arial" w:eastAsia="Arial" w:hAnsi="Arial"/>
          <w:sz w:val="18"/>
          <w:szCs w:val="18"/>
          <w:color w:val="auto"/>
        </w:rPr>
        <w:t>The following table presents aggregate fees billed to the Company for services rendered by Deloitte during the years ended December 31, 2019 and 2018:</w:t>
      </w:r>
    </w:p>
    <w:p>
      <w:pPr>
        <w:spacing w:after="0" w:line="212" w:lineRule="exact"/>
        <w:rPr>
          <w:sz w:val="20"/>
          <w:szCs w:val="20"/>
          <w:color w:val="auto"/>
        </w:rPr>
      </w:pPr>
    </w:p>
    <w:tbl>
      <w:tblPr>
        <w:tblLayout w:type="fixed"/>
        <w:tblInd w:w="130" w:type="dxa"/>
        <w:tblCellMar>
          <w:top w:w="0" w:type="dxa"/>
          <w:left w:w="0" w:type="dxa"/>
          <w:bottom w:w="0" w:type="dxa"/>
          <w:right w:w="0" w:type="dxa"/>
        </w:tblCellMar>
      </w:tblPr>
      <w:tr>
        <w:trPr>
          <w:trHeight w:val="202"/>
        </w:trPr>
        <w:tc>
          <w:tcPr>
            <w:tcW w:w="8040" w:type="dxa"/>
            <w:vAlign w:val="bottom"/>
            <w:tcBorders>
              <w:left w:val="single" w:sz="8" w:color="5EB5FC"/>
              <w:bottom w:val="single" w:sz="8" w:color="5EB5FC"/>
              <w:right w:val="single" w:sz="8" w:color="5EB5FC"/>
            </w:tcBorders>
            <w:shd w:val="clear" w:color="auto" w:fill="5EB5FC"/>
          </w:tcPr>
          <w:p>
            <w:pPr>
              <w:spacing w:after="0"/>
              <w:rPr>
                <w:sz w:val="17"/>
                <w:szCs w:val="17"/>
                <w:color w:val="auto"/>
              </w:rPr>
            </w:pPr>
          </w:p>
        </w:tc>
        <w:tc>
          <w:tcPr>
            <w:tcW w:w="500" w:type="dxa"/>
            <w:vAlign w:val="bottom"/>
            <w:tcBorders>
              <w:bottom w:val="single" w:sz="8" w:color="5EB5FC"/>
            </w:tcBorders>
            <w:shd w:val="clear" w:color="auto" w:fill="5EB5FC"/>
          </w:tcPr>
          <w:p>
            <w:pPr>
              <w:spacing w:after="0"/>
              <w:rPr>
                <w:sz w:val="17"/>
                <w:szCs w:val="17"/>
                <w:color w:val="auto"/>
              </w:rPr>
            </w:pPr>
          </w:p>
        </w:tc>
        <w:tc>
          <w:tcPr>
            <w:tcW w:w="2480" w:type="dxa"/>
            <w:vAlign w:val="bottom"/>
            <w:tcBorders>
              <w:bottom w:val="single" w:sz="8" w:color="5EB5FC"/>
            </w:tcBorders>
            <w:gridSpan w:val="3"/>
            <w:shd w:val="clear" w:color="auto" w:fill="5EB5FC"/>
          </w:tcPr>
          <w:p>
            <w:pPr>
              <w:jc w:val="right"/>
              <w:ind w:right="513"/>
              <w:spacing w:after="0"/>
              <w:rPr>
                <w:sz w:val="20"/>
                <w:szCs w:val="20"/>
                <w:color w:val="auto"/>
              </w:rPr>
            </w:pPr>
            <w:r>
              <w:rPr>
                <w:rFonts w:ascii="Arial" w:cs="Arial" w:eastAsia="Arial" w:hAnsi="Arial"/>
                <w:sz w:val="14"/>
                <w:szCs w:val="14"/>
                <w:b w:val="1"/>
                <w:bCs w:val="1"/>
                <w:color w:val="FFFFFF"/>
              </w:rPr>
              <w:t>Year Ended December 31,</w:t>
            </w:r>
          </w:p>
        </w:tc>
        <w:tc>
          <w:tcPr>
            <w:tcW w:w="20" w:type="dxa"/>
            <w:vAlign w:val="bottom"/>
            <w:tcBorders>
              <w:bottom w:val="single" w:sz="8" w:color="5EB5FC"/>
            </w:tcBorders>
          </w:tcPr>
          <w:p>
            <w:pPr>
              <w:spacing w:after="0"/>
              <w:rPr>
                <w:sz w:val="17"/>
                <w:szCs w:val="17"/>
                <w:color w:val="auto"/>
              </w:rPr>
            </w:pPr>
          </w:p>
        </w:tc>
        <w:tc>
          <w:tcPr>
            <w:tcW w:w="0" w:type="dxa"/>
            <w:vAlign w:val="bottom"/>
          </w:tcPr>
          <w:p>
            <w:pPr>
              <w:spacing w:after="0"/>
              <w:rPr>
                <w:sz w:val="1"/>
                <w:szCs w:val="1"/>
                <w:color w:val="auto"/>
              </w:rPr>
            </w:pPr>
          </w:p>
        </w:tc>
      </w:tr>
      <w:tr>
        <w:trPr>
          <w:trHeight w:val="34"/>
        </w:trPr>
        <w:tc>
          <w:tcPr>
            <w:tcW w:w="8040" w:type="dxa"/>
            <w:vAlign w:val="bottom"/>
            <w:tcBorders>
              <w:left w:val="single" w:sz="8" w:color="5EB5FC"/>
              <w:right w:val="single" w:sz="8" w:color="5EB5FC"/>
            </w:tcBorders>
            <w:shd w:val="clear" w:color="auto" w:fill="5EB5FC"/>
          </w:tcPr>
          <w:p>
            <w:pPr>
              <w:spacing w:after="0"/>
              <w:rPr>
                <w:sz w:val="2"/>
                <w:szCs w:val="2"/>
                <w:color w:val="auto"/>
              </w:rPr>
            </w:pPr>
          </w:p>
        </w:tc>
        <w:tc>
          <w:tcPr>
            <w:tcW w:w="500" w:type="dxa"/>
            <w:vAlign w:val="bottom"/>
            <w:shd w:val="clear" w:color="auto" w:fill="5EB5FC"/>
          </w:tcPr>
          <w:p>
            <w:pPr>
              <w:spacing w:after="0"/>
              <w:rPr>
                <w:sz w:val="2"/>
                <w:szCs w:val="2"/>
                <w:color w:val="auto"/>
              </w:rPr>
            </w:pPr>
          </w:p>
        </w:tc>
        <w:tc>
          <w:tcPr>
            <w:tcW w:w="940" w:type="dxa"/>
            <w:vAlign w:val="bottom"/>
            <w:tcBorders>
              <w:right w:val="single" w:sz="8" w:color="5EB5FC"/>
            </w:tcBorders>
            <w:vMerge w:val="restart"/>
            <w:shd w:val="clear" w:color="auto" w:fill="5EB5FC"/>
          </w:tcPr>
          <w:p>
            <w:pPr>
              <w:jc w:val="right"/>
              <w:ind w:right="395"/>
              <w:spacing w:after="0"/>
              <w:rPr>
                <w:sz w:val="20"/>
                <w:szCs w:val="20"/>
                <w:color w:val="auto"/>
              </w:rPr>
            </w:pPr>
            <w:r>
              <w:rPr>
                <w:rFonts w:ascii="Arial" w:cs="Arial" w:eastAsia="Arial" w:hAnsi="Arial"/>
                <w:sz w:val="14"/>
                <w:szCs w:val="14"/>
                <w:b w:val="1"/>
                <w:bCs w:val="1"/>
                <w:color w:val="FFFFFF"/>
              </w:rPr>
              <w:t>2019</w:t>
            </w:r>
          </w:p>
        </w:tc>
        <w:tc>
          <w:tcPr>
            <w:tcW w:w="600" w:type="dxa"/>
            <w:vAlign w:val="bottom"/>
            <w:shd w:val="clear" w:color="auto" w:fill="5EB5FC"/>
          </w:tcPr>
          <w:p>
            <w:pPr>
              <w:spacing w:after="0"/>
              <w:rPr>
                <w:sz w:val="2"/>
                <w:szCs w:val="2"/>
                <w:color w:val="auto"/>
              </w:rPr>
            </w:pPr>
          </w:p>
        </w:tc>
        <w:tc>
          <w:tcPr>
            <w:tcW w:w="940" w:type="dxa"/>
            <w:vAlign w:val="bottom"/>
            <w:vMerge w:val="restart"/>
            <w:shd w:val="clear" w:color="auto" w:fill="5EB5FC"/>
          </w:tcPr>
          <w:p>
            <w:pPr>
              <w:jc w:val="right"/>
              <w:ind w:right="393"/>
              <w:spacing w:after="0"/>
              <w:rPr>
                <w:sz w:val="20"/>
                <w:szCs w:val="20"/>
                <w:color w:val="auto"/>
              </w:rPr>
            </w:pPr>
            <w:r>
              <w:rPr>
                <w:rFonts w:ascii="Arial" w:cs="Arial" w:eastAsia="Arial" w:hAnsi="Arial"/>
                <w:sz w:val="14"/>
                <w:szCs w:val="14"/>
                <w:b w:val="1"/>
                <w:bCs w:val="1"/>
                <w:color w:val="FFFFFF"/>
              </w:rPr>
              <w:t>2018</w:t>
            </w: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8040" w:type="dxa"/>
            <w:vAlign w:val="bottom"/>
            <w:tcBorders>
              <w:left w:val="single" w:sz="8" w:color="5EB5FC"/>
              <w:bottom w:val="single" w:sz="8" w:color="5EB5FC"/>
              <w:right w:val="single" w:sz="8" w:color="5EB5FC"/>
            </w:tcBorders>
            <w:shd w:val="clear" w:color="auto" w:fill="5EB5FC"/>
          </w:tcPr>
          <w:p>
            <w:pPr>
              <w:spacing w:after="0"/>
              <w:rPr>
                <w:sz w:val="15"/>
                <w:szCs w:val="15"/>
                <w:color w:val="auto"/>
              </w:rPr>
            </w:pPr>
          </w:p>
        </w:tc>
        <w:tc>
          <w:tcPr>
            <w:tcW w:w="500" w:type="dxa"/>
            <w:vAlign w:val="bottom"/>
            <w:tcBorders>
              <w:bottom w:val="single" w:sz="8" w:color="5EB5FC"/>
            </w:tcBorders>
            <w:shd w:val="clear" w:color="auto" w:fill="5EB5FC"/>
          </w:tcPr>
          <w:p>
            <w:pPr>
              <w:spacing w:after="0"/>
              <w:rPr>
                <w:sz w:val="15"/>
                <w:szCs w:val="15"/>
                <w:color w:val="auto"/>
              </w:rPr>
            </w:pPr>
          </w:p>
        </w:tc>
        <w:tc>
          <w:tcPr>
            <w:tcW w:w="940" w:type="dxa"/>
            <w:vAlign w:val="bottom"/>
            <w:tcBorders>
              <w:bottom w:val="single" w:sz="8" w:color="5EB5FC"/>
              <w:right w:val="single" w:sz="8" w:color="5EB5FC"/>
            </w:tcBorders>
            <w:vMerge w:val="continue"/>
            <w:shd w:val="clear" w:color="auto" w:fill="5EB5FC"/>
          </w:tcPr>
          <w:p>
            <w:pPr>
              <w:spacing w:after="0"/>
              <w:rPr>
                <w:sz w:val="15"/>
                <w:szCs w:val="15"/>
                <w:color w:val="auto"/>
              </w:rPr>
            </w:pPr>
          </w:p>
        </w:tc>
        <w:tc>
          <w:tcPr>
            <w:tcW w:w="600" w:type="dxa"/>
            <w:vAlign w:val="bottom"/>
            <w:tcBorders>
              <w:bottom w:val="single" w:sz="8" w:color="5EB5FC"/>
            </w:tcBorders>
            <w:shd w:val="clear" w:color="auto" w:fill="5EB5FC"/>
          </w:tcPr>
          <w:p>
            <w:pPr>
              <w:spacing w:after="0"/>
              <w:rPr>
                <w:sz w:val="15"/>
                <w:szCs w:val="15"/>
                <w:color w:val="auto"/>
              </w:rPr>
            </w:pPr>
          </w:p>
        </w:tc>
        <w:tc>
          <w:tcPr>
            <w:tcW w:w="940" w:type="dxa"/>
            <w:vAlign w:val="bottom"/>
            <w:tcBorders>
              <w:bottom w:val="single" w:sz="8" w:color="5EB5FC"/>
            </w:tcBorders>
            <w:vMerge w:val="continue"/>
            <w:shd w:val="clear" w:color="auto" w:fill="5EB5FC"/>
          </w:tcPr>
          <w:p>
            <w:pPr>
              <w:spacing w:after="0"/>
              <w:rPr>
                <w:sz w:val="15"/>
                <w:szCs w:val="15"/>
                <w:color w:val="auto"/>
              </w:rPr>
            </w:pPr>
          </w:p>
        </w:tc>
        <w:tc>
          <w:tcPr>
            <w:tcW w:w="20" w:type="dxa"/>
            <w:vAlign w:val="bottom"/>
            <w:tcBorders>
              <w:bottom w:val="single" w:sz="8" w:color="5EB5FC"/>
            </w:tcBorders>
            <w:shd w:val="clear" w:color="auto" w:fill="5EB5FC"/>
          </w:tcPr>
          <w:p>
            <w:pPr>
              <w:spacing w:after="0"/>
              <w:rPr>
                <w:sz w:val="15"/>
                <w:szCs w:val="15"/>
                <w:color w:val="auto"/>
              </w:rPr>
            </w:pPr>
          </w:p>
        </w:tc>
        <w:tc>
          <w:tcPr>
            <w:tcW w:w="0" w:type="dxa"/>
            <w:vAlign w:val="bottom"/>
          </w:tcPr>
          <w:p>
            <w:pPr>
              <w:spacing w:after="0"/>
              <w:rPr>
                <w:sz w:val="1"/>
                <w:szCs w:val="1"/>
                <w:color w:val="auto"/>
              </w:rPr>
            </w:pPr>
          </w:p>
        </w:tc>
      </w:tr>
      <w:tr>
        <w:trPr>
          <w:trHeight w:val="302"/>
        </w:trPr>
        <w:tc>
          <w:tcPr>
            <w:tcW w:w="8040" w:type="dxa"/>
            <w:vAlign w:val="bottom"/>
            <w:tcBorders>
              <w:left w:val="single" w:sz="8" w:color="A0DBF9"/>
              <w:bottom w:val="single" w:sz="8" w:color="E2F4FC"/>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rPr>
              <w:t>Audit fees</w:t>
            </w:r>
            <w:r>
              <w:rPr>
                <w:rFonts w:ascii="Arial" w:cs="Arial" w:eastAsia="Arial" w:hAnsi="Arial"/>
                <w:sz w:val="15"/>
                <w:szCs w:val="15"/>
                <w:color w:val="auto"/>
              </w:rPr>
              <w:t>(1)</w:t>
            </w:r>
          </w:p>
        </w:tc>
        <w:tc>
          <w:tcPr>
            <w:tcW w:w="500" w:type="dxa"/>
            <w:vAlign w:val="bottom"/>
            <w:tcBorders>
              <w:bottom w:val="single" w:sz="8" w:color="E2F4FC"/>
            </w:tcBorders>
            <w:shd w:val="clear" w:color="auto" w:fill="E2F4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F4FC"/>
              <w:right w:val="single" w:sz="8" w:color="A0DBF9"/>
            </w:tcBorders>
            <w:shd w:val="clear" w:color="auto" w:fill="E2F4FC"/>
          </w:tcPr>
          <w:p>
            <w:pPr>
              <w:jc w:val="right"/>
              <w:ind w:right="35"/>
              <w:spacing w:after="0"/>
              <w:rPr>
                <w:sz w:val="20"/>
                <w:szCs w:val="20"/>
                <w:color w:val="auto"/>
              </w:rPr>
            </w:pPr>
            <w:r>
              <w:rPr>
                <w:rFonts w:ascii="Arial" w:cs="Arial" w:eastAsia="Arial" w:hAnsi="Arial"/>
                <w:sz w:val="18"/>
                <w:szCs w:val="18"/>
                <w:color w:val="auto"/>
                <w:w w:val="99"/>
              </w:rPr>
              <w:t>1,345,000</w:t>
            </w:r>
          </w:p>
        </w:tc>
        <w:tc>
          <w:tcPr>
            <w:tcW w:w="600" w:type="dxa"/>
            <w:vAlign w:val="bottom"/>
            <w:tcBorders>
              <w:bottom w:val="single" w:sz="8" w:color="E2F4FC"/>
            </w:tcBorders>
            <w:shd w:val="clear" w:color="auto" w:fill="E2F4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F4FC"/>
            </w:tcBorders>
            <w:shd w:val="clear" w:color="auto" w:fill="E2F4FC"/>
          </w:tcPr>
          <w:p>
            <w:pPr>
              <w:jc w:val="right"/>
              <w:ind w:right="33"/>
              <w:spacing w:after="0"/>
              <w:rPr>
                <w:sz w:val="20"/>
                <w:szCs w:val="20"/>
                <w:color w:val="auto"/>
              </w:rPr>
            </w:pPr>
            <w:r>
              <w:rPr>
                <w:rFonts w:ascii="Arial" w:cs="Arial" w:eastAsia="Arial" w:hAnsi="Arial"/>
                <w:sz w:val="18"/>
                <w:szCs w:val="18"/>
                <w:color w:val="auto"/>
                <w:w w:val="99"/>
              </w:rPr>
              <w:t>1,331,500</w:t>
            </w:r>
          </w:p>
        </w:tc>
        <w:tc>
          <w:tcPr>
            <w:tcW w:w="20" w:type="dxa"/>
            <w:vAlign w:val="bottom"/>
            <w:tcBorders>
              <w:bottom w:val="single" w:sz="8" w:color="A0DBF9"/>
            </w:tcBorders>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40" w:type="dxa"/>
            <w:vAlign w:val="bottom"/>
            <w:tcBorders>
              <w:top w:val="single" w:sz="8" w:color="A0DBF9"/>
              <w:left w:val="single" w:sz="8" w:color="A0DBF9"/>
              <w:right w:val="single" w:sz="8" w:color="A0DBF9"/>
            </w:tcBorders>
          </w:tcPr>
          <w:p>
            <w:pPr>
              <w:ind w:left="160"/>
              <w:spacing w:after="0"/>
              <w:rPr>
                <w:sz w:val="20"/>
                <w:szCs w:val="20"/>
                <w:color w:val="auto"/>
              </w:rPr>
            </w:pPr>
            <w:r>
              <w:rPr>
                <w:rFonts w:ascii="Arial" w:cs="Arial" w:eastAsia="Arial" w:hAnsi="Arial"/>
                <w:sz w:val="18"/>
                <w:szCs w:val="18"/>
                <w:color w:val="auto"/>
              </w:rPr>
              <w:t>Audit-related fees</w:t>
            </w:r>
            <w:r>
              <w:rPr>
                <w:rFonts w:ascii="Arial" w:cs="Arial" w:eastAsia="Arial" w:hAnsi="Arial"/>
                <w:sz w:val="15"/>
                <w:szCs w:val="15"/>
                <w:color w:val="auto"/>
              </w:rPr>
              <w:t>(2)</w:t>
            </w:r>
          </w:p>
        </w:tc>
        <w:tc>
          <w:tcPr>
            <w:tcW w:w="500" w:type="dxa"/>
            <w:vAlign w:val="bottom"/>
            <w:tcBorders>
              <w:top w:val="single" w:sz="8" w:color="A0DBF9"/>
            </w:tcBorders>
          </w:tcPr>
          <w:p>
            <w:pPr>
              <w:spacing w:after="0"/>
              <w:rPr>
                <w:sz w:val="19"/>
                <w:szCs w:val="19"/>
                <w:color w:val="auto"/>
              </w:rPr>
            </w:pPr>
          </w:p>
        </w:tc>
        <w:tc>
          <w:tcPr>
            <w:tcW w:w="940" w:type="dxa"/>
            <w:vAlign w:val="bottom"/>
            <w:tcBorders>
              <w:top w:val="single" w:sz="8" w:color="A0DBF9"/>
              <w:right w:val="single" w:sz="8" w:color="A0DBF9"/>
            </w:tcBorders>
          </w:tcPr>
          <w:p>
            <w:pPr>
              <w:jc w:val="right"/>
              <w:ind w:right="35"/>
              <w:spacing w:after="0"/>
              <w:rPr>
                <w:sz w:val="20"/>
                <w:szCs w:val="20"/>
                <w:color w:val="auto"/>
              </w:rPr>
            </w:pPr>
            <w:r>
              <w:rPr>
                <w:rFonts w:ascii="Arial" w:cs="Arial" w:eastAsia="Arial" w:hAnsi="Arial"/>
                <w:sz w:val="18"/>
                <w:szCs w:val="18"/>
                <w:color w:val="auto"/>
              </w:rPr>
              <w:t>145,227</w:t>
            </w:r>
          </w:p>
        </w:tc>
        <w:tc>
          <w:tcPr>
            <w:tcW w:w="600" w:type="dxa"/>
            <w:vAlign w:val="bottom"/>
            <w:tcBorders>
              <w:top w:val="single" w:sz="8" w:color="A0DBF9"/>
            </w:tcBorders>
          </w:tcPr>
          <w:p>
            <w:pPr>
              <w:spacing w:after="0"/>
              <w:rPr>
                <w:sz w:val="19"/>
                <w:szCs w:val="19"/>
                <w:color w:val="auto"/>
              </w:rPr>
            </w:pPr>
          </w:p>
        </w:tc>
        <w:tc>
          <w:tcPr>
            <w:tcW w:w="940" w:type="dxa"/>
            <w:vAlign w:val="bottom"/>
            <w:tcBorders>
              <w:top w:val="single" w:sz="8" w:color="A0DBF9"/>
            </w:tcBorders>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0DBF9"/>
            </w:tcBorders>
            <w:shd w:val="clear" w:color="auto" w:fill="A0DBF9"/>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8040" w:type="dxa"/>
            <w:vAlign w:val="bottom"/>
            <w:tcBorders>
              <w:left w:val="single" w:sz="8" w:color="A0DBF9"/>
              <w:bottom w:val="single" w:sz="8" w:color="A0DBF9"/>
              <w:right w:val="single" w:sz="8" w:color="A0DBF9"/>
            </w:tcBorders>
          </w:tcPr>
          <w:p>
            <w:pPr>
              <w:spacing w:after="0"/>
              <w:rPr>
                <w:sz w:val="4"/>
                <w:szCs w:val="4"/>
                <w:color w:val="auto"/>
              </w:rPr>
            </w:pPr>
          </w:p>
        </w:tc>
        <w:tc>
          <w:tcPr>
            <w:tcW w:w="500" w:type="dxa"/>
            <w:vAlign w:val="bottom"/>
            <w:tcBorders>
              <w:bottom w:val="single" w:sz="8" w:color="A0DBF9"/>
            </w:tcBorders>
          </w:tcPr>
          <w:p>
            <w:pPr>
              <w:spacing w:after="0"/>
              <w:rPr>
                <w:sz w:val="4"/>
                <w:szCs w:val="4"/>
                <w:color w:val="auto"/>
              </w:rPr>
            </w:pPr>
          </w:p>
        </w:tc>
        <w:tc>
          <w:tcPr>
            <w:tcW w:w="940" w:type="dxa"/>
            <w:vAlign w:val="bottom"/>
            <w:tcBorders>
              <w:bottom w:val="single" w:sz="8" w:color="A0DBF9"/>
              <w:right w:val="single" w:sz="8" w:color="A0DBF9"/>
            </w:tcBorders>
          </w:tcPr>
          <w:p>
            <w:pPr>
              <w:spacing w:after="0"/>
              <w:rPr>
                <w:sz w:val="4"/>
                <w:szCs w:val="4"/>
                <w:color w:val="auto"/>
              </w:rPr>
            </w:pPr>
          </w:p>
        </w:tc>
        <w:tc>
          <w:tcPr>
            <w:tcW w:w="600" w:type="dxa"/>
            <w:vAlign w:val="bottom"/>
            <w:tcBorders>
              <w:bottom w:val="single" w:sz="8" w:color="A0DBF9"/>
            </w:tcBorders>
          </w:tcPr>
          <w:p>
            <w:pPr>
              <w:spacing w:after="0"/>
              <w:rPr>
                <w:sz w:val="4"/>
                <w:szCs w:val="4"/>
                <w:color w:val="auto"/>
              </w:rPr>
            </w:pPr>
          </w:p>
        </w:tc>
        <w:tc>
          <w:tcPr>
            <w:tcW w:w="94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82"/>
        </w:trPr>
        <w:tc>
          <w:tcPr>
            <w:tcW w:w="8040" w:type="dxa"/>
            <w:vAlign w:val="bottom"/>
            <w:tcBorders>
              <w:left w:val="single" w:sz="8" w:color="A0DBF9"/>
              <w:bottom w:val="single" w:sz="8" w:color="E2F4FC"/>
              <w:right w:val="single" w:sz="8" w:color="A0DBF9"/>
            </w:tcBorders>
            <w:shd w:val="clear" w:color="auto" w:fill="E2F4FC"/>
          </w:tcPr>
          <w:p>
            <w:pPr>
              <w:ind w:left="160"/>
              <w:spacing w:after="0"/>
              <w:rPr>
                <w:sz w:val="20"/>
                <w:szCs w:val="20"/>
                <w:color w:val="auto"/>
              </w:rPr>
            </w:pPr>
            <w:r>
              <w:rPr>
                <w:rFonts w:ascii="Arial" w:cs="Arial" w:eastAsia="Arial" w:hAnsi="Arial"/>
                <w:sz w:val="18"/>
                <w:szCs w:val="18"/>
                <w:color w:val="auto"/>
              </w:rPr>
              <w:t>Tax fees</w:t>
            </w:r>
            <w:r>
              <w:rPr>
                <w:rFonts w:ascii="Arial" w:cs="Arial" w:eastAsia="Arial" w:hAnsi="Arial"/>
                <w:sz w:val="15"/>
                <w:szCs w:val="15"/>
                <w:color w:val="auto"/>
              </w:rPr>
              <w:t>(3)</w:t>
            </w:r>
          </w:p>
        </w:tc>
        <w:tc>
          <w:tcPr>
            <w:tcW w:w="500" w:type="dxa"/>
            <w:vAlign w:val="bottom"/>
            <w:tcBorders>
              <w:bottom w:val="single" w:sz="8" w:color="E2F4FC"/>
            </w:tcBorders>
            <w:shd w:val="clear" w:color="auto" w:fill="E2F4FC"/>
          </w:tcPr>
          <w:p>
            <w:pPr>
              <w:spacing w:after="0"/>
              <w:rPr>
                <w:sz w:val="24"/>
                <w:szCs w:val="24"/>
                <w:color w:val="auto"/>
              </w:rPr>
            </w:pPr>
          </w:p>
        </w:tc>
        <w:tc>
          <w:tcPr>
            <w:tcW w:w="940" w:type="dxa"/>
            <w:vAlign w:val="bottom"/>
            <w:tcBorders>
              <w:bottom w:val="single" w:sz="8" w:color="E2F4FC"/>
              <w:right w:val="single" w:sz="8" w:color="A0DBF9"/>
            </w:tcBorders>
            <w:shd w:val="clear" w:color="auto" w:fill="E2F4FC"/>
          </w:tcPr>
          <w:p>
            <w:pPr>
              <w:jc w:val="right"/>
              <w:ind w:right="135"/>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E2F4FC"/>
            </w:tcBorders>
            <w:shd w:val="clear" w:color="auto" w:fill="E2F4FC"/>
          </w:tcPr>
          <w:p>
            <w:pPr>
              <w:spacing w:after="0"/>
              <w:rPr>
                <w:sz w:val="24"/>
                <w:szCs w:val="24"/>
                <w:color w:val="auto"/>
              </w:rPr>
            </w:pPr>
          </w:p>
        </w:tc>
        <w:tc>
          <w:tcPr>
            <w:tcW w:w="940" w:type="dxa"/>
            <w:vAlign w:val="bottom"/>
            <w:tcBorders>
              <w:bottom w:val="single" w:sz="8" w:color="E2F4FC"/>
            </w:tcBorders>
            <w:shd w:val="clear" w:color="auto" w:fill="E2F4FC"/>
          </w:tcPr>
          <w:p>
            <w:pPr>
              <w:jc w:val="right"/>
              <w:ind w:right="113"/>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0DBF9"/>
            </w:tcBorders>
            <w:shd w:val="clear" w:color="auto" w:fill="A0DBF9"/>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8040" w:type="dxa"/>
            <w:vAlign w:val="bottom"/>
            <w:tcBorders>
              <w:top w:val="single" w:sz="8" w:color="A0DBF9"/>
              <w:left w:val="single" w:sz="8" w:color="A0DBF9"/>
              <w:right w:val="single" w:sz="8" w:color="A0DBF9"/>
            </w:tcBorders>
          </w:tcPr>
          <w:p>
            <w:pPr>
              <w:ind w:left="160"/>
              <w:spacing w:after="0"/>
              <w:rPr>
                <w:sz w:val="20"/>
                <w:szCs w:val="20"/>
                <w:color w:val="auto"/>
              </w:rPr>
            </w:pPr>
            <w:r>
              <w:rPr>
                <w:rFonts w:ascii="Arial" w:cs="Arial" w:eastAsia="Arial" w:hAnsi="Arial"/>
                <w:sz w:val="18"/>
                <w:szCs w:val="18"/>
                <w:color w:val="auto"/>
              </w:rPr>
              <w:t>All other fees</w:t>
            </w:r>
            <w:r>
              <w:rPr>
                <w:rFonts w:ascii="Arial" w:cs="Arial" w:eastAsia="Arial" w:hAnsi="Arial"/>
                <w:sz w:val="15"/>
                <w:szCs w:val="15"/>
                <w:color w:val="auto"/>
              </w:rPr>
              <w:t>(4)</w:t>
            </w:r>
          </w:p>
        </w:tc>
        <w:tc>
          <w:tcPr>
            <w:tcW w:w="500" w:type="dxa"/>
            <w:vAlign w:val="bottom"/>
            <w:tcBorders>
              <w:top w:val="single" w:sz="8" w:color="A0DBF9"/>
            </w:tcBorders>
          </w:tcPr>
          <w:p>
            <w:pPr>
              <w:spacing w:after="0"/>
              <w:rPr>
                <w:sz w:val="19"/>
                <w:szCs w:val="19"/>
                <w:color w:val="auto"/>
              </w:rPr>
            </w:pPr>
          </w:p>
        </w:tc>
        <w:tc>
          <w:tcPr>
            <w:tcW w:w="940" w:type="dxa"/>
            <w:vAlign w:val="bottom"/>
            <w:tcBorders>
              <w:top w:val="single" w:sz="8" w:color="A0DBF9"/>
              <w:right w:val="single" w:sz="8" w:color="A0DBF9"/>
            </w:tcBorders>
          </w:tcPr>
          <w:p>
            <w:pPr>
              <w:jc w:val="right"/>
              <w:ind w:right="35"/>
              <w:spacing w:after="0"/>
              <w:rPr>
                <w:sz w:val="20"/>
                <w:szCs w:val="20"/>
                <w:color w:val="auto"/>
              </w:rPr>
            </w:pPr>
            <w:r>
              <w:rPr>
                <w:rFonts w:ascii="Arial" w:cs="Arial" w:eastAsia="Arial" w:hAnsi="Arial"/>
                <w:sz w:val="18"/>
                <w:szCs w:val="18"/>
                <w:color w:val="auto"/>
              </w:rPr>
              <w:t>1,895</w:t>
            </w:r>
          </w:p>
        </w:tc>
        <w:tc>
          <w:tcPr>
            <w:tcW w:w="600" w:type="dxa"/>
            <w:vAlign w:val="bottom"/>
            <w:tcBorders>
              <w:top w:val="single" w:sz="8" w:color="A0DBF9"/>
            </w:tcBorders>
          </w:tcPr>
          <w:p>
            <w:pPr>
              <w:spacing w:after="0"/>
              <w:rPr>
                <w:sz w:val="19"/>
                <w:szCs w:val="19"/>
                <w:color w:val="auto"/>
              </w:rPr>
            </w:pPr>
          </w:p>
        </w:tc>
        <w:tc>
          <w:tcPr>
            <w:tcW w:w="940" w:type="dxa"/>
            <w:vAlign w:val="bottom"/>
            <w:tcBorders>
              <w:top w:val="single" w:sz="8" w:color="A0DBF9"/>
            </w:tcBorders>
          </w:tcPr>
          <w:p>
            <w:pPr>
              <w:jc w:val="right"/>
              <w:ind w:right="33"/>
              <w:spacing w:after="0"/>
              <w:rPr>
                <w:sz w:val="20"/>
                <w:szCs w:val="20"/>
                <w:color w:val="auto"/>
              </w:rPr>
            </w:pPr>
            <w:r>
              <w:rPr>
                <w:rFonts w:ascii="Arial" w:cs="Arial" w:eastAsia="Arial" w:hAnsi="Arial"/>
                <w:sz w:val="18"/>
                <w:szCs w:val="18"/>
                <w:color w:val="auto"/>
              </w:rPr>
              <w:t>2,615</w:t>
            </w:r>
          </w:p>
        </w:tc>
        <w:tc>
          <w:tcPr>
            <w:tcW w:w="20" w:type="dxa"/>
            <w:vAlign w:val="bottom"/>
            <w:tcBorders>
              <w:top w:val="single" w:sz="8" w:color="A0DBF9"/>
            </w:tcBorders>
            <w:shd w:val="clear" w:color="auto" w:fill="A0DBF9"/>
          </w:tcPr>
          <w:p>
            <w:pPr>
              <w:spacing w:after="0"/>
              <w:rPr>
                <w:sz w:val="19"/>
                <w:szCs w:val="19"/>
                <w:color w:val="auto"/>
              </w:rPr>
            </w:pPr>
          </w:p>
        </w:tc>
        <w:tc>
          <w:tcPr>
            <w:tcW w:w="0" w:type="dxa"/>
            <w:vAlign w:val="bottom"/>
          </w:tcPr>
          <w:p>
            <w:pPr>
              <w:spacing w:after="0"/>
              <w:rPr>
                <w:sz w:val="1"/>
                <w:szCs w:val="1"/>
                <w:color w:val="auto"/>
              </w:rPr>
            </w:pPr>
          </w:p>
        </w:tc>
      </w:tr>
      <w:tr>
        <w:trPr>
          <w:trHeight w:val="53"/>
        </w:trPr>
        <w:tc>
          <w:tcPr>
            <w:tcW w:w="8040" w:type="dxa"/>
            <w:vAlign w:val="bottom"/>
            <w:tcBorders>
              <w:left w:val="single" w:sz="8" w:color="A0DBF9"/>
              <w:bottom w:val="single" w:sz="8" w:color="A0DBF9"/>
              <w:right w:val="single" w:sz="8" w:color="A0DBF9"/>
            </w:tcBorders>
          </w:tcPr>
          <w:p>
            <w:pPr>
              <w:spacing w:after="0"/>
              <w:rPr>
                <w:sz w:val="4"/>
                <w:szCs w:val="4"/>
                <w:color w:val="auto"/>
              </w:rPr>
            </w:pPr>
          </w:p>
        </w:tc>
        <w:tc>
          <w:tcPr>
            <w:tcW w:w="500" w:type="dxa"/>
            <w:vAlign w:val="bottom"/>
            <w:tcBorders>
              <w:bottom w:val="single" w:sz="8" w:color="A0DBF9"/>
            </w:tcBorders>
          </w:tcPr>
          <w:p>
            <w:pPr>
              <w:spacing w:after="0"/>
              <w:rPr>
                <w:sz w:val="4"/>
                <w:szCs w:val="4"/>
                <w:color w:val="auto"/>
              </w:rPr>
            </w:pPr>
          </w:p>
        </w:tc>
        <w:tc>
          <w:tcPr>
            <w:tcW w:w="940" w:type="dxa"/>
            <w:vAlign w:val="bottom"/>
            <w:tcBorders>
              <w:bottom w:val="single" w:sz="8" w:color="A0DBF9"/>
              <w:right w:val="single" w:sz="8" w:color="A0DBF9"/>
            </w:tcBorders>
          </w:tcPr>
          <w:p>
            <w:pPr>
              <w:spacing w:after="0"/>
              <w:rPr>
                <w:sz w:val="4"/>
                <w:szCs w:val="4"/>
                <w:color w:val="auto"/>
              </w:rPr>
            </w:pPr>
          </w:p>
        </w:tc>
        <w:tc>
          <w:tcPr>
            <w:tcW w:w="600" w:type="dxa"/>
            <w:vAlign w:val="bottom"/>
            <w:tcBorders>
              <w:bottom w:val="single" w:sz="8" w:color="A0DBF9"/>
            </w:tcBorders>
          </w:tcPr>
          <w:p>
            <w:pPr>
              <w:spacing w:after="0"/>
              <w:rPr>
                <w:sz w:val="4"/>
                <w:szCs w:val="4"/>
                <w:color w:val="auto"/>
              </w:rPr>
            </w:pPr>
          </w:p>
        </w:tc>
        <w:tc>
          <w:tcPr>
            <w:tcW w:w="940" w:type="dxa"/>
            <w:vAlign w:val="bottom"/>
            <w:tcBorders>
              <w:bottom w:val="single" w:sz="8" w:color="A0DBF9"/>
            </w:tcBorders>
          </w:tcPr>
          <w:p>
            <w:pPr>
              <w:spacing w:after="0"/>
              <w:rPr>
                <w:sz w:val="4"/>
                <w:szCs w:val="4"/>
                <w:color w:val="auto"/>
              </w:rPr>
            </w:pPr>
          </w:p>
        </w:tc>
        <w:tc>
          <w:tcPr>
            <w:tcW w:w="20" w:type="dxa"/>
            <w:vAlign w:val="bottom"/>
            <w:tcBorders>
              <w:bottom w:val="single" w:sz="8" w:color="A0DBF9"/>
            </w:tcBorders>
            <w:shd w:val="clear" w:color="auto" w:fill="A0DBF9"/>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8040" w:type="dxa"/>
            <w:vAlign w:val="bottom"/>
            <w:tcBorders>
              <w:left w:val="single" w:sz="8" w:color="A0DBF9"/>
              <w:bottom w:val="single" w:sz="8" w:color="E2F4FC"/>
              <w:right w:val="single" w:sz="8" w:color="A0DBF9"/>
            </w:tcBorders>
            <w:shd w:val="clear" w:color="auto" w:fill="E2F4FC"/>
          </w:tcPr>
          <w:p>
            <w:pPr>
              <w:ind w:left="52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E2F4FC"/>
            </w:tcBorders>
            <w:shd w:val="clear" w:color="auto" w:fill="E2F4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F4FC"/>
              <w:right w:val="single" w:sz="8" w:color="A0DBF9"/>
            </w:tcBorders>
            <w:shd w:val="clear" w:color="auto" w:fill="E2F4FC"/>
          </w:tcPr>
          <w:p>
            <w:pPr>
              <w:jc w:val="right"/>
              <w:ind w:right="35"/>
              <w:spacing w:after="0"/>
              <w:rPr>
                <w:sz w:val="20"/>
                <w:szCs w:val="20"/>
                <w:color w:val="auto"/>
              </w:rPr>
            </w:pPr>
            <w:r>
              <w:rPr>
                <w:rFonts w:ascii="Arial" w:cs="Arial" w:eastAsia="Arial" w:hAnsi="Arial"/>
                <w:sz w:val="18"/>
                <w:szCs w:val="18"/>
                <w:color w:val="auto"/>
                <w:w w:val="99"/>
              </w:rPr>
              <w:t>1,492,122</w:t>
            </w:r>
          </w:p>
        </w:tc>
        <w:tc>
          <w:tcPr>
            <w:tcW w:w="600" w:type="dxa"/>
            <w:vAlign w:val="bottom"/>
            <w:tcBorders>
              <w:bottom w:val="single" w:sz="8" w:color="E2F4FC"/>
            </w:tcBorders>
            <w:shd w:val="clear" w:color="auto" w:fill="E2F4FC"/>
          </w:tcPr>
          <w:p>
            <w:pPr>
              <w:jc w:val="right"/>
              <w:ind w:right="1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E2F4FC"/>
            </w:tcBorders>
            <w:shd w:val="clear" w:color="auto" w:fill="E2F4FC"/>
          </w:tcPr>
          <w:p>
            <w:pPr>
              <w:jc w:val="right"/>
              <w:ind w:right="33"/>
              <w:spacing w:after="0"/>
              <w:rPr>
                <w:sz w:val="20"/>
                <w:szCs w:val="20"/>
                <w:color w:val="auto"/>
              </w:rPr>
            </w:pPr>
            <w:r>
              <w:rPr>
                <w:rFonts w:ascii="Arial" w:cs="Arial" w:eastAsia="Arial" w:hAnsi="Arial"/>
                <w:sz w:val="18"/>
                <w:szCs w:val="18"/>
                <w:color w:val="auto"/>
                <w:w w:val="99"/>
              </w:rPr>
              <w:t>1,334,115</w:t>
            </w:r>
          </w:p>
        </w:tc>
        <w:tc>
          <w:tcPr>
            <w:tcW w:w="20" w:type="dxa"/>
            <w:vAlign w:val="bottom"/>
            <w:tcBorders>
              <w:bottom w:val="single" w:sz="8" w:color="A0DBF9"/>
            </w:tcBorders>
            <w:shd w:val="clear" w:color="auto" w:fill="A0DBF9"/>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040" w:type="dxa"/>
            <w:vAlign w:val="bottom"/>
            <w:tcBorders>
              <w:left w:val="single" w:sz="8" w:color="A0DBF9"/>
              <w:right w:val="single" w:sz="8" w:color="A0DBF9"/>
            </w:tcBorders>
            <w:shd w:val="clear" w:color="auto" w:fill="A0DBF9"/>
          </w:tcPr>
          <w:p>
            <w:pPr>
              <w:spacing w:after="0" w:line="20" w:lineRule="exact"/>
              <w:rPr>
                <w:sz w:val="1"/>
                <w:szCs w:val="1"/>
                <w:color w:val="auto"/>
              </w:rPr>
            </w:pPr>
          </w:p>
        </w:tc>
        <w:tc>
          <w:tcPr>
            <w:tcW w:w="500" w:type="dxa"/>
            <w:vAlign w:val="bottom"/>
            <w:shd w:val="clear" w:color="auto" w:fill="A0DBF9"/>
          </w:tcPr>
          <w:p>
            <w:pPr>
              <w:spacing w:after="0" w:line="20" w:lineRule="exact"/>
              <w:rPr>
                <w:sz w:val="1"/>
                <w:szCs w:val="1"/>
                <w:color w:val="auto"/>
              </w:rPr>
            </w:pPr>
          </w:p>
        </w:tc>
        <w:tc>
          <w:tcPr>
            <w:tcW w:w="940" w:type="dxa"/>
            <w:vAlign w:val="bottom"/>
            <w:tcBorders>
              <w:right w:val="single" w:sz="8" w:color="A0DBF9"/>
            </w:tcBorders>
            <w:shd w:val="clear" w:color="auto" w:fill="A0DBF9"/>
          </w:tcPr>
          <w:p>
            <w:pPr>
              <w:spacing w:after="0" w:line="20" w:lineRule="exact"/>
              <w:rPr>
                <w:sz w:val="1"/>
                <w:szCs w:val="1"/>
                <w:color w:val="auto"/>
              </w:rPr>
            </w:pPr>
          </w:p>
        </w:tc>
        <w:tc>
          <w:tcPr>
            <w:tcW w:w="600" w:type="dxa"/>
            <w:vAlign w:val="bottom"/>
            <w:shd w:val="clear" w:color="auto" w:fill="A0DBF9"/>
          </w:tcPr>
          <w:p>
            <w:pPr>
              <w:spacing w:after="0" w:line="20" w:lineRule="exact"/>
              <w:rPr>
                <w:sz w:val="1"/>
                <w:szCs w:val="1"/>
                <w:color w:val="auto"/>
              </w:rPr>
            </w:pPr>
          </w:p>
        </w:tc>
        <w:tc>
          <w:tcPr>
            <w:tcW w:w="940" w:type="dxa"/>
            <w:vAlign w:val="bottom"/>
            <w:shd w:val="clear" w:color="auto" w:fill="A0DBF9"/>
          </w:tcPr>
          <w:p>
            <w:pPr>
              <w:spacing w:after="0" w:line="20" w:lineRule="exact"/>
              <w:rPr>
                <w:sz w:val="1"/>
                <w:szCs w:val="1"/>
                <w:color w:val="auto"/>
              </w:rPr>
            </w:pPr>
          </w:p>
        </w:tc>
        <w:tc>
          <w:tcPr>
            <w:tcW w:w="20" w:type="dxa"/>
            <w:vAlign w:val="bottom"/>
            <w:shd w:val="clear" w:color="auto" w:fill="A0DBF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-1113790</wp:posOffset>
            </wp:positionV>
            <wp:extent cx="8890" cy="342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34290"/>
                    </a:xfrm>
                    <a:prstGeom prst="rect">
                      <a:avLst/>
                    </a:prstGeom>
                    <a:noFill/>
                  </pic:spPr>
                </pic:pic>
              </a:graphicData>
            </a:graphic>
          </wp:anchor>
        </w:drawing>
      </w:r>
    </w:p>
    <w:p>
      <w:pPr>
        <w:spacing w:after="0" w:line="83" w:lineRule="exact"/>
        <w:rPr>
          <w:sz w:val="20"/>
          <w:szCs w:val="20"/>
          <w:color w:val="auto"/>
        </w:rPr>
      </w:pPr>
    </w:p>
    <w:p>
      <w:pPr>
        <w:jc w:val="both"/>
        <w:ind w:left="540" w:right="120" w:hanging="424"/>
        <w:spacing w:after="0" w:line="244" w:lineRule="auto"/>
        <w:tabs>
          <w:tab w:leader="none" w:pos="540" w:val="left"/>
        </w:tabs>
        <w:numPr>
          <w:ilvl w:val="0"/>
          <w:numId w:val="62"/>
        </w:numPr>
        <w:rPr>
          <w:rFonts w:ascii="Arial" w:cs="Arial" w:eastAsia="Arial" w:hAnsi="Arial"/>
          <w:sz w:val="13"/>
          <w:szCs w:val="13"/>
          <w:color w:val="auto"/>
        </w:rPr>
      </w:pPr>
      <w:r>
        <w:rPr>
          <w:rFonts w:ascii="Arial" w:cs="Arial" w:eastAsia="Arial" w:hAnsi="Arial"/>
          <w:sz w:val="13"/>
          <w:szCs w:val="13"/>
          <w:color w:val="auto"/>
        </w:rPr>
        <w:t>Audit fees are fees related to professional services rendered in connection with the audit of our annual financial statements, the reviews of the interim financial statements included in each of our quarterly reports on Form 10-Q, and other professional services provided by our independent registered public accounting firm in connection with statutory or regulatory filings or engagements. All other fees consist primarily of the reimbursement of expenses associated with completion of services noted above.</w:t>
      </w:r>
    </w:p>
    <w:p>
      <w:pPr>
        <w:spacing w:after="0" w:line="1" w:lineRule="exact"/>
        <w:rPr>
          <w:rFonts w:ascii="Arial" w:cs="Arial" w:eastAsia="Arial" w:hAnsi="Arial"/>
          <w:sz w:val="13"/>
          <w:szCs w:val="13"/>
          <w:color w:val="auto"/>
        </w:rPr>
      </w:pPr>
    </w:p>
    <w:p>
      <w:pPr>
        <w:ind w:left="54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Audit-related fees are fees related to services performed in connection with registration statements filed with the SEC.</w:t>
      </w:r>
    </w:p>
    <w:p>
      <w:pPr>
        <w:ind w:left="540" w:hanging="424"/>
        <w:spacing w:after="0" w:line="221" w:lineRule="auto"/>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Tax fees are fees billed for professional services for tax compliance, tax advice and tax planning services.</w:t>
      </w:r>
    </w:p>
    <w:p>
      <w:pPr>
        <w:ind w:left="540" w:hanging="424"/>
        <w:spacing w:after="0"/>
        <w:tabs>
          <w:tab w:leader="none" w:pos="540" w:val="left"/>
        </w:tabs>
        <w:numPr>
          <w:ilvl w:val="0"/>
          <w:numId w:val="62"/>
        </w:numPr>
        <w:rPr>
          <w:rFonts w:ascii="Arial" w:cs="Arial" w:eastAsia="Arial" w:hAnsi="Arial"/>
          <w:sz w:val="14"/>
          <w:szCs w:val="14"/>
          <w:color w:val="auto"/>
        </w:rPr>
      </w:pPr>
      <w:r>
        <w:rPr>
          <w:rFonts w:ascii="Arial" w:cs="Arial" w:eastAsia="Arial" w:hAnsi="Arial"/>
          <w:sz w:val="14"/>
          <w:szCs w:val="14"/>
          <w:color w:val="auto"/>
        </w:rPr>
        <w:t>All other fees comprised fees billed for professional services relating to regulatory consulting and a software subscription for an accounting and research tool.</w:t>
      </w:r>
    </w:p>
    <w:p>
      <w:pPr>
        <w:spacing w:after="0" w:line="300"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Audit Committee Pre-Approval Policies</w:t>
      </w:r>
    </w:p>
    <w:p>
      <w:pPr>
        <w:spacing w:after="0" w:line="121" w:lineRule="exact"/>
        <w:rPr>
          <w:sz w:val="20"/>
          <w:szCs w:val="20"/>
          <w:color w:val="auto"/>
        </w:rPr>
      </w:pPr>
    </w:p>
    <w:p>
      <w:pPr>
        <w:ind w:left="120" w:right="80" w:firstLine="440"/>
        <w:spacing w:after="0" w:line="259" w:lineRule="auto"/>
        <w:rPr>
          <w:sz w:val="20"/>
          <w:szCs w:val="20"/>
          <w:color w:val="auto"/>
        </w:rPr>
      </w:pPr>
      <w:r>
        <w:rPr>
          <w:rFonts w:ascii="Arial" w:cs="Arial" w:eastAsia="Arial" w:hAnsi="Arial"/>
          <w:sz w:val="18"/>
          <w:szCs w:val="18"/>
          <w:color w:val="auto"/>
        </w:rPr>
        <w:t>The services provided by Deloitte were pre-approved by the Audit Committee. The Audit Committee has considered whether the provision of the services described above is compatible with maintaining the independence of the independent registered public accounting firm and has determined that the provision of these services has not adversely affected Deloitte’s independence. The Audit Committee approved 100% of the services covered by audit fees, audit-related fees, tax fees and all other similar fees.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140"/>
          </w:cols>
          <w:pgMar w:left="320" w:top="459" w:right="43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AUDIT COMMITTEE REPORT</w:t>
      </w:r>
    </w:p>
    <w:p>
      <w:pPr>
        <w:spacing w:after="0" w:line="121" w:lineRule="exact"/>
        <w:rPr>
          <w:sz w:val="20"/>
          <w:szCs w:val="20"/>
          <w:color w:val="auto"/>
        </w:rPr>
      </w:pPr>
    </w:p>
    <w:p>
      <w:pPr>
        <w:jc w:val="both"/>
        <w:ind w:left="120" w:right="60" w:firstLine="440"/>
        <w:spacing w:after="0" w:line="286" w:lineRule="auto"/>
        <w:rPr>
          <w:sz w:val="20"/>
          <w:szCs w:val="20"/>
          <w:color w:val="auto"/>
        </w:rPr>
      </w:pPr>
      <w:r>
        <w:rPr>
          <w:rFonts w:ascii="Arial" w:cs="Arial" w:eastAsia="Arial" w:hAnsi="Arial"/>
          <w:sz w:val="17"/>
          <w:szCs w:val="17"/>
          <w:i w:val="1"/>
          <w:iCs w:val="1"/>
          <w:color w:val="auto"/>
        </w:rPr>
        <w:t>The information contained in this report will not be deemed “soliciting material” or otherwise considered “filed” with the SEC or subject to the liabilities of Section 18 of the Exchange Act, and this information will not be incorporated by reference into any future filing under the Securities Act of 1933, as amended, except to the extent that the Company specifically incorporates this information by reference in that filing.</w:t>
      </w:r>
    </w:p>
    <w:p>
      <w:pPr>
        <w:spacing w:after="0" w:line="165" w:lineRule="exact"/>
        <w:rPr>
          <w:sz w:val="20"/>
          <w:szCs w:val="20"/>
          <w:color w:val="auto"/>
        </w:rPr>
      </w:pPr>
    </w:p>
    <w:p>
      <w:pPr>
        <w:ind w:left="120" w:right="80" w:firstLine="440"/>
        <w:spacing w:after="0" w:line="301" w:lineRule="auto"/>
        <w:rPr>
          <w:sz w:val="20"/>
          <w:szCs w:val="20"/>
          <w:color w:val="auto"/>
        </w:rPr>
      </w:pPr>
      <w:r>
        <w:rPr>
          <w:rFonts w:ascii="Arial" w:cs="Arial" w:eastAsia="Arial" w:hAnsi="Arial"/>
          <w:sz w:val="16"/>
          <w:szCs w:val="16"/>
          <w:color w:val="auto"/>
        </w:rPr>
        <w:t>The Audit Committee is responsible primarily for assisting the Board in fulfilling its legal and fiduciary obligations with respect to matters involving the accounting, auditing, financial reporting, internal control and legal compliance functions of the Company and its subsidiaries. The Audit Committee assists in the Board’s oversight of the integrity of the Company’s financial statements, the Company’s compliance with legal and regulatory requirements, the Company’s independent auditors’ qualifications and independence and the performance of the Company’s independent auditors.</w:t>
      </w:r>
    </w:p>
    <w:p>
      <w:pPr>
        <w:spacing w:after="0" w:line="157" w:lineRule="exact"/>
        <w:rPr>
          <w:sz w:val="20"/>
          <w:szCs w:val="20"/>
          <w:color w:val="auto"/>
        </w:rPr>
      </w:pPr>
    </w:p>
    <w:p>
      <w:pPr>
        <w:ind w:left="120" w:right="200" w:firstLine="440"/>
        <w:spacing w:after="0" w:line="277" w:lineRule="auto"/>
        <w:rPr>
          <w:sz w:val="20"/>
          <w:szCs w:val="20"/>
          <w:color w:val="auto"/>
        </w:rPr>
      </w:pPr>
      <w:r>
        <w:rPr>
          <w:rFonts w:ascii="Arial" w:cs="Arial" w:eastAsia="Arial" w:hAnsi="Arial"/>
          <w:sz w:val="18"/>
          <w:szCs w:val="18"/>
          <w:color w:val="auto"/>
        </w:rPr>
        <w:t>The Audit Committee currently consists of Messrs. Leno (Chairperson), Clemmer and Pruden and Dr. Robertson, each of whom is independent under Nasdaq and SEC rules.</w:t>
      </w:r>
    </w:p>
    <w:p>
      <w:pPr>
        <w:spacing w:after="0" w:line="170" w:lineRule="exact"/>
        <w:rPr>
          <w:sz w:val="20"/>
          <w:szCs w:val="20"/>
          <w:color w:val="auto"/>
        </w:rPr>
      </w:pPr>
    </w:p>
    <w:p>
      <w:pPr>
        <w:ind w:left="120" w:firstLine="440"/>
        <w:spacing w:after="0" w:line="273" w:lineRule="auto"/>
        <w:rPr>
          <w:sz w:val="20"/>
          <w:szCs w:val="20"/>
          <w:color w:val="auto"/>
        </w:rPr>
      </w:pPr>
      <w:r>
        <w:rPr>
          <w:rFonts w:ascii="Arial" w:cs="Arial" w:eastAsia="Arial" w:hAnsi="Arial"/>
          <w:sz w:val="17"/>
          <w:szCs w:val="17"/>
          <w:color w:val="auto"/>
        </w:rPr>
        <w:t>The Company’s management is responsible for the preparation and presentation of the Company’s financial statements, the effectiveness of internal control over financial reporting and procedures that are reasonably designed to assure compliance with accounting standards and applicable laws and regulations. The Company’s independent registered public accounting firm, Deloitte &amp; Touche LLP (“</w:t>
      </w:r>
      <w:r>
        <w:rPr>
          <w:rFonts w:ascii="Arial" w:cs="Arial" w:eastAsia="Arial" w:hAnsi="Arial"/>
          <w:sz w:val="17"/>
          <w:szCs w:val="17"/>
          <w:b w:val="1"/>
          <w:bCs w:val="1"/>
          <w:i w:val="1"/>
          <w:iCs w:val="1"/>
          <w:color w:val="auto"/>
        </w:rPr>
        <w:t>Deloitte</w:t>
      </w:r>
      <w:r>
        <w:rPr>
          <w:rFonts w:ascii="Arial" w:cs="Arial" w:eastAsia="Arial" w:hAnsi="Arial"/>
          <w:sz w:val="17"/>
          <w:szCs w:val="17"/>
          <w:color w:val="auto"/>
        </w:rPr>
        <w:t>”), is responsible for performing an independent audit of the Company’s financial statements in accordance with the standards of the Public Company Accounting Oversight Board (United States) (“</w:t>
      </w:r>
      <w:r>
        <w:rPr>
          <w:rFonts w:ascii="Arial" w:cs="Arial" w:eastAsia="Arial" w:hAnsi="Arial"/>
          <w:sz w:val="17"/>
          <w:szCs w:val="17"/>
          <w:b w:val="1"/>
          <w:bCs w:val="1"/>
          <w:i w:val="1"/>
          <w:iCs w:val="1"/>
          <w:color w:val="auto"/>
        </w:rPr>
        <w:t>PCAOB</w:t>
      </w:r>
      <w:r>
        <w:rPr>
          <w:rFonts w:ascii="Arial" w:cs="Arial" w:eastAsia="Arial" w:hAnsi="Arial"/>
          <w:sz w:val="17"/>
          <w:szCs w:val="17"/>
          <w:color w:val="auto"/>
        </w:rPr>
        <w:t>”). The Audit Committee does not itself prepare financial statements or perform audits, and its members are not auditors or certifiers of the Company’s financial statements or disclosures.</w:t>
      </w:r>
    </w:p>
    <w:p>
      <w:pPr>
        <w:spacing w:after="0" w:line="178" w:lineRule="exact"/>
        <w:rPr>
          <w:sz w:val="20"/>
          <w:szCs w:val="20"/>
          <w:color w:val="auto"/>
        </w:rPr>
      </w:pPr>
    </w:p>
    <w:p>
      <w:pPr>
        <w:ind w:left="120" w:right="180" w:firstLine="440"/>
        <w:spacing w:after="0" w:line="286" w:lineRule="auto"/>
        <w:rPr>
          <w:sz w:val="20"/>
          <w:szCs w:val="20"/>
          <w:color w:val="auto"/>
        </w:rPr>
      </w:pPr>
      <w:r>
        <w:rPr>
          <w:rFonts w:ascii="Arial" w:cs="Arial" w:eastAsia="Arial" w:hAnsi="Arial"/>
          <w:sz w:val="17"/>
          <w:szCs w:val="17"/>
          <w:color w:val="auto"/>
        </w:rPr>
        <w:t>The Audit Committee has reviewed and discussed the audited financial statements for the year ended December 31, 2019 with the Company’s management and Deloitte. The Audit Committee has discussed with the independent auditors the matters required to be discussed by the statement on Auditing Standards No. 13001, as amended “Communications with Audit Committees”, as adopted by the PCAOB.</w:t>
      </w:r>
    </w:p>
    <w:p>
      <w:pPr>
        <w:spacing w:after="0" w:line="165" w:lineRule="exact"/>
        <w:rPr>
          <w:sz w:val="20"/>
          <w:szCs w:val="20"/>
          <w:color w:val="auto"/>
        </w:rPr>
      </w:pPr>
    </w:p>
    <w:p>
      <w:pPr>
        <w:ind w:left="120" w:right="600" w:firstLine="440"/>
        <w:spacing w:after="0" w:line="342" w:lineRule="auto"/>
        <w:rPr>
          <w:sz w:val="20"/>
          <w:szCs w:val="20"/>
          <w:color w:val="auto"/>
        </w:rPr>
      </w:pPr>
      <w:r>
        <w:rPr>
          <w:rFonts w:ascii="Arial" w:cs="Arial" w:eastAsia="Arial" w:hAnsi="Arial"/>
          <w:sz w:val="16"/>
          <w:szCs w:val="16"/>
          <w:color w:val="auto"/>
        </w:rPr>
        <w:t>The Audit Committee has received the written disclosures and the letter from Deloitte required by applicable requirements of the PCAOB regarding Deloitte’s communications with the Audit Committee concerning independence and has discussed with Deloitte its independence.</w:t>
      </w:r>
    </w:p>
    <w:p>
      <w:pPr>
        <w:spacing w:after="0" w:line="124" w:lineRule="exact"/>
        <w:rPr>
          <w:sz w:val="20"/>
          <w:szCs w:val="20"/>
          <w:color w:val="auto"/>
        </w:rPr>
      </w:pPr>
    </w:p>
    <w:p>
      <w:pPr>
        <w:ind w:left="120" w:right="500" w:firstLine="440"/>
        <w:spacing w:after="0" w:line="308" w:lineRule="auto"/>
        <w:rPr>
          <w:sz w:val="20"/>
          <w:szCs w:val="20"/>
          <w:color w:val="auto"/>
        </w:rPr>
      </w:pPr>
      <w:r>
        <w:rPr>
          <w:rFonts w:ascii="Arial" w:cs="Arial" w:eastAsia="Arial" w:hAnsi="Arial"/>
          <w:sz w:val="17"/>
          <w:szCs w:val="17"/>
          <w:color w:val="auto"/>
        </w:rPr>
        <w:t>Based on that review, discussions and disclosure, the Audit Committee recommended to the Company’s Board that the financial statements referred to above be included in the Company’s Annual Report on Form 10-K for the fiscal year ended December 31, 2019.</w:t>
      </w:r>
    </w:p>
    <w:p>
      <w:pPr>
        <w:spacing w:after="0" w:line="146"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Samuel Leno (Chair)</w:t>
      </w:r>
    </w:p>
    <w:p>
      <w:pPr>
        <w:spacing w:after="0" w:line="23"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James Clemmer</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Gary Pruden</w:t>
      </w:r>
    </w:p>
    <w:p>
      <w:pPr>
        <w:spacing w:after="0" w:line="9" w:lineRule="exact"/>
        <w:rPr>
          <w:sz w:val="20"/>
          <w:szCs w:val="20"/>
          <w:color w:val="auto"/>
        </w:rPr>
      </w:pPr>
    </w:p>
    <w:p>
      <w:pPr>
        <w:ind w:left="560"/>
        <w:spacing w:after="0"/>
        <w:rPr>
          <w:sz w:val="20"/>
          <w:szCs w:val="20"/>
          <w:color w:val="auto"/>
        </w:rPr>
      </w:pPr>
      <w:r>
        <w:rPr>
          <w:rFonts w:ascii="Arial" w:cs="Arial" w:eastAsia="Arial" w:hAnsi="Arial"/>
          <w:sz w:val="18"/>
          <w:szCs w:val="18"/>
          <w:i w:val="1"/>
          <w:iCs w:val="1"/>
          <w:color w:val="auto"/>
        </w:rPr>
        <w:t>Dr. Frederick Robertson</w:t>
      </w:r>
    </w:p>
    <w:p>
      <w:pPr>
        <w:spacing w:after="0" w:line="14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080"/>
          </w:cols>
          <w:pgMar w:left="320" w:top="459" w:right="499" w:bottom="1440" w:gutter="0" w:footer="0" w:header="0"/>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ADDITIONAL INFORMATION</w:t>
      </w:r>
    </w:p>
    <w:p>
      <w:pPr>
        <w:spacing w:after="0" w:line="333"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Procedures for Submitting Stockholder Proposals</w:t>
      </w:r>
    </w:p>
    <w:p>
      <w:pPr>
        <w:spacing w:after="0" w:line="121" w:lineRule="exact"/>
        <w:rPr>
          <w:sz w:val="20"/>
          <w:szCs w:val="20"/>
          <w:color w:val="auto"/>
        </w:rPr>
      </w:pPr>
    </w:p>
    <w:p>
      <w:pPr>
        <w:ind w:left="120" w:right="60" w:firstLine="440"/>
        <w:spacing w:after="0" w:line="259" w:lineRule="auto"/>
        <w:rPr>
          <w:sz w:val="20"/>
          <w:szCs w:val="20"/>
          <w:color w:val="auto"/>
        </w:rPr>
      </w:pPr>
      <w:r>
        <w:rPr>
          <w:rFonts w:ascii="Arial" w:cs="Arial" w:eastAsia="Arial" w:hAnsi="Arial"/>
          <w:sz w:val="18"/>
          <w:szCs w:val="18"/>
          <w:color w:val="auto"/>
        </w:rPr>
        <w:t>Stockholder proposals intended to be presented at the 2021 Annual Meeting of Stockholders (the “</w:t>
      </w:r>
      <w:r>
        <w:rPr>
          <w:rFonts w:ascii="Arial" w:cs="Arial" w:eastAsia="Arial" w:hAnsi="Arial"/>
          <w:sz w:val="18"/>
          <w:szCs w:val="18"/>
          <w:b w:val="1"/>
          <w:bCs w:val="1"/>
          <w:i w:val="1"/>
          <w:iCs w:val="1"/>
          <w:color w:val="auto"/>
        </w:rPr>
        <w:t>2021 Annual Meeting</w:t>
      </w:r>
      <w:r>
        <w:rPr>
          <w:rFonts w:ascii="Arial" w:cs="Arial" w:eastAsia="Arial" w:hAnsi="Arial"/>
          <w:sz w:val="18"/>
          <w:szCs w:val="18"/>
          <w:color w:val="auto"/>
        </w:rPr>
        <w:t>”), pursuant to Exchange Act Rule 14a-8 must be delivered to the Corporate Secretary at our principal executive offices no later than November 13, 2020 in order to be included in the our proxy materials for that meeting. These proposals must also comply with all applicable provisions of Exchange Act Rule 14a-8 and our amended and restated bylaws.</w:t>
      </w:r>
    </w:p>
    <w:p>
      <w:pPr>
        <w:spacing w:after="0" w:line="187" w:lineRule="exact"/>
        <w:rPr>
          <w:sz w:val="20"/>
          <w:szCs w:val="20"/>
          <w:color w:val="auto"/>
        </w:rPr>
      </w:pPr>
    </w:p>
    <w:p>
      <w:pPr>
        <w:ind w:left="120" w:firstLine="440"/>
        <w:spacing w:after="0" w:line="293" w:lineRule="auto"/>
        <w:rPr>
          <w:sz w:val="20"/>
          <w:szCs w:val="20"/>
          <w:color w:val="auto"/>
        </w:rPr>
      </w:pPr>
      <w:r>
        <w:rPr>
          <w:rFonts w:ascii="Arial" w:cs="Arial" w:eastAsia="Arial" w:hAnsi="Arial"/>
          <w:sz w:val="16"/>
          <w:szCs w:val="16"/>
          <w:color w:val="auto"/>
        </w:rPr>
        <w:t>Under our amended and restated bylaws, stockholder proposals submitted for consideration at our 2021 Annual Meeting, but not submitted for inclusion in our proxy materials pursuant to Exchange Act Rule 14a-8, including nominations for candidates for election as directors, must be delivered to our Corporate Secretary at our principal executive offices not earlier than the close of business on December 24, 2020 and not later than the close of business on January 23, 2021. However, if our 2021 Annual Meeting occurs more than 30 days before or 60 days after April 23, 2021, proposals must be delivered not less than 90 days or more than 120 days before the meeting date or, if the first public announcement of the meeting date is less than 100 days prior to the annual meeting date, then no later than the 10th day following the date of the first public announcement of the meeting date.</w:t>
      </w:r>
    </w:p>
    <w:p>
      <w:pPr>
        <w:spacing w:after="0" w:line="164" w:lineRule="exact"/>
        <w:rPr>
          <w:sz w:val="20"/>
          <w:szCs w:val="20"/>
          <w:color w:val="auto"/>
        </w:rPr>
      </w:pPr>
    </w:p>
    <w:p>
      <w:pPr>
        <w:ind w:left="120" w:right="100" w:firstLine="440"/>
        <w:spacing w:after="0" w:line="286" w:lineRule="auto"/>
        <w:rPr>
          <w:sz w:val="20"/>
          <w:szCs w:val="20"/>
          <w:color w:val="auto"/>
        </w:rPr>
      </w:pPr>
      <w:r>
        <w:rPr>
          <w:rFonts w:ascii="Arial" w:cs="Arial" w:eastAsia="Arial" w:hAnsi="Arial"/>
          <w:sz w:val="17"/>
          <w:szCs w:val="17"/>
          <w:color w:val="auto"/>
        </w:rPr>
        <w:t>Director nominations for consideration at any special meeting of stockholders called for the purpose of electing directors must be delivered no earlier than the close of business on the 120th day prior to the special meeting date and not later than the close of business on the latest of the 90th prior to the special meeting or the 10th day following the date of the first public announcement of the meeting date.</w:t>
      </w:r>
    </w:p>
    <w:p>
      <w:pPr>
        <w:spacing w:after="0" w:line="165" w:lineRule="exact"/>
        <w:rPr>
          <w:sz w:val="20"/>
          <w:szCs w:val="20"/>
          <w:color w:val="auto"/>
        </w:rPr>
      </w:pPr>
    </w:p>
    <w:p>
      <w:pPr>
        <w:ind w:left="120" w:right="80" w:firstLine="440"/>
        <w:spacing w:after="0" w:line="277" w:lineRule="auto"/>
        <w:rPr>
          <w:sz w:val="20"/>
          <w:szCs w:val="20"/>
          <w:color w:val="auto"/>
        </w:rPr>
      </w:pPr>
      <w:r>
        <w:rPr>
          <w:rFonts w:ascii="Arial" w:cs="Arial" w:eastAsia="Arial" w:hAnsi="Arial"/>
          <w:sz w:val="18"/>
          <w:szCs w:val="18"/>
          <w:color w:val="auto"/>
        </w:rPr>
        <w:t>Stockholder proposals and nominations must include all required information concerning the stockholder and the proposal or nominee set forth in our amended and restated bylaws.</w:t>
      </w:r>
    </w:p>
    <w:p>
      <w:pPr>
        <w:spacing w:after="0" w:line="1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120"/>
          </w:cols>
          <w:pgMar w:left="320" w:top="459" w:right="45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hyperlink w:anchor="page5">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316865</wp:posOffset>
            </wp:positionV>
            <wp:extent cx="1714500" cy="48006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ANNUAL MEETING OF LANTHEUS HOLDINGS, INC.</w:t>
      </w:r>
    </w:p>
    <w:p>
      <w:pPr>
        <w:spacing w:after="0" w:line="121"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4"/>
          <w:szCs w:val="14"/>
          <w:b w:val="1"/>
          <w:bCs w:val="1"/>
          <w:color w:val="auto"/>
        </w:rPr>
        <w:t>Date:</w:t>
      </w:r>
      <w:r>
        <w:rPr>
          <w:sz w:val="20"/>
          <w:szCs w:val="20"/>
          <w:color w:val="auto"/>
        </w:rPr>
        <w:tab/>
      </w:r>
      <w:r>
        <w:rPr>
          <w:rFonts w:ascii="Arial" w:cs="Arial" w:eastAsia="Arial" w:hAnsi="Arial"/>
          <w:sz w:val="14"/>
          <w:szCs w:val="14"/>
          <w:color w:val="auto"/>
        </w:rPr>
        <w:t>Thursday April 23, 2020</w:t>
      </w:r>
    </w:p>
    <w:p>
      <w:pPr>
        <w:spacing w:after="0" w:line="17" w:lineRule="exact"/>
        <w:rPr>
          <w:sz w:val="20"/>
          <w:szCs w:val="20"/>
          <w:color w:val="auto"/>
        </w:rPr>
      </w:pPr>
    </w:p>
    <w:p>
      <w:pPr>
        <w:ind w:left="20"/>
        <w:spacing w:after="0"/>
        <w:tabs>
          <w:tab w:leader="none" w:pos="520" w:val="left"/>
        </w:tabs>
        <w:rPr>
          <w:sz w:val="20"/>
          <w:szCs w:val="20"/>
          <w:color w:val="auto"/>
        </w:rPr>
      </w:pPr>
      <w:r>
        <w:rPr>
          <w:rFonts w:ascii="Arial" w:cs="Arial" w:eastAsia="Arial" w:hAnsi="Arial"/>
          <w:sz w:val="14"/>
          <w:szCs w:val="14"/>
          <w:b w:val="1"/>
          <w:bCs w:val="1"/>
          <w:color w:val="auto"/>
        </w:rPr>
        <w:t>Time:</w:t>
      </w:r>
      <w:r>
        <w:rPr>
          <w:sz w:val="20"/>
          <w:szCs w:val="20"/>
          <w:color w:val="auto"/>
        </w:rPr>
        <w:tab/>
      </w:r>
      <w:r>
        <w:rPr>
          <w:rFonts w:ascii="Arial" w:cs="Arial" w:eastAsia="Arial" w:hAnsi="Arial"/>
          <w:sz w:val="14"/>
          <w:szCs w:val="14"/>
          <w:color w:val="auto"/>
        </w:rPr>
        <w:t>11:00 A.M. (Eastern Time)</w:t>
      </w:r>
    </w:p>
    <w:p>
      <w:pPr>
        <w:ind w:left="20"/>
        <w:spacing w:after="0"/>
        <w:tabs>
          <w:tab w:leader="none" w:pos="520" w:val="left"/>
        </w:tabs>
        <w:rPr>
          <w:sz w:val="20"/>
          <w:szCs w:val="20"/>
          <w:color w:val="auto"/>
        </w:rPr>
      </w:pPr>
      <w:r>
        <w:rPr>
          <w:rFonts w:ascii="Arial" w:cs="Arial" w:eastAsia="Arial" w:hAnsi="Arial"/>
          <w:sz w:val="14"/>
          <w:szCs w:val="14"/>
          <w:b w:val="1"/>
          <w:bCs w:val="1"/>
          <w:color w:val="auto"/>
        </w:rPr>
        <w:t>Place:</w:t>
      </w:r>
      <w:r>
        <w:rPr>
          <w:sz w:val="20"/>
          <w:szCs w:val="20"/>
          <w:color w:val="auto"/>
        </w:rPr>
        <w:tab/>
      </w:r>
      <w:r>
        <w:rPr>
          <w:rFonts w:ascii="Arial" w:cs="Arial" w:eastAsia="Arial" w:hAnsi="Arial"/>
          <w:sz w:val="13"/>
          <w:szCs w:val="13"/>
          <w:color w:val="auto"/>
        </w:rPr>
        <w:t>Boston Marriott Burlington Mall Road, Burlington, Massachusetts</w:t>
      </w:r>
    </w:p>
    <w:p>
      <w:pPr>
        <w:ind w:left="540"/>
        <w:spacing w:after="0"/>
        <w:rPr>
          <w:sz w:val="20"/>
          <w:szCs w:val="20"/>
          <w:color w:val="auto"/>
        </w:rPr>
      </w:pPr>
      <w:r>
        <w:rPr>
          <w:rFonts w:ascii="Arial" w:cs="Arial" w:eastAsia="Arial" w:hAnsi="Arial"/>
          <w:sz w:val="14"/>
          <w:szCs w:val="14"/>
          <w:color w:val="auto"/>
        </w:rPr>
        <w:t>01803</w:t>
      </w:r>
    </w:p>
    <w:p>
      <w:pPr>
        <w:spacing w:after="0" w:line="83" w:lineRule="exact"/>
        <w:rPr>
          <w:sz w:val="20"/>
          <w:szCs w:val="20"/>
          <w:color w:val="auto"/>
        </w:rPr>
      </w:pPr>
    </w:p>
    <w:p>
      <w:pPr>
        <w:spacing w:after="0" w:line="142" w:lineRule="exact"/>
        <w:tabs>
          <w:tab w:leader="none" w:pos="1840" w:val="left"/>
        </w:tabs>
        <w:rPr>
          <w:sz w:val="20"/>
          <w:szCs w:val="20"/>
          <w:color w:val="auto"/>
        </w:rPr>
      </w:pPr>
      <w:r>
        <w:rPr>
          <w:rFonts w:ascii="Arial" w:cs="Arial" w:eastAsia="Arial" w:hAnsi="Arial"/>
          <w:sz w:val="11"/>
          <w:szCs w:val="11"/>
          <w:b w:val="1"/>
          <w:bCs w:val="1"/>
          <w:color w:val="auto"/>
        </w:rPr>
        <w:t>Please make your marks like this:</w:t>
      </w:r>
      <w:r>
        <w:rPr>
          <w:sz w:val="20"/>
          <w:szCs w:val="20"/>
          <w:color w:val="auto"/>
        </w:rPr>
        <w:tab/>
      </w:r>
      <w:r>
        <w:rPr>
          <w:rFonts w:ascii="MS PGothic" w:cs="MS PGothic" w:eastAsia="MS PGothic" w:hAnsi="MS PGothic"/>
          <w:sz w:val="14"/>
          <w:szCs w:val="14"/>
          <w:color w:val="auto"/>
          <w:highlight w:val="black"/>
        </w:rPr>
        <w:t xml:space="preserve">☒ </w:t>
      </w:r>
      <w:r>
        <w:rPr>
          <w:rFonts w:ascii="Arial" w:cs="Arial" w:eastAsia="Arial" w:hAnsi="Arial"/>
          <w:sz w:val="10"/>
          <w:szCs w:val="10"/>
          <w:b w:val="1"/>
          <w:bCs w:val="1"/>
          <w:color w:val="auto"/>
        </w:rPr>
        <w:t>Use dark black pencil or pen only</w:t>
      </w:r>
    </w:p>
    <w:p>
      <w:pPr>
        <w:spacing w:after="0" w:line="16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color w:val="auto"/>
        </w:rPr>
        <w:t xml:space="preserve">The Board of Directors Recommends a Vote </w:t>
      </w:r>
      <w:r>
        <w:rPr>
          <w:rFonts w:ascii="Arial" w:cs="Arial" w:eastAsia="Arial" w:hAnsi="Arial"/>
          <w:sz w:val="16"/>
          <w:szCs w:val="16"/>
          <w:b w:val="1"/>
          <w:bCs w:val="1"/>
          <w:u w:val="single" w:color="auto"/>
          <w:color w:val="auto"/>
        </w:rPr>
        <w:t>FOR</w:t>
      </w:r>
      <w:r>
        <w:rPr>
          <w:rFonts w:ascii="Arial" w:cs="Arial" w:eastAsia="Arial" w:hAnsi="Arial"/>
          <w:sz w:val="16"/>
          <w:szCs w:val="16"/>
          <w:b w:val="1"/>
          <w:bCs w:val="1"/>
          <w:color w:val="auto"/>
        </w:rPr>
        <w:t xml:space="preserve"> proposals 1, 2 and 4, and for </w:t>
      </w:r>
      <w:r>
        <w:rPr>
          <w:rFonts w:ascii="Arial" w:cs="Arial" w:eastAsia="Arial" w:hAnsi="Arial"/>
          <w:sz w:val="16"/>
          <w:szCs w:val="16"/>
          <w:b w:val="1"/>
          <w:bCs w:val="1"/>
          <w:u w:val="single" w:color="auto"/>
          <w:color w:val="auto"/>
        </w:rPr>
        <w:t>1 YEAR</w:t>
      </w:r>
      <w:r>
        <w:rPr>
          <w:rFonts w:ascii="Arial" w:cs="Arial" w:eastAsia="Arial" w:hAnsi="Arial"/>
          <w:sz w:val="16"/>
          <w:szCs w:val="16"/>
          <w:b w:val="1"/>
          <w:bCs w:val="1"/>
          <w:color w:val="auto"/>
        </w:rPr>
        <w:t xml:space="preserve"> in proposal 3.</w:t>
      </w:r>
    </w:p>
    <w:p>
      <w:pPr>
        <w:spacing w:after="0" w:line="20" w:lineRule="exact"/>
        <w:rPr>
          <w:sz w:val="20"/>
          <w:szCs w:val="20"/>
          <w:color w:val="auto"/>
        </w:rPr>
      </w:pPr>
    </w:p>
    <w:p>
      <w:pPr>
        <w:ind w:left="200" w:right="220" w:hanging="189"/>
        <w:spacing w:after="0" w:line="293" w:lineRule="auto"/>
        <w:tabs>
          <w:tab w:leader="none" w:pos="200" w:val="left"/>
        </w:tabs>
        <w:numPr>
          <w:ilvl w:val="0"/>
          <w:numId w:val="63"/>
        </w:numPr>
        <w:rPr>
          <w:rFonts w:ascii="Arial" w:cs="Arial" w:eastAsia="Arial" w:hAnsi="Arial"/>
          <w:sz w:val="16"/>
          <w:szCs w:val="16"/>
          <w:b w:val="1"/>
          <w:bCs w:val="1"/>
          <w:color w:val="auto"/>
        </w:rPr>
      </w:pPr>
      <w:r>
        <w:rPr>
          <w:rFonts w:ascii="Arial" w:cs="Arial" w:eastAsia="Arial" w:hAnsi="Arial"/>
          <w:sz w:val="16"/>
          <w:szCs w:val="16"/>
          <w:color w:val="auto"/>
        </w:rPr>
        <w:t>To elect two Class II directors to serve until the 2022 Annual Meeting of Stockholders:</w:t>
      </w:r>
    </w:p>
    <w:p>
      <w:pPr>
        <w:spacing w:after="0" w:line="37"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01. Julie McHugh</w:t>
      </w:r>
    </w:p>
    <w:p>
      <w:pPr>
        <w:spacing w:after="0" w:line="59" w:lineRule="exact"/>
        <w:rPr>
          <w:sz w:val="20"/>
          <w:szCs w:val="20"/>
          <w:color w:val="auto"/>
        </w:rPr>
      </w:pPr>
    </w:p>
    <w:p>
      <w:pPr>
        <w:ind w:left="200"/>
        <w:spacing w:after="0"/>
        <w:rPr>
          <w:sz w:val="20"/>
          <w:szCs w:val="20"/>
          <w:color w:val="auto"/>
        </w:rPr>
      </w:pPr>
      <w:r>
        <w:rPr>
          <w:rFonts w:ascii="Arial" w:cs="Arial" w:eastAsia="Arial" w:hAnsi="Arial"/>
          <w:sz w:val="16"/>
          <w:szCs w:val="16"/>
          <w:color w:val="auto"/>
        </w:rPr>
        <w:t>02. Dr. Frederick Robertson</w:t>
      </w:r>
    </w:p>
    <w:p>
      <w:pPr>
        <w:spacing w:after="0" w:line="304" w:lineRule="exact"/>
        <w:rPr>
          <w:sz w:val="20"/>
          <w:szCs w:val="20"/>
          <w:color w:val="auto"/>
        </w:rPr>
      </w:pPr>
    </w:p>
    <w:tbl>
      <w:tblPr>
        <w:tblLayout w:type="fixed"/>
        <w:tblInd w:w="280" w:type="dxa"/>
        <w:tblCellMar>
          <w:top w:w="0" w:type="dxa"/>
          <w:left w:w="0" w:type="dxa"/>
          <w:bottom w:w="0" w:type="dxa"/>
          <w:right w:w="0" w:type="dxa"/>
        </w:tblCellMar>
      </w:tblPr>
      <w:tr>
        <w:trPr>
          <w:trHeight w:val="161"/>
        </w:trPr>
        <w:tc>
          <w:tcPr>
            <w:tcW w:w="1080" w:type="dxa"/>
            <w:vAlign w:val="bottom"/>
          </w:tcPr>
          <w:p>
            <w:pPr>
              <w:jc w:val="center"/>
              <w:ind w:right="182"/>
              <w:spacing w:after="0"/>
              <w:rPr>
                <w:sz w:val="20"/>
                <w:szCs w:val="20"/>
                <w:color w:val="auto"/>
              </w:rPr>
            </w:pPr>
            <w:r>
              <w:rPr>
                <w:rFonts w:ascii="Arial" w:cs="Arial" w:eastAsia="Arial" w:hAnsi="Arial"/>
                <w:sz w:val="14"/>
                <w:szCs w:val="14"/>
                <w:b w:val="1"/>
                <w:bCs w:val="1"/>
                <w:color w:val="auto"/>
                <w:w w:val="95"/>
              </w:rPr>
              <w:t>Vote For</w:t>
            </w:r>
          </w:p>
        </w:tc>
        <w:tc>
          <w:tcPr>
            <w:tcW w:w="1780" w:type="dxa"/>
            <w:vAlign w:val="bottom"/>
          </w:tcPr>
          <w:p>
            <w:pPr>
              <w:jc w:val="center"/>
              <w:spacing w:after="0"/>
              <w:rPr>
                <w:sz w:val="20"/>
                <w:szCs w:val="20"/>
                <w:color w:val="auto"/>
              </w:rPr>
            </w:pPr>
            <w:r>
              <w:rPr>
                <w:rFonts w:ascii="Arial" w:cs="Arial" w:eastAsia="Arial" w:hAnsi="Arial"/>
                <w:sz w:val="14"/>
                <w:szCs w:val="14"/>
                <w:b w:val="1"/>
                <w:bCs w:val="1"/>
                <w:color w:val="auto"/>
                <w:w w:val="94"/>
              </w:rPr>
              <w:t>Withhold Vote From</w:t>
            </w:r>
          </w:p>
        </w:tc>
        <w:tc>
          <w:tcPr>
            <w:tcW w:w="920" w:type="dxa"/>
            <w:vAlign w:val="bottom"/>
          </w:tcPr>
          <w:p>
            <w:pPr>
              <w:jc w:val="center"/>
              <w:ind w:left="182"/>
              <w:spacing w:after="0"/>
              <w:rPr>
                <w:sz w:val="20"/>
                <w:szCs w:val="20"/>
                <w:color w:val="auto"/>
              </w:rPr>
            </w:pPr>
            <w:r>
              <w:rPr>
                <w:rFonts w:ascii="Arial" w:cs="Arial" w:eastAsia="Arial" w:hAnsi="Arial"/>
                <w:sz w:val="14"/>
                <w:szCs w:val="14"/>
                <w:b w:val="1"/>
                <w:bCs w:val="1"/>
                <w:color w:val="auto"/>
                <w:w w:val="95"/>
              </w:rPr>
              <w:t>Vote For</w:t>
            </w:r>
          </w:p>
        </w:tc>
      </w:tr>
      <w:tr>
        <w:trPr>
          <w:trHeight w:val="144"/>
        </w:trPr>
        <w:tc>
          <w:tcPr>
            <w:tcW w:w="1080" w:type="dxa"/>
            <w:vAlign w:val="bottom"/>
          </w:tcPr>
          <w:p>
            <w:pPr>
              <w:jc w:val="center"/>
              <w:ind w:right="182"/>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178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2"/>
              </w:rPr>
              <w:t>All Nominees</w:t>
            </w:r>
          </w:p>
        </w:tc>
        <w:tc>
          <w:tcPr>
            <w:tcW w:w="920" w:type="dxa"/>
            <w:vAlign w:val="bottom"/>
          </w:tcPr>
          <w:p>
            <w:pPr>
              <w:jc w:val="center"/>
              <w:ind w:left="182"/>
              <w:spacing w:after="0" w:line="145" w:lineRule="exact"/>
              <w:rPr>
                <w:sz w:val="20"/>
                <w:szCs w:val="20"/>
                <w:color w:val="auto"/>
              </w:rPr>
            </w:pPr>
            <w:r>
              <w:rPr>
                <w:rFonts w:ascii="Arial" w:cs="Arial" w:eastAsia="Arial" w:hAnsi="Arial"/>
                <w:sz w:val="14"/>
                <w:szCs w:val="14"/>
                <w:b w:val="1"/>
                <w:bCs w:val="1"/>
                <w:color w:val="auto"/>
                <w:w w:val="97"/>
              </w:rPr>
              <w:t>All Except</w:t>
            </w:r>
          </w:p>
        </w:tc>
      </w:tr>
      <w:tr>
        <w:trPr>
          <w:trHeight w:val="283"/>
        </w:trPr>
        <w:tc>
          <w:tcPr>
            <w:tcW w:w="1080" w:type="dxa"/>
            <w:vAlign w:val="bottom"/>
          </w:tcPr>
          <w:p>
            <w:pPr>
              <w:jc w:val="center"/>
              <w:ind w:right="162"/>
              <w:spacing w:after="0" w:line="181" w:lineRule="exact"/>
              <w:rPr>
                <w:sz w:val="20"/>
                <w:szCs w:val="20"/>
                <w:color w:val="auto"/>
              </w:rPr>
            </w:pPr>
            <w:r>
              <w:rPr>
                <w:rFonts w:ascii="MS PGothic" w:cs="MS PGothic" w:eastAsia="MS PGothic" w:hAnsi="MS PGothic"/>
                <w:sz w:val="18"/>
                <w:szCs w:val="18"/>
                <w:color w:val="auto"/>
                <w:w w:val="88"/>
              </w:rPr>
              <w:t>☐</w:t>
            </w:r>
          </w:p>
        </w:tc>
        <w:tc>
          <w:tcPr>
            <w:tcW w:w="1780" w:type="dxa"/>
            <w:vAlign w:val="bottom"/>
          </w:tcPr>
          <w:p>
            <w:pPr>
              <w:jc w:val="center"/>
              <w:spacing w:after="0" w:line="181" w:lineRule="exact"/>
              <w:rPr>
                <w:sz w:val="20"/>
                <w:szCs w:val="20"/>
                <w:color w:val="auto"/>
              </w:rPr>
            </w:pPr>
            <w:r>
              <w:rPr>
                <w:rFonts w:ascii="MS PGothic" w:cs="MS PGothic" w:eastAsia="MS PGothic" w:hAnsi="MS PGothic"/>
                <w:sz w:val="18"/>
                <w:szCs w:val="18"/>
                <w:color w:val="auto"/>
                <w:w w:val="88"/>
              </w:rPr>
              <w:t>☐</w:t>
            </w:r>
          </w:p>
        </w:tc>
        <w:tc>
          <w:tcPr>
            <w:tcW w:w="920" w:type="dxa"/>
            <w:vAlign w:val="bottom"/>
          </w:tcPr>
          <w:p>
            <w:pPr>
              <w:jc w:val="center"/>
              <w:ind w:left="182"/>
              <w:spacing w:after="0" w:line="181" w:lineRule="exact"/>
              <w:rPr>
                <w:sz w:val="20"/>
                <w:szCs w:val="20"/>
                <w:color w:val="auto"/>
              </w:rPr>
            </w:pPr>
            <w:r>
              <w:rPr>
                <w:rFonts w:ascii="MS PGothic" w:cs="MS PGothic" w:eastAsia="MS PGothic" w:hAnsi="MS PGothic"/>
                <w:sz w:val="18"/>
                <w:szCs w:val="18"/>
                <w:color w:val="auto"/>
                <w:w w:val="99"/>
              </w:rPr>
              <w:t>☐</w:t>
            </w:r>
          </w:p>
        </w:tc>
      </w:tr>
    </w:tbl>
    <w:p>
      <w:pPr>
        <w:spacing w:after="0" w:line="72"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 xml:space="preserve">INSTRUCTIONS: </w:t>
      </w:r>
      <w:r>
        <w:rPr>
          <w:rFonts w:ascii="Arial" w:cs="Arial" w:eastAsia="Arial" w:hAnsi="Arial"/>
          <w:sz w:val="14"/>
          <w:szCs w:val="14"/>
          <w:color w:val="auto"/>
        </w:rPr>
        <w:t>To withhold</w:t>
      </w:r>
    </w:p>
    <w:p>
      <w:pPr>
        <w:ind w:left="20"/>
        <w:spacing w:after="0" w:line="226" w:lineRule="auto"/>
        <w:rPr>
          <w:sz w:val="20"/>
          <w:szCs w:val="20"/>
          <w:color w:val="auto"/>
        </w:rPr>
      </w:pPr>
      <w:r>
        <w:rPr>
          <w:rFonts w:ascii="Arial" w:cs="Arial" w:eastAsia="Arial" w:hAnsi="Arial"/>
          <w:sz w:val="14"/>
          <w:szCs w:val="14"/>
          <w:color w:val="auto"/>
        </w:rPr>
        <w:t>authority to vote for any nominee,</w:t>
      </w:r>
    </w:p>
    <w:p>
      <w:pPr>
        <w:ind w:left="20"/>
        <w:spacing w:after="0" w:line="221" w:lineRule="auto"/>
        <w:rPr>
          <w:sz w:val="20"/>
          <w:szCs w:val="20"/>
          <w:color w:val="auto"/>
        </w:rPr>
      </w:pPr>
      <w:r>
        <w:rPr>
          <w:rFonts w:ascii="Arial" w:cs="Arial" w:eastAsia="Arial" w:hAnsi="Arial"/>
          <w:sz w:val="14"/>
          <w:szCs w:val="14"/>
          <w:color w:val="auto"/>
        </w:rPr>
        <w:t>mark the “Vote For All Except” box</w:t>
      </w:r>
    </w:p>
    <w:p>
      <w:pPr>
        <w:ind w:left="20"/>
        <w:spacing w:after="0" w:line="222" w:lineRule="auto"/>
        <w:rPr>
          <w:sz w:val="20"/>
          <w:szCs w:val="20"/>
          <w:color w:val="auto"/>
        </w:rPr>
      </w:pPr>
      <w:r>
        <w:rPr>
          <w:rFonts w:ascii="Arial" w:cs="Arial" w:eastAsia="Arial" w:hAnsi="Arial"/>
          <w:sz w:val="14"/>
          <w:szCs w:val="14"/>
          <w:color w:val="auto"/>
        </w:rPr>
        <w:t>and write the number(s) in the space</w:t>
      </w:r>
    </w:p>
    <w:p>
      <w:pPr>
        <w:ind w:left="20"/>
        <w:spacing w:after="0"/>
        <w:rPr>
          <w:sz w:val="20"/>
          <w:szCs w:val="20"/>
          <w:color w:val="auto"/>
        </w:rPr>
      </w:pPr>
      <w:r>
        <w:rPr>
          <w:rFonts w:ascii="Arial" w:cs="Arial" w:eastAsia="Arial" w:hAnsi="Arial"/>
          <w:sz w:val="14"/>
          <w:szCs w:val="14"/>
          <w:color w:val="auto"/>
        </w:rPr>
        <w:t>provided to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1556385</wp:posOffset>
            </wp:positionH>
            <wp:positionV relativeFrom="paragraph">
              <wp:posOffset>-20320</wp:posOffset>
            </wp:positionV>
            <wp:extent cx="122555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25550" cy="8255"/>
                    </a:xfrm>
                    <a:prstGeom prst="rect">
                      <a:avLst/>
                    </a:prstGeom>
                    <a:noFill/>
                  </pic:spPr>
                </pic:pic>
              </a:graphicData>
            </a:graphic>
          </wp:anchor>
        </w:drawing>
      </w:r>
    </w:p>
    <w:p>
      <w:pPr>
        <w:spacing w:after="0" w:line="249" w:lineRule="exact"/>
        <w:rPr>
          <w:sz w:val="20"/>
          <w:szCs w:val="20"/>
          <w:color w:val="auto"/>
        </w:rPr>
      </w:pPr>
    </w:p>
    <w:p>
      <w:pPr>
        <w:ind w:left="160" w:right="400" w:hanging="143"/>
        <w:spacing w:after="0" w:line="258" w:lineRule="auto"/>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following proposal:</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400" w:type="dxa"/>
            <w:vAlign w:val="bottom"/>
          </w:tcPr>
          <w:p>
            <w:pPr>
              <w:ind w:left="120"/>
              <w:spacing w:after="0"/>
              <w:rPr>
                <w:sz w:val="20"/>
                <w:szCs w:val="20"/>
                <w:color w:val="auto"/>
              </w:rPr>
            </w:pPr>
            <w:r>
              <w:rPr>
                <w:rFonts w:ascii="Arial" w:cs="Arial" w:eastAsia="Arial" w:hAnsi="Arial"/>
                <w:sz w:val="13"/>
                <w:szCs w:val="13"/>
                <w:b w:val="1"/>
                <w:bCs w:val="1"/>
                <w:color w:val="auto"/>
              </w:rPr>
              <w:t>For</w:t>
            </w:r>
          </w:p>
        </w:tc>
        <w:tc>
          <w:tcPr>
            <w:tcW w:w="960" w:type="dxa"/>
            <w:vAlign w:val="bottom"/>
            <w:gridSpan w:val="2"/>
          </w:tcPr>
          <w:p>
            <w:pPr>
              <w:ind w:left="60"/>
              <w:spacing w:after="0"/>
              <w:rPr>
                <w:sz w:val="20"/>
                <w:szCs w:val="20"/>
                <w:color w:val="auto"/>
              </w:rPr>
            </w:pPr>
            <w:r>
              <w:rPr>
                <w:rFonts w:ascii="Arial" w:cs="Arial" w:eastAsia="Arial" w:hAnsi="Arial"/>
                <w:sz w:val="13"/>
                <w:szCs w:val="13"/>
                <w:b w:val="1"/>
                <w:bCs w:val="1"/>
                <w:color w:val="auto"/>
                <w:w w:val="88"/>
              </w:rPr>
              <w:t>Against Abstain</w:t>
            </w:r>
          </w:p>
        </w:tc>
      </w:tr>
      <w:tr>
        <w:trPr>
          <w:trHeight w:val="230"/>
        </w:trPr>
        <w:tc>
          <w:tcPr>
            <w:tcW w:w="2520" w:type="dxa"/>
            <w:vAlign w:val="bottom"/>
          </w:tcPr>
          <w:p>
            <w:pPr>
              <w:spacing w:after="0"/>
              <w:rPr>
                <w:sz w:val="20"/>
                <w:szCs w:val="20"/>
                <w:color w:val="auto"/>
              </w:rPr>
            </w:pPr>
            <w:r>
              <w:rPr>
                <w:rFonts w:ascii="Arial" w:cs="Arial" w:eastAsia="Arial" w:hAnsi="Arial"/>
                <w:sz w:val="16"/>
                <w:szCs w:val="16"/>
                <w:b w:val="1"/>
                <w:bCs w:val="1"/>
                <w:color w:val="auto"/>
                <w:w w:val="96"/>
              </w:rPr>
              <w:t xml:space="preserve">2: </w:t>
            </w:r>
            <w:r>
              <w:rPr>
                <w:rFonts w:ascii="Arial" w:cs="Arial" w:eastAsia="Arial" w:hAnsi="Arial"/>
                <w:sz w:val="16"/>
                <w:szCs w:val="16"/>
                <w:color w:val="auto"/>
                <w:w w:val="96"/>
              </w:rPr>
              <w:t>To approve, on an advisory basis,</w:t>
            </w:r>
          </w:p>
        </w:tc>
        <w:tc>
          <w:tcPr>
            <w:tcW w:w="40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c>
          <w:tcPr>
            <w:tcW w:w="500" w:type="dxa"/>
            <w:vAlign w:val="bottom"/>
          </w:tcPr>
          <w:p>
            <w:pPr>
              <w:ind w:left="160"/>
              <w:spacing w:after="0" w:line="221" w:lineRule="exact"/>
              <w:rPr>
                <w:sz w:val="20"/>
                <w:szCs w:val="20"/>
                <w:color w:val="auto"/>
              </w:rPr>
            </w:pPr>
            <w:r>
              <w:rPr>
                <w:rFonts w:ascii="MS PGothic" w:cs="MS PGothic" w:eastAsia="MS PGothic" w:hAnsi="MS PGothic"/>
                <w:sz w:val="22"/>
                <w:szCs w:val="22"/>
                <w:color w:val="auto"/>
              </w:rPr>
              <w:t>☐</w:t>
            </w:r>
          </w:p>
        </w:tc>
        <w:tc>
          <w:tcPr>
            <w:tcW w:w="46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the compensation paid to our</w:t>
            </w:r>
          </w:p>
        </w:tc>
        <w:tc>
          <w:tcPr>
            <w:tcW w:w="4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ind w:left="220"/>
        <w:spacing w:after="0"/>
        <w:rPr>
          <w:sz w:val="20"/>
          <w:szCs w:val="20"/>
          <w:color w:val="auto"/>
        </w:rPr>
      </w:pPr>
      <w:r>
        <w:rPr>
          <w:rFonts w:ascii="Arial" w:cs="Arial" w:eastAsia="Arial" w:hAnsi="Arial"/>
          <w:sz w:val="16"/>
          <w:szCs w:val="16"/>
          <w:color w:val="auto"/>
        </w:rPr>
        <w:t>named executive officers.</w:t>
      </w:r>
    </w:p>
    <w:p>
      <w:pPr>
        <w:spacing w:after="0" w:line="59" w:lineRule="exact"/>
        <w:rPr>
          <w:sz w:val="20"/>
          <w:szCs w:val="20"/>
          <w:color w:val="auto"/>
        </w:rPr>
      </w:pPr>
    </w:p>
    <w:p>
      <w:pPr>
        <w:ind w:left="160" w:right="20" w:hanging="143"/>
        <w:spacing w:after="0" w:line="258" w:lineRule="auto"/>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1 YEAR</w:t>
      </w:r>
      <w:r>
        <w:rPr>
          <w:rFonts w:ascii="Arial" w:cs="Arial" w:eastAsia="Arial" w:hAnsi="Arial"/>
          <w:sz w:val="14"/>
          <w:szCs w:val="14"/>
          <w:b w:val="1"/>
          <w:bCs w:val="1"/>
          <w:color w:val="auto"/>
        </w:rPr>
        <w:t xml:space="preserve"> on the following proposal:</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520" w:type="dxa"/>
            <w:vAlign w:val="bottom"/>
          </w:tcPr>
          <w:p>
            <w:pPr>
              <w:spacing w:after="0"/>
              <w:rPr>
                <w:sz w:val="12"/>
                <w:szCs w:val="12"/>
                <w:color w:val="auto"/>
              </w:rPr>
            </w:pPr>
          </w:p>
        </w:tc>
        <w:tc>
          <w:tcPr>
            <w:tcW w:w="440" w:type="dxa"/>
            <w:vAlign w:val="bottom"/>
          </w:tcPr>
          <w:p>
            <w:pPr>
              <w:jc w:val="center"/>
              <w:spacing w:after="0"/>
              <w:rPr>
                <w:sz w:val="20"/>
                <w:szCs w:val="20"/>
                <w:color w:val="auto"/>
              </w:rPr>
            </w:pPr>
            <w:r>
              <w:rPr>
                <w:rFonts w:ascii="Arial" w:cs="Arial" w:eastAsia="Arial" w:hAnsi="Arial"/>
                <w:sz w:val="13"/>
                <w:szCs w:val="13"/>
                <w:b w:val="1"/>
                <w:bCs w:val="1"/>
                <w:color w:val="auto"/>
                <w:w w:val="86"/>
              </w:rPr>
              <w:t>1 Year</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6"/>
              </w:rPr>
              <w:t>2 Years</w:t>
            </w:r>
          </w:p>
        </w:tc>
        <w:tc>
          <w:tcPr>
            <w:tcW w:w="480" w:type="dxa"/>
            <w:vAlign w:val="bottom"/>
          </w:tcPr>
          <w:p>
            <w:pPr>
              <w:jc w:val="center"/>
              <w:spacing w:after="0"/>
              <w:rPr>
                <w:sz w:val="20"/>
                <w:szCs w:val="20"/>
                <w:color w:val="auto"/>
              </w:rPr>
            </w:pPr>
            <w:r>
              <w:rPr>
                <w:rFonts w:ascii="Arial" w:cs="Arial" w:eastAsia="Arial" w:hAnsi="Arial"/>
                <w:sz w:val="13"/>
                <w:szCs w:val="13"/>
                <w:b w:val="1"/>
                <w:bCs w:val="1"/>
                <w:color w:val="auto"/>
                <w:w w:val="86"/>
              </w:rPr>
              <w:t>3 Years</w:t>
            </w:r>
          </w:p>
        </w:tc>
        <w:tc>
          <w:tcPr>
            <w:tcW w:w="460" w:type="dxa"/>
            <w:vAlign w:val="bottom"/>
          </w:tcPr>
          <w:p>
            <w:pPr>
              <w:jc w:val="center"/>
              <w:spacing w:after="0"/>
              <w:rPr>
                <w:sz w:val="20"/>
                <w:szCs w:val="20"/>
                <w:color w:val="auto"/>
              </w:rPr>
            </w:pPr>
            <w:r>
              <w:rPr>
                <w:rFonts w:ascii="Arial" w:cs="Arial" w:eastAsia="Arial" w:hAnsi="Arial"/>
                <w:sz w:val="13"/>
                <w:szCs w:val="13"/>
                <w:b w:val="1"/>
                <w:bCs w:val="1"/>
                <w:color w:val="auto"/>
                <w:w w:val="88"/>
              </w:rPr>
              <w:t>Abstain</w:t>
            </w:r>
          </w:p>
        </w:tc>
      </w:tr>
      <w:tr>
        <w:trPr>
          <w:trHeight w:val="230"/>
        </w:trPr>
        <w:tc>
          <w:tcPr>
            <w:tcW w:w="2520" w:type="dxa"/>
            <w:vAlign w:val="bottom"/>
          </w:tcPr>
          <w:p>
            <w:pPr>
              <w:spacing w:after="0"/>
              <w:rPr>
                <w:sz w:val="20"/>
                <w:szCs w:val="20"/>
                <w:color w:val="auto"/>
              </w:rPr>
            </w:pPr>
            <w:r>
              <w:rPr>
                <w:rFonts w:ascii="Arial" w:cs="Arial" w:eastAsia="Arial" w:hAnsi="Arial"/>
                <w:sz w:val="16"/>
                <w:szCs w:val="16"/>
                <w:b w:val="1"/>
                <w:bCs w:val="1"/>
                <w:color w:val="auto"/>
                <w:w w:val="96"/>
              </w:rPr>
              <w:t xml:space="preserve">3: </w:t>
            </w:r>
            <w:r>
              <w:rPr>
                <w:rFonts w:ascii="Arial" w:cs="Arial" w:eastAsia="Arial" w:hAnsi="Arial"/>
                <w:sz w:val="16"/>
                <w:szCs w:val="16"/>
                <w:color w:val="auto"/>
                <w:w w:val="96"/>
              </w:rPr>
              <w:t>To approve, on an advisory basis,</w:t>
            </w:r>
          </w:p>
        </w:tc>
        <w:tc>
          <w:tcPr>
            <w:tcW w:w="44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c>
          <w:tcPr>
            <w:tcW w:w="4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48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90"/>
              </w:rPr>
              <w:t>☐</w:t>
            </w:r>
          </w:p>
        </w:tc>
        <w:tc>
          <w:tcPr>
            <w:tcW w:w="460" w:type="dxa"/>
            <w:vAlign w:val="bottom"/>
          </w:tcPr>
          <w:p>
            <w:pPr>
              <w:jc w:val="center"/>
              <w:spacing w:after="0" w:line="221" w:lineRule="exact"/>
              <w:rPr>
                <w:sz w:val="20"/>
                <w:szCs w:val="20"/>
                <w:color w:val="auto"/>
              </w:rPr>
            </w:pPr>
            <w:r>
              <w:rPr>
                <w:rFonts w:ascii="MS PGothic" w:cs="MS PGothic" w:eastAsia="MS PGothic" w:hAnsi="MS PGothic"/>
                <w:sz w:val="22"/>
                <w:szCs w:val="22"/>
                <w:color w:val="auto"/>
                <w:w w:val="81"/>
              </w:rPr>
              <w:t>☐</w:t>
            </w:r>
          </w:p>
        </w:tc>
      </w:tr>
      <w:tr>
        <w:trPr>
          <w:trHeight w:val="193"/>
        </w:trPr>
        <w:tc>
          <w:tcPr>
            <w:tcW w:w="2520" w:type="dxa"/>
            <w:vAlign w:val="bottom"/>
          </w:tcPr>
          <w:p>
            <w:pPr>
              <w:ind w:left="200"/>
              <w:spacing w:after="0"/>
              <w:rPr>
                <w:sz w:val="20"/>
                <w:szCs w:val="20"/>
                <w:color w:val="auto"/>
              </w:rPr>
            </w:pPr>
            <w:r>
              <w:rPr>
                <w:rFonts w:ascii="Arial" w:cs="Arial" w:eastAsia="Arial" w:hAnsi="Arial"/>
                <w:sz w:val="16"/>
                <w:szCs w:val="16"/>
                <w:color w:val="auto"/>
                <w:w w:val="94"/>
              </w:rPr>
              <w:t>the frequency of future say-on-pay</w:t>
            </w:r>
          </w:p>
        </w:tc>
        <w:tc>
          <w:tcPr>
            <w:tcW w:w="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06"/>
        </w:trPr>
        <w:tc>
          <w:tcPr>
            <w:tcW w:w="2520" w:type="dxa"/>
            <w:vAlign w:val="bottom"/>
          </w:tcPr>
          <w:p>
            <w:pPr>
              <w:ind w:left="200"/>
              <w:spacing w:after="0"/>
              <w:rPr>
                <w:sz w:val="20"/>
                <w:szCs w:val="20"/>
                <w:color w:val="auto"/>
              </w:rPr>
            </w:pPr>
            <w:r>
              <w:rPr>
                <w:rFonts w:ascii="Arial" w:cs="Arial" w:eastAsia="Arial" w:hAnsi="Arial"/>
                <w:sz w:val="16"/>
                <w:szCs w:val="16"/>
                <w:color w:val="auto"/>
              </w:rPr>
              <w:t>votes.</w:t>
            </w:r>
          </w:p>
        </w:tc>
        <w:tc>
          <w:tcPr>
            <w:tcW w:w="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460" w:type="dxa"/>
            <w:vAlign w:val="bottom"/>
          </w:tcPr>
          <w:p>
            <w:pPr>
              <w:spacing w:after="0"/>
              <w:rPr>
                <w:sz w:val="17"/>
                <w:szCs w:val="17"/>
                <w:color w:val="auto"/>
              </w:rPr>
            </w:pPr>
          </w:p>
        </w:tc>
      </w:tr>
    </w:tbl>
    <w:p>
      <w:pPr>
        <w:spacing w:after="0" w:line="51" w:lineRule="exact"/>
        <w:rPr>
          <w:sz w:val="20"/>
          <w:szCs w:val="20"/>
          <w:color w:val="auto"/>
        </w:rPr>
      </w:pPr>
    </w:p>
    <w:p>
      <w:pPr>
        <w:ind w:left="160" w:right="400" w:hanging="143"/>
        <w:spacing w:after="0" w:line="258" w:lineRule="auto"/>
        <w:rPr>
          <w:sz w:val="20"/>
          <w:szCs w:val="20"/>
          <w:color w:val="auto"/>
        </w:rPr>
      </w:pPr>
      <w:r>
        <w:rPr>
          <w:rFonts w:ascii="Arial" w:cs="Arial" w:eastAsia="Arial" w:hAnsi="Arial"/>
          <w:sz w:val="14"/>
          <w:szCs w:val="14"/>
          <w:b w:val="1"/>
          <w:bCs w:val="1"/>
          <w:color w:val="auto"/>
        </w:rPr>
        <w:t xml:space="preserve">The Board of Directors recommends you vote </w:t>
      </w:r>
      <w:r>
        <w:rPr>
          <w:rFonts w:ascii="Arial" w:cs="Arial" w:eastAsia="Arial" w:hAnsi="Arial"/>
          <w:sz w:val="14"/>
          <w:szCs w:val="14"/>
          <w:b w:val="1"/>
          <w:bCs w:val="1"/>
          <w:u w:val="single" w:color="auto"/>
          <w:color w:val="auto"/>
        </w:rPr>
        <w:t>FOR</w:t>
      </w:r>
      <w:r>
        <w:rPr>
          <w:rFonts w:ascii="Arial" w:cs="Arial" w:eastAsia="Arial" w:hAnsi="Arial"/>
          <w:sz w:val="14"/>
          <w:szCs w:val="14"/>
          <w:b w:val="1"/>
          <w:bCs w:val="1"/>
          <w:color w:val="auto"/>
        </w:rPr>
        <w:t xml:space="preserve"> the following proposal:</w:t>
      </w:r>
    </w:p>
    <w:p>
      <w:pPr>
        <w:spacing w:after="0" w:line="27"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0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320" w:type="dxa"/>
            <w:vAlign w:val="bottom"/>
          </w:tcPr>
          <w:p>
            <w:pPr>
              <w:ind w:left="120"/>
              <w:spacing w:after="0"/>
              <w:rPr>
                <w:sz w:val="20"/>
                <w:szCs w:val="20"/>
                <w:color w:val="auto"/>
              </w:rPr>
            </w:pPr>
            <w:r>
              <w:rPr>
                <w:rFonts w:ascii="Arial" w:cs="Arial" w:eastAsia="Arial" w:hAnsi="Arial"/>
                <w:sz w:val="13"/>
                <w:szCs w:val="13"/>
                <w:b w:val="1"/>
                <w:bCs w:val="1"/>
                <w:color w:val="auto"/>
                <w:w w:val="85"/>
              </w:rPr>
              <w:t>For</w:t>
            </w:r>
          </w:p>
        </w:tc>
        <w:tc>
          <w:tcPr>
            <w:tcW w:w="1260" w:type="dxa"/>
            <w:vAlign w:val="bottom"/>
            <w:gridSpan w:val="2"/>
          </w:tcPr>
          <w:p>
            <w:pPr>
              <w:ind w:left="140"/>
              <w:spacing w:after="0"/>
              <w:rPr>
                <w:sz w:val="20"/>
                <w:szCs w:val="20"/>
                <w:color w:val="auto"/>
              </w:rPr>
            </w:pPr>
            <w:r>
              <w:rPr>
                <w:rFonts w:ascii="Arial" w:cs="Arial" w:eastAsia="Arial" w:hAnsi="Arial"/>
                <w:sz w:val="13"/>
                <w:szCs w:val="13"/>
                <w:b w:val="1"/>
                <w:bCs w:val="1"/>
                <w:color w:val="auto"/>
              </w:rPr>
              <w:t>Against Abstain</w:t>
            </w:r>
          </w:p>
        </w:tc>
      </w:tr>
      <w:tr>
        <w:trPr>
          <w:trHeight w:val="230"/>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 xml:space="preserve">4: </w:t>
            </w:r>
            <w:r>
              <w:rPr>
                <w:rFonts w:ascii="Arial" w:cs="Arial" w:eastAsia="Arial" w:hAnsi="Arial"/>
                <w:sz w:val="16"/>
                <w:szCs w:val="16"/>
                <w:color w:val="auto"/>
              </w:rPr>
              <w:t>To ratify the appointment of</w:t>
            </w:r>
          </w:p>
        </w:tc>
        <w:tc>
          <w:tcPr>
            <w:tcW w:w="320" w:type="dxa"/>
            <w:vAlign w:val="bottom"/>
          </w:tcPr>
          <w:p>
            <w:pPr>
              <w:ind w:left="140"/>
              <w:spacing w:after="0" w:line="221" w:lineRule="exact"/>
              <w:rPr>
                <w:sz w:val="20"/>
                <w:szCs w:val="20"/>
                <w:color w:val="auto"/>
              </w:rPr>
            </w:pPr>
            <w:r>
              <w:rPr>
                <w:rFonts w:ascii="MS PGothic" w:cs="MS PGothic" w:eastAsia="MS PGothic" w:hAnsi="MS PGothic"/>
                <w:sz w:val="22"/>
                <w:szCs w:val="22"/>
                <w:color w:val="auto"/>
                <w:w w:val="72"/>
              </w:rPr>
              <w:t>☐</w:t>
            </w: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ind w:left="140"/>
              <w:spacing w:after="0" w:line="221" w:lineRule="exact"/>
              <w:rPr>
                <w:sz w:val="20"/>
                <w:szCs w:val="20"/>
                <w:color w:val="auto"/>
              </w:rPr>
            </w:pPr>
            <w:r>
              <w:rPr>
                <w:rFonts w:ascii="MS PGothic" w:cs="MS PGothic" w:eastAsia="MS PGothic" w:hAnsi="MS PGothic"/>
                <w:sz w:val="22"/>
                <w:szCs w:val="22"/>
                <w:color w:val="auto"/>
              </w:rPr>
              <w:t>☐</w:t>
            </w:r>
          </w:p>
        </w:tc>
      </w:tr>
      <w:tr>
        <w:trPr>
          <w:trHeight w:val="193"/>
        </w:trPr>
        <w:tc>
          <w:tcPr>
            <w:tcW w:w="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Deloitte &amp; Touche LLP as the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03"/>
        </w:trPr>
        <w:tc>
          <w:tcPr>
            <w:tcW w:w="20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w w:val="92"/>
              </w:rPr>
              <w:t>Company’s independent registered</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rPr>
              <w:t>public accounting firm for the</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3"/>
        </w:trPr>
        <w:tc>
          <w:tcPr>
            <w:tcW w:w="20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color w:val="auto"/>
                <w:w w:val="91"/>
              </w:rPr>
              <w:t>fiscal year ending on December 31,</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6"/>
        </w:trPr>
        <w:tc>
          <w:tcPr>
            <w:tcW w:w="2520" w:type="dxa"/>
            <w:vAlign w:val="bottom"/>
            <w:gridSpan w:val="2"/>
          </w:tcPr>
          <w:p>
            <w:pPr>
              <w:ind w:left="200"/>
              <w:spacing w:after="0"/>
              <w:rPr>
                <w:sz w:val="20"/>
                <w:szCs w:val="20"/>
                <w:color w:val="auto"/>
              </w:rPr>
            </w:pPr>
            <w:r>
              <w:rPr>
                <w:rFonts w:ascii="Arial" w:cs="Arial" w:eastAsia="Arial" w:hAnsi="Arial"/>
                <w:sz w:val="16"/>
                <w:szCs w:val="16"/>
                <w:color w:val="auto"/>
              </w:rPr>
              <w:t>2020.</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344"/>
        </w:trPr>
        <w:tc>
          <w:tcPr>
            <w:tcW w:w="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w w:val="97"/>
              </w:rPr>
              <w:t>To attend the meeting and vote</w:t>
            </w:r>
          </w:p>
        </w:tc>
        <w:tc>
          <w:tcPr>
            <w:tcW w:w="320" w:type="dxa"/>
            <w:vAlign w:val="bottom"/>
          </w:tcPr>
          <w:p>
            <w:pPr>
              <w:spacing w:after="0"/>
              <w:rPr>
                <w:sz w:val="24"/>
                <w:szCs w:val="24"/>
                <w:color w:val="auto"/>
              </w:rPr>
            </w:pPr>
          </w:p>
        </w:tc>
        <w:tc>
          <w:tcPr>
            <w:tcW w:w="580" w:type="dxa"/>
            <w:vAlign w:val="bottom"/>
          </w:tcPr>
          <w:p>
            <w:pPr>
              <w:ind w:left="240"/>
              <w:spacing w:after="0" w:line="221" w:lineRule="exact"/>
              <w:rPr>
                <w:sz w:val="20"/>
                <w:szCs w:val="20"/>
                <w:color w:val="auto"/>
              </w:rPr>
            </w:pPr>
            <w:r>
              <w:rPr>
                <w:rFonts w:ascii="MS PGothic" w:cs="MS PGothic" w:eastAsia="MS PGothic" w:hAnsi="MS PGothic"/>
                <w:sz w:val="22"/>
                <w:szCs w:val="22"/>
                <w:color w:val="auto"/>
              </w:rPr>
              <w:t>☐</w:t>
            </w:r>
          </w:p>
        </w:tc>
        <w:tc>
          <w:tcPr>
            <w:tcW w:w="680" w:type="dxa"/>
            <w:vAlign w:val="bottom"/>
          </w:tcPr>
          <w:p>
            <w:pPr>
              <w:spacing w:after="0"/>
              <w:rPr>
                <w:sz w:val="24"/>
                <w:szCs w:val="24"/>
                <w:color w:val="auto"/>
              </w:rPr>
            </w:pPr>
          </w:p>
        </w:tc>
      </w:tr>
      <w:tr>
        <w:trPr>
          <w:trHeight w:val="189"/>
        </w:trPr>
        <w:tc>
          <w:tcPr>
            <w:tcW w:w="200" w:type="dxa"/>
            <w:vAlign w:val="bottom"/>
          </w:tcPr>
          <w:p>
            <w:pPr>
              <w:spacing w:after="0"/>
              <w:rPr>
                <w:sz w:val="16"/>
                <w:szCs w:val="16"/>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rPr>
              <w:t>your shares in person, please</w:t>
            </w:r>
          </w:p>
        </w:tc>
        <w:tc>
          <w:tcPr>
            <w:tcW w:w="3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80" w:type="dxa"/>
            <w:vAlign w:val="bottom"/>
          </w:tcPr>
          <w:p>
            <w:pPr>
              <w:spacing w:after="0"/>
              <w:rPr>
                <w:sz w:val="16"/>
                <w:szCs w:val="16"/>
                <w:color w:val="auto"/>
              </w:rPr>
            </w:pPr>
          </w:p>
        </w:tc>
      </w:tr>
      <w:tr>
        <w:trPr>
          <w:trHeight w:val="210"/>
        </w:trPr>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rPr>
              <w:t>mark this box.</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03"/>
        </w:trPr>
        <w:tc>
          <w:tcPr>
            <w:tcW w:w="200" w:type="dxa"/>
            <w:vAlign w:val="bottom"/>
          </w:tcPr>
          <w:p>
            <w:pPr>
              <w:spacing w:after="0"/>
              <w:rPr>
                <w:sz w:val="24"/>
                <w:szCs w:val="24"/>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rPr>
              <w:t>Authorized Signatures - This</w:t>
            </w:r>
          </w:p>
        </w:tc>
        <w:tc>
          <w:tcPr>
            <w:tcW w:w="3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03"/>
        </w:trPr>
        <w:tc>
          <w:tcPr>
            <w:tcW w:w="200" w:type="dxa"/>
            <w:vAlign w:val="bottom"/>
          </w:tcPr>
          <w:p>
            <w:pPr>
              <w:spacing w:after="0"/>
              <w:rPr>
                <w:sz w:val="17"/>
                <w:szCs w:val="17"/>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w w:val="99"/>
              </w:rPr>
              <w:t>section must be completed for</w:t>
            </w:r>
          </w:p>
        </w:tc>
        <w:tc>
          <w:tcPr>
            <w:tcW w:w="3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10"/>
        </w:trPr>
        <w:tc>
          <w:tcPr>
            <w:tcW w:w="20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Arial" w:cs="Arial" w:eastAsia="Arial" w:hAnsi="Arial"/>
                <w:sz w:val="16"/>
                <w:szCs w:val="16"/>
                <w:b w:val="1"/>
                <w:bCs w:val="1"/>
                <w:color w:val="auto"/>
                <w:w w:val="91"/>
              </w:rPr>
              <w:t>your Instructions to be executed.</w:t>
            </w:r>
          </w:p>
        </w:tc>
        <w:tc>
          <w:tcPr>
            <w:tcW w:w="3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330"/>
        </w:trPr>
        <w:tc>
          <w:tcPr>
            <w:tcW w:w="200" w:type="dxa"/>
            <w:vAlign w:val="bottom"/>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Borders>
              <w:bottom w:val="single" w:sz="8" w:color="auto"/>
            </w:tcBorders>
            <w:gridSpan w:val="2"/>
          </w:tcPr>
          <w:p>
            <w:pPr>
              <w:spacing w:after="0"/>
              <w:rPr>
                <w:sz w:val="24"/>
                <w:szCs w:val="24"/>
                <w:color w:val="auto"/>
              </w:rPr>
            </w:pPr>
          </w:p>
        </w:tc>
      </w:tr>
      <w:tr>
        <w:trPr>
          <w:trHeight w:val="184"/>
        </w:trPr>
        <w:tc>
          <w:tcPr>
            <w:tcW w:w="200" w:type="dxa"/>
            <w:vAlign w:val="bottom"/>
          </w:tcPr>
          <w:p>
            <w:pPr>
              <w:spacing w:after="0"/>
              <w:rPr>
                <w:sz w:val="16"/>
                <w:szCs w:val="16"/>
                <w:color w:val="auto"/>
              </w:rPr>
            </w:pPr>
          </w:p>
        </w:tc>
        <w:tc>
          <w:tcPr>
            <w:tcW w:w="2320" w:type="dxa"/>
            <w:vAlign w:val="bottom"/>
          </w:tcPr>
          <w:p>
            <w:pPr>
              <w:ind w:left="600"/>
              <w:spacing w:after="0"/>
              <w:rPr>
                <w:sz w:val="20"/>
                <w:szCs w:val="20"/>
                <w:color w:val="auto"/>
              </w:rPr>
            </w:pPr>
            <w:r>
              <w:rPr>
                <w:rFonts w:ascii="Arial" w:cs="Arial" w:eastAsia="Arial" w:hAnsi="Arial"/>
                <w:sz w:val="14"/>
                <w:szCs w:val="14"/>
                <w:color w:val="auto"/>
              </w:rPr>
              <w:t>Please Sign Here</w:t>
            </w:r>
          </w:p>
        </w:tc>
        <w:tc>
          <w:tcPr>
            <w:tcW w:w="3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Please Date Above</w:t>
            </w:r>
          </w:p>
        </w:tc>
      </w:tr>
      <w:tr>
        <w:trPr>
          <w:trHeight w:val="106"/>
        </w:trPr>
        <w:tc>
          <w:tcPr>
            <w:tcW w:w="200" w:type="dxa"/>
            <w:vAlign w:val="bottom"/>
          </w:tcPr>
          <w:p>
            <w:pPr>
              <w:spacing w:after="0"/>
              <w:rPr>
                <w:sz w:val="9"/>
                <w:szCs w:val="9"/>
                <w:color w:val="auto"/>
              </w:rPr>
            </w:pPr>
          </w:p>
        </w:tc>
        <w:tc>
          <w:tcPr>
            <w:tcW w:w="23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60" w:type="dxa"/>
            <w:vAlign w:val="bottom"/>
            <w:tcBorders>
              <w:bottom w:val="single" w:sz="8" w:color="auto"/>
            </w:tcBorders>
            <w:gridSpan w:val="2"/>
          </w:tcPr>
          <w:p>
            <w:pPr>
              <w:spacing w:after="0"/>
              <w:rPr>
                <w:sz w:val="9"/>
                <w:szCs w:val="9"/>
                <w:color w:val="auto"/>
              </w:rPr>
            </w:pPr>
          </w:p>
        </w:tc>
      </w:tr>
      <w:tr>
        <w:trPr>
          <w:trHeight w:val="184"/>
        </w:trPr>
        <w:tc>
          <w:tcPr>
            <w:tcW w:w="200" w:type="dxa"/>
            <w:vAlign w:val="bottom"/>
          </w:tcPr>
          <w:p>
            <w:pPr>
              <w:spacing w:after="0"/>
              <w:rPr>
                <w:sz w:val="16"/>
                <w:szCs w:val="16"/>
                <w:color w:val="auto"/>
              </w:rPr>
            </w:pPr>
          </w:p>
        </w:tc>
        <w:tc>
          <w:tcPr>
            <w:tcW w:w="2320" w:type="dxa"/>
            <w:vAlign w:val="bottom"/>
          </w:tcPr>
          <w:p>
            <w:pPr>
              <w:ind w:left="600"/>
              <w:spacing w:after="0"/>
              <w:rPr>
                <w:sz w:val="20"/>
                <w:szCs w:val="20"/>
                <w:color w:val="auto"/>
              </w:rPr>
            </w:pPr>
            <w:r>
              <w:rPr>
                <w:rFonts w:ascii="Arial" w:cs="Arial" w:eastAsia="Arial" w:hAnsi="Arial"/>
                <w:sz w:val="14"/>
                <w:szCs w:val="14"/>
                <w:color w:val="auto"/>
              </w:rPr>
              <w:t>Please Sign Here</w:t>
            </w:r>
          </w:p>
        </w:tc>
        <w:tc>
          <w:tcPr>
            <w:tcW w:w="320" w:type="dxa"/>
            <w:vAlign w:val="bottom"/>
          </w:tcPr>
          <w:p>
            <w:pPr>
              <w:spacing w:after="0"/>
              <w:rPr>
                <w:sz w:val="16"/>
                <w:szCs w:val="16"/>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color w:val="auto"/>
              </w:rPr>
              <w:t>Please Date Above</w:t>
            </w:r>
          </w:p>
        </w:tc>
      </w:tr>
    </w:tbl>
    <w:p>
      <w:pPr>
        <w:spacing w:after="0" w:line="152" w:lineRule="exact"/>
        <w:rPr>
          <w:sz w:val="20"/>
          <w:szCs w:val="20"/>
          <w:color w:val="auto"/>
        </w:rPr>
      </w:pPr>
    </w:p>
    <w:p>
      <w:pPr>
        <w:jc w:val="both"/>
        <w:ind w:left="220"/>
        <w:spacing w:after="0" w:line="245" w:lineRule="auto"/>
        <w:rPr>
          <w:sz w:val="20"/>
          <w:szCs w:val="20"/>
          <w:color w:val="auto"/>
        </w:rPr>
      </w:pPr>
      <w:r>
        <w:rPr>
          <w:rFonts w:ascii="Arial" w:cs="Arial" w:eastAsia="Arial" w:hAnsi="Arial"/>
          <w:sz w:val="14"/>
          <w:szCs w:val="14"/>
          <w:color w:val="auto"/>
        </w:rPr>
        <w:t>Please sign exactly as your name(s) appears on your stock certificate. If held in joint tenancy, all persons should sign. Trustees, administrators, etc., should include title and authority. Corporations should provide full name of the corporation and title of authorized officer signing the proxy.</w:t>
      </w:r>
    </w:p>
    <w:p>
      <w:pPr>
        <w:spacing w:after="0" w:line="127" w:lineRule="exact"/>
        <w:rPr>
          <w:sz w:val="20"/>
          <w:szCs w:val="20"/>
          <w:color w:val="auto"/>
        </w:rPr>
      </w:pPr>
    </w:p>
    <w:p>
      <w:pPr>
        <w:jc w:val="both"/>
        <w:ind w:left="1440" w:hanging="1205"/>
        <w:spacing w:after="0" w:line="253" w:lineRule="auto"/>
        <w:rPr>
          <w:sz w:val="20"/>
          <w:szCs w:val="20"/>
          <w:color w:val="auto"/>
        </w:rPr>
      </w:pPr>
      <w:r>
        <w:rPr>
          <w:rFonts w:ascii="Arial" w:cs="Arial" w:eastAsia="Arial" w:hAnsi="Arial"/>
          <w:sz w:val="14"/>
          <w:szCs w:val="14"/>
          <w:color w:val="auto"/>
        </w:rPr>
        <w:t xml:space="preserve">Please separate carefully at the perforation and return just this portion in the envelope provided. </w:t>
      </w:r>
      <w:r>
        <w:rPr>
          <w:sz w:val="1"/>
          <w:szCs w:val="1"/>
          <w:color w:val="auto"/>
        </w:rPr>
        <w:drawing>
          <wp:inline distT="0" distB="0" distL="0" distR="0">
            <wp:extent cx="68580" cy="76835"/>
            <wp:effectExtent l="0" t="0" r="0"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76835"/>
                    </a:xfrm>
                    <a:prstGeom prst="rect">
                      <a:avLst/>
                    </a:prstGeom>
                    <a:noFill/>
                    <a:ln>
                      <a:noFill/>
                    </a:ln>
                  </pic:spPr>
                </pic:pic>
              </a:graphicData>
            </a:graphic>
          </wp:inline>
        </w:drawing>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-203200</wp:posOffset>
            </wp:positionV>
            <wp:extent cx="68580" cy="768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768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Annual Meeting of 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-1196975</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1216660</wp:posOffset>
            </wp:positionH>
            <wp:positionV relativeFrom="paragraph">
              <wp:posOffset>-622935</wp:posOffset>
            </wp:positionV>
            <wp:extent cx="1714500" cy="48006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jc w:val="center"/>
        <w:spacing w:after="0"/>
        <w:rPr>
          <w:sz w:val="20"/>
          <w:szCs w:val="20"/>
          <w:color w:val="auto"/>
        </w:rPr>
      </w:pPr>
      <w:r>
        <w:rPr>
          <w:rFonts w:ascii="Arial" w:cs="Arial" w:eastAsia="Arial" w:hAnsi="Arial"/>
          <w:sz w:val="22"/>
          <w:szCs w:val="22"/>
          <w:b w:val="1"/>
          <w:bCs w:val="1"/>
          <w:color w:val="auto"/>
        </w:rPr>
        <w:t>to be held on Thursday April 23, 2020</w:t>
      </w:r>
    </w:p>
    <w:p>
      <w:pPr>
        <w:jc w:val="center"/>
        <w:spacing w:after="0" w:line="235" w:lineRule="auto"/>
        <w:rPr>
          <w:sz w:val="20"/>
          <w:szCs w:val="20"/>
          <w:color w:val="auto"/>
        </w:rPr>
      </w:pPr>
      <w:r>
        <w:rPr>
          <w:rFonts w:ascii="Arial" w:cs="Arial" w:eastAsia="Arial" w:hAnsi="Arial"/>
          <w:sz w:val="22"/>
          <w:szCs w:val="22"/>
          <w:b w:val="1"/>
          <w:bCs w:val="1"/>
          <w:color w:val="auto"/>
        </w:rPr>
        <w:t>for Holders as of February 24, 2020</w:t>
      </w:r>
    </w:p>
    <w:p>
      <w:pPr>
        <w:ind w:left="840"/>
        <w:spacing w:after="0"/>
        <w:rPr>
          <w:sz w:val="20"/>
          <w:szCs w:val="20"/>
          <w:color w:val="auto"/>
        </w:rPr>
      </w:pPr>
      <w:r>
        <w:rPr>
          <w:rFonts w:ascii="Arial" w:cs="Arial" w:eastAsia="Arial" w:hAnsi="Arial"/>
          <w:sz w:val="18"/>
          <w:szCs w:val="18"/>
          <w:b w:val="1"/>
          <w:bCs w:val="1"/>
          <w:color w:val="auto"/>
        </w:rPr>
        <w:t>This proxy is being solicited on behalf of the Board of Directors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gridSpan w:val="4"/>
          </w:tcPr>
          <w:p>
            <w:pPr>
              <w:jc w:val="center"/>
              <w:ind w:right="20"/>
              <w:spacing w:after="0"/>
              <w:rPr>
                <w:sz w:val="20"/>
                <w:szCs w:val="20"/>
                <w:color w:val="auto"/>
              </w:rPr>
            </w:pPr>
            <w:r>
              <w:rPr>
                <w:rFonts w:ascii="Arial" w:cs="Arial" w:eastAsia="Arial" w:hAnsi="Arial"/>
                <w:sz w:val="20"/>
                <w:szCs w:val="20"/>
                <w:b w:val="1"/>
                <w:bCs w:val="1"/>
                <w:color w:val="auto"/>
                <w:w w:val="99"/>
              </w:rPr>
              <w:t>VOTE BY:</w:t>
            </w: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90"/>
        </w:trPr>
        <w:tc>
          <w:tcPr>
            <w:tcW w:w="1400" w:type="dxa"/>
            <w:vAlign w:val="bottom"/>
          </w:tcPr>
          <w:p>
            <w:pPr>
              <w:spacing w:after="0"/>
              <w:rPr>
                <w:sz w:val="24"/>
                <w:szCs w:val="24"/>
                <w:color w:val="auto"/>
              </w:rPr>
            </w:pPr>
          </w:p>
        </w:tc>
        <w:tc>
          <w:tcPr>
            <w:tcW w:w="10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rPr>
              <w:t>INTERNET</w:t>
            </w: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240" w:type="dxa"/>
            <w:vAlign w:val="bottom"/>
            <w:tcBorders>
              <w:bottom w:val="single" w:sz="8" w:color="auto"/>
            </w:tcBorders>
          </w:tcPr>
          <w:p>
            <w:pPr>
              <w:spacing w:after="0"/>
              <w:rPr>
                <w:sz w:val="20"/>
                <w:szCs w:val="20"/>
                <w:color w:val="auto"/>
              </w:rPr>
            </w:pPr>
            <w:r>
              <w:rPr>
                <w:rFonts w:ascii="Arial" w:cs="Arial" w:eastAsia="Arial" w:hAnsi="Arial"/>
                <w:sz w:val="20"/>
                <w:szCs w:val="20"/>
                <w:b w:val="1"/>
                <w:bCs w:val="1"/>
                <w:color w:val="auto"/>
                <w:w w:val="99"/>
              </w:rPr>
              <w:t>TELEPHONE</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2560" w:type="dxa"/>
            <w:vAlign w:val="bottom"/>
            <w:gridSpan w:val="3"/>
          </w:tcPr>
          <w:p>
            <w:pPr>
              <w:spacing w:after="0"/>
              <w:rPr>
                <w:sz w:val="20"/>
                <w:szCs w:val="20"/>
                <w:color w:val="auto"/>
              </w:rPr>
            </w:pPr>
            <w:r>
              <w:rPr>
                <w:rFonts w:ascii="Arial" w:cs="Arial" w:eastAsia="Arial" w:hAnsi="Arial"/>
                <w:sz w:val="16"/>
                <w:szCs w:val="16"/>
                <w:color w:val="auto"/>
              </w:rPr>
              <w:t>Go To</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ind w:left="20"/>
              <w:spacing w:after="0"/>
              <w:rPr>
                <w:sz w:val="20"/>
                <w:szCs w:val="20"/>
                <w:color w:val="auto"/>
              </w:rPr>
            </w:pPr>
            <w:r>
              <w:rPr>
                <w:rFonts w:ascii="Arial" w:cs="Arial" w:eastAsia="Arial" w:hAnsi="Arial"/>
                <w:sz w:val="16"/>
                <w:szCs w:val="16"/>
                <w:color w:val="auto"/>
              </w:rPr>
              <w:t>Call</w:t>
            </w:r>
          </w:p>
        </w:tc>
        <w:tc>
          <w:tcPr>
            <w:tcW w:w="0" w:type="dxa"/>
            <w:vAlign w:val="bottom"/>
          </w:tcPr>
          <w:p>
            <w:pPr>
              <w:spacing w:after="0"/>
              <w:rPr>
                <w:sz w:val="1"/>
                <w:szCs w:val="1"/>
                <w:color w:val="auto"/>
              </w:rPr>
            </w:pPr>
          </w:p>
        </w:tc>
      </w:tr>
      <w:tr>
        <w:trPr>
          <w:trHeight w:val="216"/>
        </w:trPr>
        <w:tc>
          <w:tcPr>
            <w:tcW w:w="2560" w:type="dxa"/>
            <w:vAlign w:val="bottom"/>
            <w:gridSpan w:val="3"/>
          </w:tcPr>
          <w:p>
            <w:pPr>
              <w:spacing w:after="0"/>
              <w:rPr>
                <w:sz w:val="20"/>
                <w:szCs w:val="20"/>
                <w:color w:val="auto"/>
              </w:rPr>
            </w:pPr>
            <w:r>
              <w:rPr>
                <w:rFonts w:ascii="Arial" w:cs="Arial" w:eastAsia="Arial" w:hAnsi="Arial"/>
                <w:sz w:val="18"/>
                <w:szCs w:val="18"/>
                <w:b w:val="1"/>
                <w:bCs w:val="1"/>
                <w:color w:val="auto"/>
              </w:rPr>
              <w:t>www.proxypush.com/LNTH</w:t>
            </w: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40" w:type="dxa"/>
            <w:vAlign w:val="bottom"/>
            <w:gridSpan w:val="2"/>
          </w:tcPr>
          <w:p>
            <w:pPr>
              <w:ind w:left="320"/>
              <w:spacing w:after="0"/>
              <w:rPr>
                <w:sz w:val="20"/>
                <w:szCs w:val="20"/>
                <w:color w:val="auto"/>
              </w:rPr>
            </w:pPr>
            <w:r>
              <w:rPr>
                <w:rFonts w:ascii="Arial" w:cs="Arial" w:eastAsia="Arial" w:hAnsi="Arial"/>
                <w:sz w:val="18"/>
                <w:szCs w:val="18"/>
                <w:b w:val="1"/>
                <w:bCs w:val="1"/>
                <w:color w:val="auto"/>
              </w:rPr>
              <w:t>866-240-5317</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560" w:type="dxa"/>
            <w:vAlign w:val="bottom"/>
            <w:gridSpan w:val="3"/>
          </w:tcPr>
          <w:p>
            <w:pPr>
              <w:ind w:left="120"/>
              <w:spacing w:after="0"/>
              <w:rPr>
                <w:sz w:val="20"/>
                <w:szCs w:val="20"/>
                <w:color w:val="auto"/>
              </w:rPr>
            </w:pPr>
            <w:r>
              <w:rPr>
                <w:rFonts w:ascii="Arial" w:cs="Arial" w:eastAsia="Arial" w:hAnsi="Arial"/>
                <w:sz w:val="16"/>
                <w:szCs w:val="16"/>
                <w:color w:val="auto"/>
              </w:rPr>
              <w:t>• Cast your vote online 24 hours</w:t>
            </w:r>
          </w:p>
        </w:tc>
        <w:tc>
          <w:tcPr>
            <w:tcW w:w="240" w:type="dxa"/>
            <w:vAlign w:val="bottom"/>
          </w:tcPr>
          <w:p>
            <w:pPr>
              <w:spacing w:after="0"/>
              <w:rPr>
                <w:sz w:val="17"/>
                <w:szCs w:val="17"/>
                <w:color w:val="auto"/>
              </w:rPr>
            </w:pPr>
          </w:p>
        </w:tc>
        <w:tc>
          <w:tcPr>
            <w:tcW w:w="720" w:type="dxa"/>
            <w:vAlign w:val="bottom"/>
            <w:gridSpan w:val="3"/>
            <w:vMerge w:val="restart"/>
          </w:tcPr>
          <w:p>
            <w:pPr>
              <w:jc w:val="center"/>
              <w:ind w:right="240"/>
              <w:spacing w:after="0"/>
              <w:rPr>
                <w:sz w:val="20"/>
                <w:szCs w:val="20"/>
                <w:color w:val="auto"/>
              </w:rPr>
            </w:pPr>
            <w:r>
              <w:rPr>
                <w:rFonts w:ascii="Arial" w:cs="Arial" w:eastAsia="Arial" w:hAnsi="Arial"/>
                <w:sz w:val="18"/>
                <w:szCs w:val="18"/>
                <w:b w:val="1"/>
                <w:bCs w:val="1"/>
                <w:color w:val="auto"/>
              </w:rPr>
              <w:t>OR</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3"/>
          </w:tcPr>
          <w:p>
            <w:pPr>
              <w:ind w:left="60"/>
              <w:spacing w:after="0"/>
              <w:rPr>
                <w:sz w:val="20"/>
                <w:szCs w:val="20"/>
                <w:color w:val="auto"/>
              </w:rPr>
            </w:pPr>
            <w:r>
              <w:rPr>
                <w:rFonts w:ascii="Arial" w:cs="Arial" w:eastAsia="Arial" w:hAnsi="Arial"/>
                <w:sz w:val="16"/>
                <w:szCs w:val="16"/>
                <w:color w:val="auto"/>
                <w:w w:val="90"/>
              </w:rPr>
              <w:t>Use any touch-tone telephone toll-free 24</w:t>
            </w:r>
          </w:p>
        </w:tc>
        <w:tc>
          <w:tcPr>
            <w:tcW w:w="0" w:type="dxa"/>
            <w:vAlign w:val="bottom"/>
          </w:tcPr>
          <w:p>
            <w:pPr>
              <w:spacing w:after="0"/>
              <w:rPr>
                <w:sz w:val="1"/>
                <w:szCs w:val="1"/>
                <w:color w:val="auto"/>
              </w:rPr>
            </w:pPr>
          </w:p>
        </w:tc>
      </w:tr>
      <w:tr>
        <w:trPr>
          <w:trHeight w:val="198"/>
        </w:trPr>
        <w:tc>
          <w:tcPr>
            <w:tcW w:w="2560" w:type="dxa"/>
            <w:vAlign w:val="bottom"/>
            <w:gridSpan w:val="3"/>
          </w:tcPr>
          <w:p>
            <w:pPr>
              <w:ind w:left="260"/>
              <w:spacing w:after="0"/>
              <w:rPr>
                <w:sz w:val="20"/>
                <w:szCs w:val="20"/>
                <w:color w:val="auto"/>
              </w:rPr>
            </w:pPr>
            <w:r>
              <w:rPr>
                <w:rFonts w:ascii="Arial" w:cs="Arial" w:eastAsia="Arial" w:hAnsi="Arial"/>
                <w:sz w:val="16"/>
                <w:szCs w:val="16"/>
                <w:color w:val="auto"/>
              </w:rPr>
              <w:t>a day/7 days a week.</w:t>
            </w:r>
          </w:p>
        </w:tc>
        <w:tc>
          <w:tcPr>
            <w:tcW w:w="240" w:type="dxa"/>
            <w:vAlign w:val="bottom"/>
          </w:tcPr>
          <w:p>
            <w:pPr>
              <w:spacing w:after="0"/>
              <w:rPr>
                <w:sz w:val="17"/>
                <w:szCs w:val="17"/>
                <w:color w:val="auto"/>
              </w:rPr>
            </w:pPr>
          </w:p>
        </w:tc>
        <w:tc>
          <w:tcPr>
            <w:tcW w:w="72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ind w:left="60"/>
              <w:spacing w:after="0"/>
              <w:rPr>
                <w:sz w:val="20"/>
                <w:szCs w:val="20"/>
                <w:color w:val="auto"/>
              </w:rPr>
            </w:pPr>
            <w:r>
              <w:rPr>
                <w:rFonts w:ascii="Arial" w:cs="Arial" w:eastAsia="Arial" w:hAnsi="Arial"/>
                <w:sz w:val="16"/>
                <w:szCs w:val="16"/>
                <w:color w:val="auto"/>
              </w:rPr>
              <w:t>hours a day/7 days a week.</w:t>
            </w:r>
          </w:p>
        </w:tc>
        <w:tc>
          <w:tcPr>
            <w:tcW w:w="0" w:type="dxa"/>
            <w:vAlign w:val="bottom"/>
          </w:tcPr>
          <w:p>
            <w:pPr>
              <w:spacing w:after="0"/>
              <w:rPr>
                <w:sz w:val="1"/>
                <w:szCs w:val="1"/>
                <w:color w:val="auto"/>
              </w:rPr>
            </w:pPr>
          </w:p>
        </w:tc>
      </w:tr>
      <w:tr>
        <w:trPr>
          <w:trHeight w:val="203"/>
        </w:trPr>
        <w:tc>
          <w:tcPr>
            <w:tcW w:w="2560" w:type="dxa"/>
            <w:vAlign w:val="bottom"/>
            <w:gridSpan w:val="3"/>
          </w:tcPr>
          <w:p>
            <w:pPr>
              <w:ind w:left="120"/>
              <w:spacing w:after="0"/>
              <w:rPr>
                <w:sz w:val="20"/>
                <w:szCs w:val="20"/>
                <w:color w:val="auto"/>
              </w:rPr>
            </w:pPr>
            <w:r>
              <w:rPr>
                <w:rFonts w:ascii="Arial" w:cs="Arial" w:eastAsia="Arial" w:hAnsi="Arial"/>
                <w:sz w:val="16"/>
                <w:szCs w:val="16"/>
                <w:color w:val="auto"/>
              </w:rPr>
              <w:t>• Have your Proxy Card/Voting</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60" w:type="dxa"/>
            <w:vAlign w:val="bottom"/>
            <w:gridSpan w:val="4"/>
          </w:tcPr>
          <w:p>
            <w:pPr>
              <w:ind w:left="40"/>
              <w:spacing w:after="0"/>
              <w:rPr>
                <w:sz w:val="20"/>
                <w:szCs w:val="20"/>
                <w:color w:val="auto"/>
              </w:rPr>
            </w:pPr>
            <w:r>
              <w:rPr>
                <w:rFonts w:ascii="Arial" w:cs="Arial" w:eastAsia="Arial" w:hAnsi="Arial"/>
                <w:sz w:val="16"/>
                <w:szCs w:val="16"/>
                <w:color w:val="auto"/>
              </w:rPr>
              <w:t xml:space="preserve">• </w:t>
            </w:r>
            <w:r>
              <w:rPr>
                <w:rFonts w:ascii="Arial" w:cs="Arial" w:eastAsia="Arial" w:hAnsi="Arial"/>
                <w:sz w:val="16"/>
                <w:szCs w:val="16"/>
                <w:b w:val="1"/>
                <w:bCs w:val="1"/>
                <w:color w:val="auto"/>
              </w:rPr>
              <w:t>Have your Proxy Card/Voting</w:t>
            </w:r>
          </w:p>
        </w:tc>
        <w:tc>
          <w:tcPr>
            <w:tcW w:w="0" w:type="dxa"/>
            <w:vAlign w:val="bottom"/>
          </w:tcPr>
          <w:p>
            <w:pPr>
              <w:spacing w:after="0"/>
              <w:rPr>
                <w:sz w:val="1"/>
                <w:szCs w:val="1"/>
                <w:color w:val="auto"/>
              </w:rPr>
            </w:pPr>
          </w:p>
        </w:tc>
      </w:tr>
      <w:tr>
        <w:trPr>
          <w:trHeight w:val="207"/>
        </w:trPr>
        <w:tc>
          <w:tcPr>
            <w:tcW w:w="2560" w:type="dxa"/>
            <w:vAlign w:val="bottom"/>
            <w:gridSpan w:val="3"/>
          </w:tcPr>
          <w:p>
            <w:pPr>
              <w:ind w:left="260"/>
              <w:spacing w:after="0"/>
              <w:rPr>
                <w:sz w:val="20"/>
                <w:szCs w:val="20"/>
                <w:color w:val="auto"/>
              </w:rPr>
            </w:pPr>
            <w:r>
              <w:rPr>
                <w:rFonts w:ascii="Arial" w:cs="Arial" w:eastAsia="Arial" w:hAnsi="Arial"/>
                <w:sz w:val="16"/>
                <w:szCs w:val="16"/>
                <w:color w:val="auto"/>
              </w:rPr>
              <w:t>Instructions Form ready.</w:t>
            </w:r>
          </w:p>
        </w:tc>
        <w:tc>
          <w:tcPr>
            <w:tcW w:w="2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740" w:type="dxa"/>
            <w:vAlign w:val="bottom"/>
            <w:gridSpan w:val="3"/>
          </w:tcPr>
          <w:p>
            <w:pPr>
              <w:ind w:left="60"/>
              <w:spacing w:after="0"/>
              <w:rPr>
                <w:sz w:val="20"/>
                <w:szCs w:val="20"/>
                <w:color w:val="auto"/>
              </w:rPr>
            </w:pPr>
            <w:r>
              <w:rPr>
                <w:rFonts w:ascii="Arial" w:cs="Arial" w:eastAsia="Arial" w:hAnsi="Arial"/>
                <w:sz w:val="16"/>
                <w:szCs w:val="16"/>
                <w:b w:val="1"/>
                <w:bCs w:val="1"/>
                <w:color w:val="auto"/>
              </w:rPr>
              <w:t>Instruction Form ready.</w:t>
            </w:r>
          </w:p>
        </w:tc>
        <w:tc>
          <w:tcPr>
            <w:tcW w:w="0" w:type="dxa"/>
            <w:vAlign w:val="bottom"/>
          </w:tcPr>
          <w:p>
            <w:pPr>
              <w:spacing w:after="0"/>
              <w:rPr>
                <w:sz w:val="1"/>
                <w:szCs w:val="1"/>
                <w:color w:val="auto"/>
              </w:rPr>
            </w:pPr>
          </w:p>
        </w:tc>
      </w:tr>
      <w:tr>
        <w:trPr>
          <w:trHeight w:val="206"/>
        </w:trPr>
        <w:tc>
          <w:tcPr>
            <w:tcW w:w="14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gridSpan w:val="4"/>
            <w:vMerge w:val="restart"/>
          </w:tcPr>
          <w:p>
            <w:pPr>
              <w:jc w:val="center"/>
              <w:ind w:right="40"/>
              <w:spacing w:after="0"/>
              <w:rPr>
                <w:sz w:val="20"/>
                <w:szCs w:val="20"/>
                <w:color w:val="auto"/>
              </w:rPr>
            </w:pPr>
            <w:r>
              <w:rPr>
                <w:rFonts w:ascii="Arial" w:cs="Arial" w:eastAsia="Arial" w:hAnsi="Arial"/>
                <w:sz w:val="18"/>
                <w:szCs w:val="18"/>
                <w:b w:val="1"/>
                <w:bCs w:val="1"/>
                <w:color w:val="auto"/>
                <w:w w:val="99"/>
              </w:rPr>
              <w:t>MAIL</w:t>
            </w:r>
          </w:p>
        </w:tc>
        <w:tc>
          <w:tcPr>
            <w:tcW w:w="120" w:type="dxa"/>
            <w:vAlign w:val="bottom"/>
          </w:tcPr>
          <w:p>
            <w:pPr>
              <w:ind w:left="40"/>
              <w:spacing w:after="0"/>
              <w:rPr>
                <w:sz w:val="20"/>
                <w:szCs w:val="20"/>
                <w:color w:val="auto"/>
              </w:rPr>
            </w:pPr>
            <w:r>
              <w:rPr>
                <w:rFonts w:ascii="Arial" w:cs="Arial" w:eastAsia="Arial" w:hAnsi="Arial"/>
                <w:sz w:val="16"/>
                <w:szCs w:val="16"/>
                <w:color w:val="auto"/>
              </w:rPr>
              <w:t>•</w:t>
            </w:r>
          </w:p>
        </w:tc>
        <w:tc>
          <w:tcPr>
            <w:tcW w:w="2740" w:type="dxa"/>
            <w:vAlign w:val="bottom"/>
            <w:gridSpan w:val="3"/>
          </w:tcPr>
          <w:p>
            <w:pPr>
              <w:ind w:left="60"/>
              <w:spacing w:after="0"/>
              <w:rPr>
                <w:sz w:val="20"/>
                <w:szCs w:val="20"/>
                <w:color w:val="auto"/>
              </w:rPr>
            </w:pPr>
            <w:r>
              <w:rPr>
                <w:rFonts w:ascii="Arial" w:cs="Arial" w:eastAsia="Arial" w:hAnsi="Arial"/>
                <w:sz w:val="16"/>
                <w:szCs w:val="16"/>
                <w:color w:val="auto"/>
                <w:w w:val="94"/>
              </w:rPr>
              <w:t>Follow the simple recorded instructions.</w:t>
            </w:r>
          </w:p>
        </w:tc>
        <w:tc>
          <w:tcPr>
            <w:tcW w:w="0" w:type="dxa"/>
            <w:vAlign w:val="bottom"/>
          </w:tcPr>
          <w:p>
            <w:pPr>
              <w:spacing w:after="0"/>
              <w:rPr>
                <w:sz w:val="1"/>
                <w:szCs w:val="1"/>
                <w:color w:val="auto"/>
              </w:rPr>
            </w:pPr>
          </w:p>
        </w:tc>
      </w:tr>
      <w:tr>
        <w:trPr>
          <w:trHeight w:val="100"/>
        </w:trPr>
        <w:tc>
          <w:tcPr>
            <w:tcW w:w="2560" w:type="dxa"/>
            <w:vAlign w:val="bottom"/>
            <w:gridSpan w:val="3"/>
            <w:vMerge w:val="restart"/>
          </w:tcPr>
          <w:p>
            <w:pPr>
              <w:ind w:left="120"/>
              <w:spacing w:after="0"/>
              <w:rPr>
                <w:sz w:val="20"/>
                <w:szCs w:val="20"/>
                <w:color w:val="auto"/>
              </w:rPr>
            </w:pPr>
            <w:r>
              <w:rPr>
                <w:rFonts w:ascii="Arial" w:cs="Arial" w:eastAsia="Arial" w:hAnsi="Arial"/>
                <w:sz w:val="16"/>
                <w:szCs w:val="16"/>
                <w:color w:val="auto"/>
              </w:rPr>
              <w:t>• View Meeting Documents.</w:t>
            </w:r>
          </w:p>
        </w:tc>
        <w:tc>
          <w:tcPr>
            <w:tcW w:w="960" w:type="dxa"/>
            <w:vAlign w:val="bottom"/>
            <w:gridSpan w:val="4"/>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96"/>
        </w:trPr>
        <w:tc>
          <w:tcPr>
            <w:tcW w:w="2560" w:type="dxa"/>
            <w:vAlign w:val="bottom"/>
            <w:gridSpan w:val="3"/>
            <w:vMerge w:val="continue"/>
          </w:tcPr>
          <w:p>
            <w:pPr>
              <w:spacing w:after="0"/>
              <w:rPr>
                <w:sz w:val="8"/>
                <w:szCs w:val="8"/>
                <w:color w:val="auto"/>
              </w:rPr>
            </w:pPr>
          </w:p>
        </w:tc>
        <w:tc>
          <w:tcPr>
            <w:tcW w:w="240" w:type="dxa"/>
            <w:vAlign w:val="bottom"/>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2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1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574040</wp:posOffset>
            </wp:positionH>
            <wp:positionV relativeFrom="paragraph">
              <wp:posOffset>-1229995</wp:posOffset>
            </wp:positionV>
            <wp:extent cx="162560" cy="1631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62560" cy="163195"/>
                    </a:xfrm>
                    <a:prstGeom prst="rect">
                      <a:avLst/>
                    </a:prstGeom>
                    <a:noFill/>
                  </pic:spPr>
                </pic:pic>
              </a:graphicData>
            </a:graphic>
          </wp:anchor>
        </w:drawing>
        <w:drawing>
          <wp:anchor simplePos="0" relativeHeight="251657728" behindDoc="1" locked="0" layoutInCell="0" allowOverlap="1">
            <wp:simplePos x="0" y="0"/>
            <wp:positionH relativeFrom="column">
              <wp:posOffset>2768600</wp:posOffset>
            </wp:positionH>
            <wp:positionV relativeFrom="paragraph">
              <wp:posOffset>-1187450</wp:posOffset>
            </wp:positionV>
            <wp:extent cx="146050" cy="12001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46050" cy="120015"/>
                    </a:xfrm>
                    <a:prstGeom prst="rect">
                      <a:avLst/>
                    </a:prstGeom>
                    <a:noFill/>
                  </pic:spPr>
                </pic:pic>
              </a:graphicData>
            </a:graphic>
          </wp:anchor>
        </w:drawing>
        <w:drawing>
          <wp:anchor simplePos="0" relativeHeight="251657728" behindDoc="1" locked="0" layoutInCell="0" allowOverlap="1">
            <wp:simplePos x="0" y="0"/>
            <wp:positionH relativeFrom="column">
              <wp:posOffset>1825625</wp:posOffset>
            </wp:positionH>
            <wp:positionV relativeFrom="paragraph">
              <wp:posOffset>-364490</wp:posOffset>
            </wp:positionV>
            <wp:extent cx="205740" cy="1797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05740" cy="179705"/>
                    </a:xfrm>
                    <a:prstGeom prst="rect">
                      <a:avLst/>
                    </a:prstGeom>
                    <a:noFill/>
                  </pic:spPr>
                </pic:pic>
              </a:graphicData>
            </a:graphic>
          </wp:anchor>
        </w:drawing>
      </w:r>
    </w:p>
    <w:p>
      <w:pPr>
        <w:spacing w:after="0" w:line="4" w:lineRule="exact"/>
        <w:rPr>
          <w:sz w:val="20"/>
          <w:szCs w:val="20"/>
          <w:color w:val="auto"/>
        </w:rPr>
      </w:pPr>
    </w:p>
    <w:p>
      <w:pPr>
        <w:ind w:left="840"/>
        <w:spacing w:after="0"/>
        <w:tabs>
          <w:tab w:leader="none" w:pos="1420" w:val="left"/>
        </w:tabs>
        <w:rPr>
          <w:sz w:val="20"/>
          <w:szCs w:val="20"/>
          <w:color w:val="auto"/>
        </w:rPr>
      </w:pPr>
      <w:r>
        <w:rPr>
          <w:rFonts w:ascii="Arial" w:cs="Arial" w:eastAsia="Arial" w:hAnsi="Arial"/>
          <w:sz w:val="18"/>
          <w:szCs w:val="18"/>
          <w:b w:val="1"/>
          <w:bCs w:val="1"/>
          <w:color w:val="auto"/>
        </w:rPr>
        <w:t>OR</w:t>
      </w:r>
      <w:r>
        <w:rPr>
          <w:sz w:val="20"/>
          <w:szCs w:val="20"/>
          <w:color w:val="auto"/>
        </w:rPr>
        <w:tab/>
      </w:r>
      <w:r>
        <w:rPr>
          <w:rFonts w:ascii="Arial" w:cs="Arial" w:eastAsia="Arial" w:hAnsi="Arial"/>
          <w:sz w:val="18"/>
          <w:szCs w:val="18"/>
          <w:color w:val="auto"/>
        </w:rPr>
        <w:t>• Mark, sign and date your Proxy Card/Voting Instruction Form.</w:t>
      </w:r>
    </w:p>
    <w:p>
      <w:pPr>
        <w:spacing w:after="0" w:line="32" w:lineRule="exact"/>
        <w:rPr>
          <w:sz w:val="20"/>
          <w:szCs w:val="20"/>
          <w:color w:val="auto"/>
        </w:rPr>
      </w:pPr>
    </w:p>
    <w:p>
      <w:pPr>
        <w:ind w:left="1580" w:hanging="149"/>
        <w:spacing w:after="0"/>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Detach your Proxy Card/Voting Instruction Form.</w:t>
      </w:r>
    </w:p>
    <w:p>
      <w:pPr>
        <w:spacing w:after="0" w:line="9" w:lineRule="exact"/>
        <w:rPr>
          <w:rFonts w:ascii="Arial" w:cs="Arial" w:eastAsia="Arial" w:hAnsi="Arial"/>
          <w:sz w:val="18"/>
          <w:szCs w:val="18"/>
          <w:color w:val="auto"/>
        </w:rPr>
      </w:pPr>
    </w:p>
    <w:p>
      <w:pPr>
        <w:ind w:left="1580" w:right="980" w:hanging="149"/>
        <w:spacing w:after="0" w:line="260" w:lineRule="auto"/>
        <w:tabs>
          <w:tab w:leader="none" w:pos="1580" w:val="left"/>
        </w:tabs>
        <w:numPr>
          <w:ilvl w:val="0"/>
          <w:numId w:val="64"/>
        </w:numPr>
        <w:rPr>
          <w:rFonts w:ascii="Arial" w:cs="Arial" w:eastAsia="Arial" w:hAnsi="Arial"/>
          <w:sz w:val="18"/>
          <w:szCs w:val="18"/>
          <w:color w:val="auto"/>
        </w:rPr>
      </w:pPr>
      <w:r>
        <w:rPr>
          <w:rFonts w:ascii="Arial" w:cs="Arial" w:eastAsia="Arial" w:hAnsi="Arial"/>
          <w:sz w:val="18"/>
          <w:szCs w:val="18"/>
          <w:color w:val="auto"/>
        </w:rPr>
        <w:t>Return your Proxy Card/Voting Instruction Form in the postage-paid envelope provided.</w:t>
      </w:r>
    </w:p>
    <w:p>
      <w:pPr>
        <w:spacing w:after="0" w:line="29" w:lineRule="exact"/>
        <w:rPr>
          <w:sz w:val="20"/>
          <w:szCs w:val="20"/>
          <w:color w:val="auto"/>
        </w:rPr>
      </w:pPr>
    </w:p>
    <w:p>
      <w:pPr>
        <w:jc w:val="both"/>
        <w:ind w:left="140"/>
        <w:spacing w:after="0" w:line="243" w:lineRule="auto"/>
        <w:rPr>
          <w:sz w:val="20"/>
          <w:szCs w:val="20"/>
          <w:color w:val="auto"/>
        </w:rPr>
      </w:pPr>
      <w:r>
        <w:rPr>
          <w:rFonts w:ascii="Arial" w:cs="Arial" w:eastAsia="Arial" w:hAnsi="Arial"/>
          <w:sz w:val="14"/>
          <w:szCs w:val="14"/>
          <w:color w:val="auto"/>
        </w:rPr>
        <w:t>The undersigned hereby appoints Mary Anne Heino, Robert J. Marshall, Jr., Michael P. Duffy, Daniel Niedzwiecki and Eric Green and each or any of them, as the true and lawful attorneys of the undersigned, with full power of substitution and revocation, and authorizes them, and each of them, to vote all the shares of capital stock of Lantheus Holdings, Inc. which the undersigned is entitled to vote at said meeting and any adjournment thereof upon the matters specified and upon such other matters as may be properly brought before the meeting or any adjournment thereof, conferring authority upon such true and lawful attorneys to vote in their discretion on such other matters as may properly come before the meeting and revoking any proxy heretofore given.</w:t>
      </w:r>
    </w:p>
    <w:p>
      <w:pPr>
        <w:spacing w:after="0" w:line="100" w:lineRule="exact"/>
        <w:rPr>
          <w:sz w:val="20"/>
          <w:szCs w:val="20"/>
          <w:color w:val="auto"/>
        </w:rPr>
      </w:pPr>
    </w:p>
    <w:p>
      <w:pPr>
        <w:jc w:val="both"/>
        <w:ind w:left="140"/>
        <w:spacing w:after="0" w:line="247" w:lineRule="auto"/>
        <w:rPr>
          <w:sz w:val="20"/>
          <w:szCs w:val="20"/>
          <w:color w:val="auto"/>
        </w:rPr>
      </w:pPr>
      <w:r>
        <w:rPr>
          <w:rFonts w:ascii="Arial" w:cs="Arial" w:eastAsia="Arial" w:hAnsi="Arial"/>
          <w:sz w:val="14"/>
          <w:szCs w:val="14"/>
          <w:color w:val="auto"/>
        </w:rPr>
        <w:t>THE SHARES REPRESENTED BY THIS PROXY WILL BE VOTED AS DIRECTED OR, IF NO DIRECTION IS GIVEN, THAT SHARES WILL BE VOTED FOR THE PROPOSALS RECOMMENDED BY THE BOARD OF DIRECTORS FOR PROPOSALS 1, 2 AND 4 AND FOR 1 YEAR IN PROPOSAL 3.</w:t>
      </w:r>
    </w:p>
    <w:p>
      <w:pPr>
        <w:spacing w:after="0" w:line="200" w:lineRule="exact"/>
        <w:rPr>
          <w:sz w:val="20"/>
          <w:szCs w:val="20"/>
          <w:color w:val="auto"/>
        </w:rPr>
      </w:pPr>
    </w:p>
    <w:p>
      <w:pPr>
        <w:spacing w:after="0" w:line="289"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PROXY TABULATOR FOR</w:t>
      </w:r>
    </w:p>
    <w:p>
      <w:pPr>
        <w:spacing w:after="0" w:line="86"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LANTHEUS HOLDINGS,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136525</wp:posOffset>
            </wp:positionH>
            <wp:positionV relativeFrom="paragraph">
              <wp:posOffset>-1905</wp:posOffset>
            </wp:positionV>
            <wp:extent cx="1397000" cy="50609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397000" cy="506095"/>
                    </a:xfrm>
                    <a:prstGeom prst="rect">
                      <a:avLst/>
                    </a:prstGeom>
                    <a:noFill/>
                  </pic:spPr>
                </pic:pic>
              </a:graphicData>
            </a:graphic>
          </wp:anchor>
        </w:drawing>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P.O. BOX 8016</w:t>
      </w:r>
    </w:p>
    <w:p>
      <w:pPr>
        <w:spacing w:after="0" w:line="5" w:lineRule="exact"/>
        <w:rPr>
          <w:sz w:val="20"/>
          <w:szCs w:val="20"/>
          <w:color w:val="auto"/>
        </w:rPr>
      </w:pPr>
    </w:p>
    <w:p>
      <w:pPr>
        <w:ind w:left="3700"/>
        <w:spacing w:after="0"/>
        <w:rPr>
          <w:sz w:val="20"/>
          <w:szCs w:val="20"/>
          <w:color w:val="auto"/>
        </w:rPr>
      </w:pPr>
      <w:r>
        <w:rPr>
          <w:rFonts w:ascii="Arial" w:cs="Arial" w:eastAsia="Arial" w:hAnsi="Arial"/>
          <w:sz w:val="16"/>
          <w:szCs w:val="16"/>
          <w:b w:val="1"/>
          <w:bCs w:val="1"/>
          <w:color w:val="auto"/>
        </w:rPr>
        <w:t>CARY, NC 27512-9903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4088765</wp:posOffset>
            </wp:positionH>
            <wp:positionV relativeFrom="paragraph">
              <wp:posOffset>1245235</wp:posOffset>
            </wp:positionV>
            <wp:extent cx="17145" cy="15430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7145" cy="15430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1245235</wp:posOffset>
            </wp:positionV>
            <wp:extent cx="214630" cy="15430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4630" cy="154305"/>
                    </a:xfrm>
                    <a:prstGeom prst="rect">
                      <a:avLst/>
                    </a:prstGeom>
                    <a:noFill/>
                  </pic:spPr>
                </pic:pic>
              </a:graphicData>
            </a:graphic>
          </wp:anchor>
        </w:drawing>
        <w:drawing>
          <wp:anchor simplePos="0" relativeHeight="251657728" behindDoc="1" locked="0" layoutInCell="0" allowOverlap="1">
            <wp:simplePos x="0" y="0"/>
            <wp:positionH relativeFrom="column">
              <wp:posOffset>4020185</wp:posOffset>
            </wp:positionH>
            <wp:positionV relativeFrom="paragraph">
              <wp:posOffset>405130</wp:posOffset>
            </wp:positionV>
            <wp:extent cx="85725" cy="15430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5725" cy="154305"/>
                    </a:xfrm>
                    <a:prstGeom prst="rect">
                      <a:avLst/>
                    </a:prstGeom>
                    <a:noFill/>
                  </pic:spPr>
                </pic:pic>
              </a:graphicData>
            </a:graphic>
          </wp:anchor>
        </w:drawing>
        <w:drawing>
          <wp:anchor simplePos="0" relativeHeight="251657728" behindDoc="1" locked="0" layoutInCell="0" allowOverlap="1">
            <wp:simplePos x="0" y="0"/>
            <wp:positionH relativeFrom="column">
              <wp:posOffset>1414145</wp:posOffset>
            </wp:positionH>
            <wp:positionV relativeFrom="paragraph">
              <wp:posOffset>405130</wp:posOffset>
            </wp:positionV>
            <wp:extent cx="214630" cy="15430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214630" cy="154305"/>
                    </a:xfrm>
                    <a:prstGeom prst="rect">
                      <a:avLst/>
                    </a:prstGeom>
                    <a:noFill/>
                  </pic:spPr>
                </pic:pic>
              </a:graphicData>
            </a:graphic>
          </wp:anchor>
        </w:drawing>
      </w:r>
    </w:p>
    <w:p>
      <w:pPr>
        <w:sectPr>
          <w:pgSz w:w="11900" w:h="16838" w:orient="portrait"/>
          <w:cols w:equalWidth="0" w:num="2">
            <w:col w:w="4380" w:space="340"/>
            <w:col w:w="652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5">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Please separate carefully at the perforation and return just this portion in the envelope provided.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1685290</wp:posOffset>
            </wp:positionH>
            <wp:positionV relativeFrom="paragraph">
              <wp:posOffset>-89535</wp:posOffset>
            </wp:positionV>
            <wp:extent cx="68580" cy="774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5388610</wp:posOffset>
            </wp:positionH>
            <wp:positionV relativeFrom="paragraph">
              <wp:posOffset>-89535</wp:posOffset>
            </wp:positionV>
            <wp:extent cx="68580" cy="774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77470"/>
                    </a:xfrm>
                    <a:prstGeom prst="rect">
                      <a:avLst/>
                    </a:prstGeom>
                    <a:noFill/>
                  </pic:spPr>
                </pic:pic>
              </a:graphicData>
            </a:graphic>
          </wp:anchor>
        </w:drawing>
        <w:drawing>
          <wp:anchor simplePos="0" relativeHeight="251657728" behindDoc="1" locked="0" layoutInCell="0" allowOverlap="1">
            <wp:simplePos x="0" y="0"/>
            <wp:positionH relativeFrom="column">
              <wp:posOffset>2713990</wp:posOffset>
            </wp:positionH>
            <wp:positionV relativeFrom="paragraph">
              <wp:posOffset>98425</wp:posOffset>
            </wp:positionV>
            <wp:extent cx="1714500" cy="48006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714500" cy="480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ind w:left="340" w:right="2080"/>
        <w:spacing w:after="0" w:line="378" w:lineRule="auto"/>
        <w:rPr>
          <w:sz w:val="20"/>
          <w:szCs w:val="20"/>
          <w:color w:val="auto"/>
        </w:rPr>
      </w:pPr>
      <w:r>
        <w:rPr>
          <w:rFonts w:ascii="Arial" w:cs="Arial" w:eastAsia="Arial" w:hAnsi="Arial"/>
          <w:sz w:val="18"/>
          <w:szCs w:val="18"/>
          <w:b w:val="1"/>
          <w:bCs w:val="1"/>
          <w:color w:val="auto"/>
        </w:rPr>
        <w:t>Proxy for Annual Meeting of Stockholders to be held on Thursday April 23, 2020 This proxy is being solicited on behalf of the Board of Directors Please vote, date and sign this Proxy on the other side and return it in the enclosed envelope.</w:t>
      </w:r>
    </w:p>
    <w:p>
      <w:pPr>
        <w:spacing w:after="0" w:line="2" w:lineRule="exact"/>
        <w:rPr>
          <w:sz w:val="20"/>
          <w:szCs w:val="20"/>
          <w:color w:val="auto"/>
        </w:rPr>
      </w:pPr>
    </w:p>
    <w:p>
      <w:pPr>
        <w:jc w:val="both"/>
        <w:spacing w:after="0" w:line="324" w:lineRule="auto"/>
        <w:rPr>
          <w:sz w:val="20"/>
          <w:szCs w:val="20"/>
          <w:color w:val="auto"/>
        </w:rPr>
      </w:pPr>
      <w:r>
        <w:rPr>
          <w:rFonts w:ascii="Arial" w:cs="Arial" w:eastAsia="Arial" w:hAnsi="Arial"/>
          <w:sz w:val="14"/>
          <w:szCs w:val="14"/>
          <w:color w:val="auto"/>
        </w:rPr>
        <w:t>The Stockholder signing on the reverse side (the “undersigned”), having received the Annual Report and Proxy Statement, hereby appoint(s) Mary Anne Heino, Robert J. Marshall, Jr., Michael P. Duffy, Daniel Niedzwiecki and Eric Green and each of them, Proxies of the undersigned (with full power of substitution) to attend the Annual Meeting of Lantheus, Inc. (the “Company”) to be held on Thursday April 23, 2020, and all adjournments and postponements thereof (the “Meeting”), and to vote all shares of Common Stock of the Company that the undersigned would be entitled to vote, if personally present, in regard to all matters that may properly come before the Meeting.</w:t>
      </w:r>
    </w:p>
    <w:p>
      <w:pPr>
        <w:spacing w:after="0" w:line="49" w:lineRule="exact"/>
        <w:rPr>
          <w:sz w:val="20"/>
          <w:szCs w:val="20"/>
          <w:color w:val="auto"/>
        </w:rPr>
      </w:pPr>
    </w:p>
    <w:p>
      <w:pPr>
        <w:jc w:val="both"/>
        <w:spacing w:after="0" w:line="278" w:lineRule="auto"/>
        <w:rPr>
          <w:sz w:val="20"/>
          <w:szCs w:val="20"/>
          <w:color w:val="auto"/>
        </w:rPr>
      </w:pPr>
      <w:r>
        <w:rPr>
          <w:rFonts w:ascii="Arial" w:cs="Arial" w:eastAsia="Arial" w:hAnsi="Arial"/>
          <w:sz w:val="16"/>
          <w:szCs w:val="16"/>
          <w:color w:val="auto"/>
        </w:rPr>
        <w:t>The undersigned hereby confer(s) upon the Proxies, and each of them, discretionary authority to consider and act upon such business, matters or proposals as may properly come before the Meeting. The Proxy, when properly executed, will be voted in the manner specified herein. If no direction is given, that shares will be voted for the proposals recommended by the Board of Directors for proposals 1, 2 and 4 and for 1 year in proposal 3.</w:t>
      </w:r>
    </w:p>
    <w:sectPr>
      <w:pgSz w:w="11900" w:h="16838" w:orient="portrait"/>
      <w:cols w:equalWidth="0" w:num="1">
        <w:col w:w="11240"/>
      </w:cols>
      <w:pgMar w:left="320" w:top="45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2221A70"/>
    <w:multiLevelType w:val="hybridMultilevel"/>
    <w:lvl w:ilvl="0">
      <w:lvlJc w:val="left"/>
      <w:lvlText w:val="☐"/>
      <w:numFmt w:val="bullet"/>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lvl w:ilvl="1">
      <w:lvlJc w:val="left"/>
      <w:lvlText w:val="(%2)"/>
      <w:numFmt w:val="decimal"/>
      <w:start w:val="1"/>
    </w:lvl>
  </w:abstractNum>
  <w:abstractNum w:abstractNumId="5">
    <w:nsid w:val="5577F8E1"/>
    <w:multiLevelType w:val="hybridMultilevel"/>
    <w:lvl w:ilvl="0">
      <w:lvlJc w:val="left"/>
      <w:lvlText w:val="(%1)"/>
      <w:numFmt w:val="decimal"/>
      <w:start w:val="3"/>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1)"/>
      <w:numFmt w:val="decimal"/>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1)"/>
      <w:numFmt w:val="decimal"/>
      <w:start w:val="1"/>
    </w:lvl>
  </w:abstractNum>
  <w:abstractNum w:abstractNumId="26">
    <w:nsid w:val="7A6D8D3C"/>
    <w:multiLevelType w:val="hybridMultilevel"/>
    <w:lvl w:ilvl="0">
      <w:lvlJc w:val="left"/>
      <w:lvlText w:val="(%1)"/>
      <w:numFmt w:val="decimal"/>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lvl w:ilvl="1">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
      <w:numFmt w:val="bullet"/>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1)"/>
      <w:numFmt w:val="decimal"/>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
      <w:numFmt w:val="bullet"/>
      <w:start w:val="1"/>
    </w:lvl>
  </w:abstractNum>
  <w:abstractNum w:abstractNumId="47">
    <w:nsid w:val="275AC794"/>
    <w:multiLevelType w:val="hybridMultilevel"/>
    <w:lvl w:ilvl="0">
      <w:lvlJc w:val="left"/>
      <w:lvlText w:val="(%1)"/>
      <w:numFmt w:val="decimal"/>
      <w:start w:val="1"/>
    </w:lvl>
  </w:abstractNum>
  <w:abstractNum w:abstractNumId="48">
    <w:nsid w:val="39386575"/>
    <w:multiLevelType w:val="hybridMultilevel"/>
    <w:lvl w:ilvl="0">
      <w:lvlJc w:val="left"/>
      <w:lvlText w:val="(%1)"/>
      <w:numFmt w:val="decimal"/>
      <w:start w:val="2"/>
    </w:lvl>
  </w:abstractNum>
  <w:abstractNum w:abstractNumId="49">
    <w:nsid w:val="1CF10FD8"/>
    <w:multiLevelType w:val="hybridMultilevel"/>
    <w:lvl w:ilvl="0">
      <w:lvlJc w:val="left"/>
      <w:lvlText w:val="*"/>
      <w:numFmt w:val="bullet"/>
      <w:start w:val="1"/>
    </w:lvl>
  </w:abstractNum>
  <w:abstractNum w:abstractNumId="50">
    <w:nsid w:val="180115BE"/>
    <w:multiLevelType w:val="hybridMultilevel"/>
    <w:lvl w:ilvl="0">
      <w:lvlJc w:val="left"/>
      <w:lvlText w:val="(%1)"/>
      <w:numFmt w:val="decimal"/>
      <w:start w:val="3"/>
    </w:lvl>
    <w:lvl w:ilvl="1">
      <w:lvlJc w:val="left"/>
      <w:lvlText w:val="**"/>
      <w:numFmt w:val="bullet"/>
      <w:start w:val="1"/>
    </w:lvl>
  </w:abstractNum>
  <w:abstractNum w:abstractNumId="51">
    <w:nsid w:val="235BA861"/>
    <w:multiLevelType w:val="hybridMultilevel"/>
    <w:lvl w:ilvl="0">
      <w:lvlJc w:val="left"/>
      <w:lvlText w:val="(%1)"/>
      <w:numFmt w:val="decimal"/>
      <w:start w:val="1"/>
    </w:lvl>
  </w:abstractNum>
  <w:abstractNum w:abstractNumId="52">
    <w:nsid w:val="47398C89"/>
    <w:multiLevelType w:val="hybridMultilevel"/>
    <w:lvl w:ilvl="0">
      <w:lvlJc w:val="left"/>
      <w:lvlText w:val="(%1)"/>
      <w:numFmt w:val="decimal"/>
      <w:start w:val="1"/>
    </w:lvl>
  </w:abstractNum>
  <w:abstractNum w:abstractNumId="53">
    <w:nsid w:val="354FE9F9"/>
    <w:multiLevelType w:val="hybridMultilevel"/>
    <w:lvl w:ilvl="0">
      <w:lvlJc w:val="left"/>
      <w:lvlText w:val="(%1)"/>
      <w:numFmt w:val="decimal"/>
      <w:start w:val="7"/>
    </w:lvl>
  </w:abstractNum>
  <w:abstractNum w:abstractNumId="54">
    <w:nsid w:val="15B5AF5C"/>
    <w:multiLevelType w:val="hybridMultilevel"/>
    <w:lvl w:ilvl="0">
      <w:lvlJc w:val="left"/>
      <w:lvlText w:val="(%1)"/>
      <w:numFmt w:val="decimal"/>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1)"/>
      <w:numFmt w:val="decimal"/>
      <w:start w:val="1"/>
    </w:lvl>
  </w:abstractNum>
  <w:abstractNum w:abstractNumId="57">
    <w:nsid w:val="10233C99"/>
    <w:multiLevelType w:val="hybridMultilevel"/>
    <w:lvl w:ilvl="0">
      <w:lvlJc w:val="left"/>
      <w:lvlText w:val="(%1)"/>
      <w:numFmt w:val="lowerRoman"/>
      <w:start w:val="2"/>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1)"/>
      <w:numFmt w:val="decimal"/>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1)"/>
      <w:numFmt w:val="decimal"/>
      <w:start w:val="1"/>
    </w:lvl>
  </w:abstractNum>
  <w:abstractNum w:abstractNumId="62">
    <w:nsid w:val="579BE4F1"/>
    <w:multiLevelType w:val="hybridMultilevel"/>
    <w:lvl w:ilvl="0">
      <w:lvlJc w:val="left"/>
      <w:lvlText w:val="%1:"/>
      <w:numFmt w:val="decimal"/>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jpe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jpe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jpe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jpe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jpeg"/><Relationship Id="rId112" Type="http://schemas.openxmlformats.org/officeDocument/2006/relationships/image" Target="media/image105.jpe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jpeg"/><Relationship Id="rId122" Type="http://schemas.openxmlformats.org/officeDocument/2006/relationships/image" Target="media/image11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2020-03-12T15:32:29Z</dcterms:created>
  <dcterms:modified xsi:type="dcterms:W3CDTF">2020-03-12T15:32:29Z</dcterms:modified>
</cp:coreProperties>
</file>