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214630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241935</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219075</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LANTHEUS HOLDINGS,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219075</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11080"/>
          </w:cols>
          <w:pgMar w:left="320" w:top="1226" w:right="499" w:bottom="1440" w:gutter="0" w:footer="0" w:header="0"/>
        </w:sectPr>
      </w:pPr>
    </w:p>
    <w:p>
      <w:pPr>
        <w:spacing w:after="0" w:line="200" w:lineRule="exact"/>
        <w:rPr>
          <w:sz w:val="24"/>
          <w:szCs w:val="24"/>
          <w:color w:val="auto"/>
        </w:rPr>
      </w:pPr>
    </w:p>
    <w:p>
      <w:pPr>
        <w:spacing w:after="0" w:line="31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001-36569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35-2318913</w:t>
      </w:r>
    </w:p>
    <w:p>
      <w:pPr>
        <w:spacing w:after="0" w:line="12" w:lineRule="exact"/>
        <w:rPr>
          <w:sz w:val="24"/>
          <w:szCs w:val="24"/>
          <w:color w:val="auto"/>
        </w:rPr>
      </w:pPr>
    </w:p>
    <w:p>
      <w:pPr>
        <w:sectPr>
          <w:pgSz w:w="11900" w:h="16838" w:orient="portrait"/>
          <w:cols w:equalWidth="0" w:num="3">
            <w:col w:w="4500" w:space="720"/>
            <w:col w:w="2980" w:space="720"/>
            <w:col w:w="2160"/>
          </w:cols>
          <w:pgMar w:left="320" w:top="1226" w:right="499" w:bottom="1440" w:gutter="0" w:footer="0" w:header="0"/>
          <w:type w:val="continuous"/>
        </w:sect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0" w:space="720"/>
            <w:col w:w="2880" w:space="720"/>
            <w:col w:w="2280"/>
          </w:cols>
          <w:pgMar w:left="320" w:top="1226" w:right="499" w:bottom="1440" w:gutter="0" w:footer="0" w:header="0"/>
          <w:type w:val="continuous"/>
        </w:sectPr>
      </w:pPr>
    </w:p>
    <w:p>
      <w:pPr>
        <w:ind w:left="1560"/>
        <w:spacing w:after="0"/>
        <w:rPr>
          <w:sz w:val="20"/>
          <w:szCs w:val="20"/>
          <w:color w:val="auto"/>
        </w:rPr>
      </w:pPr>
      <w:r>
        <w:rPr>
          <w:rFonts w:ascii="Times New Roman" w:cs="Times New Roman" w:eastAsia="Times New Roman" w:hAnsi="Times New Roman"/>
          <w:sz w:val="17"/>
          <w:szCs w:val="17"/>
          <w:b w:val="1"/>
          <w:bCs w:val="1"/>
          <w:color w:val="auto"/>
        </w:rPr>
        <w:t>331 Treble Cove Road, North Billerica, 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01862</w:t>
      </w:r>
    </w:p>
    <w:p>
      <w:pPr>
        <w:spacing w:after="0" w:line="31" w:lineRule="exact"/>
        <w:rPr>
          <w:sz w:val="24"/>
          <w:szCs w:val="24"/>
          <w:color w:val="auto"/>
        </w:rPr>
      </w:pPr>
    </w:p>
    <w:p>
      <w:pPr>
        <w:sectPr>
          <w:pgSz w:w="11900" w:h="16838" w:orient="portrait"/>
          <w:cols w:equalWidth="0" w:num="2">
            <w:col w:w="7380" w:space="720"/>
            <w:col w:w="2980"/>
          </w:cols>
          <w:pgMar w:left="320" w:top="1226" w:right="499" w:bottom="1440" w:gutter="0" w:footer="0" w:header="0"/>
          <w:type w:val="continuous"/>
        </w:sectPr>
      </w:pPr>
    </w:p>
    <w:p>
      <w:pPr>
        <w:ind w:left="20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0" w:space="720"/>
            <w:col w:w="3080"/>
          </w:cols>
          <w:pgMar w:left="320" w:top="1226"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(978) 671-8001</w:t>
      </w:r>
    </w:p>
    <w:p>
      <w:pPr>
        <w:spacing w:after="0" w:line="200" w:lineRule="exact"/>
        <w:rPr>
          <w:sz w:val="24"/>
          <w:szCs w:val="24"/>
          <w:color w:val="auto"/>
        </w:rPr>
      </w:pPr>
    </w:p>
    <w:p>
      <w:pPr>
        <w:spacing w:after="0" w:line="37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232410</wp:posOffset>
            </wp:positionV>
            <wp:extent cx="1577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ind w:right="340" w:firstLine="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4" w:lineRule="exact"/>
        <w:rPr>
          <w:sz w:val="24"/>
          <w:szCs w:val="24"/>
          <w:color w:val="auto"/>
        </w:rPr>
      </w:pPr>
    </w:p>
    <w:p>
      <w:pPr>
        <w:ind w:left="380" w:hanging="33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640" w:firstLine="48"/>
        <w:spacing w:after="0" w:line="407"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66" w:lineRule="exact"/>
        <w:rPr>
          <w:sz w:val="24"/>
          <w:szCs w:val="24"/>
          <w:color w:val="auto"/>
        </w:rPr>
      </w:pPr>
    </w:p>
    <w:tbl>
      <w:tblPr>
        <w:tblLayout w:type="fixed"/>
        <w:tblInd w:w="750" w:type="dxa"/>
        <w:tblCellMar>
          <w:top w:w="0" w:type="dxa"/>
          <w:left w:w="0" w:type="dxa"/>
          <w:bottom w:w="0" w:type="dxa"/>
          <w:right w:w="0" w:type="dxa"/>
        </w:tblCellMar>
      </w:tblPr>
      <w:tr>
        <w:trPr>
          <w:trHeight w:val="243"/>
        </w:trPr>
        <w:tc>
          <w:tcPr>
            <w:tcW w:w="38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Title of each class</w:t>
            </w:r>
          </w:p>
        </w:tc>
        <w:tc>
          <w:tcPr>
            <w:tcW w:w="18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Trading Symbol(s)</w:t>
            </w:r>
          </w:p>
        </w:tc>
        <w:tc>
          <w:tcPr>
            <w:tcW w:w="40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8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8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LNTH</w:t>
            </w:r>
          </w:p>
        </w:tc>
        <w:tc>
          <w:tcPr>
            <w:tcW w:w="4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90"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9" w:lineRule="exact"/>
        <w:rPr>
          <w:sz w:val="24"/>
          <w:szCs w:val="24"/>
          <w:color w:val="auto"/>
        </w:rPr>
      </w:pPr>
    </w:p>
    <w:p>
      <w:pPr>
        <w:ind w:left="69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652780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125095</wp:posOffset>
            </wp:positionV>
            <wp:extent cx="70465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46595" cy="889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65405</wp:posOffset>
            </wp:positionV>
            <wp:extent cx="70465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ectPr>
          <w:pgSz w:w="11900" w:h="16838" w:orient="portrait"/>
          <w:cols w:equalWidth="0" w:num="1">
            <w:col w:w="11080"/>
          </w:cols>
          <w:pgMar w:left="320" w:top="1226" w:right="499" w:bottom="1440" w:gutter="0" w:footer="0" w:header="0"/>
          <w:type w:val="continuous"/>
        </w:sectPr>
      </w:pPr>
    </w:p>
    <w:bookmarkStart w:id="1" w:name="page2"/>
    <w:bookmarkEnd w:id="1"/>
    <w:p>
      <w:pPr>
        <w:ind w:left="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August 4, 2022, Lantheus Holdings, Inc. (the “Company”) announced via press release its financial results as of and for the three and six months ended June 30, 2022. A copy of that press release is being furnished as Exhibit 99.1 and is hereby incorporated by reference.</w:t>
      </w:r>
    </w:p>
    <w:p>
      <w:pPr>
        <w:spacing w:after="0" w:line="162"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information furnished pursuant to this Item 2.02, including Exhibit 99.1,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w:t>
      </w:r>
    </w:p>
    <w:p>
      <w:pPr>
        <w:spacing w:after="0" w:line="280"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p>
      <w:pPr>
        <w:ind w:left="80"/>
        <w:spacing w:after="0"/>
        <w:tabs>
          <w:tab w:leader="none" w:pos="54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7551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55130" cy="8255"/>
                    </a:xfrm>
                    <a:prstGeom prst="rect">
                      <a:avLst/>
                    </a:prstGeom>
                    <a:noFill/>
                  </pic:spPr>
                </pic:pic>
              </a:graphicData>
            </a:graphic>
          </wp:anchor>
        </w:drawing>
      </w:r>
    </w:p>
    <w:p>
      <w:pPr>
        <w:spacing w:after="0" w:line="20" w:lineRule="exact"/>
        <w:rPr>
          <w:sz w:val="20"/>
          <w:szCs w:val="20"/>
          <w:color w:val="auto"/>
        </w:rPr>
      </w:pPr>
    </w:p>
    <w:p>
      <w:pPr>
        <w:ind w:left="1300" w:right="1140" w:hanging="969"/>
        <w:spacing w:after="0" w:line="237" w:lineRule="auto"/>
        <w:tabs>
          <w:tab w:leader="none" w:pos="12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of Lantheus Holdings, Inc. dated August 4, 2022, entitled "Lantheus Reports Second Quarter 2022 Financial Results"</w:t>
      </w:r>
    </w:p>
    <w:p>
      <w:pPr>
        <w:spacing w:after="0" w:line="10" w:lineRule="exact"/>
        <w:rPr>
          <w:sz w:val="20"/>
          <w:szCs w:val="20"/>
          <w:color w:val="auto"/>
        </w:rPr>
      </w:pPr>
    </w:p>
    <w:p>
      <w:pPr>
        <w:ind w:left="1300" w:hanging="907"/>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21" w:lineRule="exact"/>
        <w:rPr>
          <w:rFonts w:ascii="Times New Roman" w:cs="Times New Roman" w:eastAsia="Times New Roman" w:hAnsi="Times New Roman"/>
          <w:sz w:val="18"/>
          <w:szCs w:val="18"/>
          <w:color w:val="auto"/>
        </w:rPr>
      </w:pPr>
    </w:p>
    <w:p>
      <w:pPr>
        <w:ind w:left="460" w:hanging="405"/>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Exhibit 99.1 attached hereto is being furnished and shall not be deemed “filed” for purposes of Section 18 of the Securities Exchange Act of 1934,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or otherwise subject to the liabilities of that section, nor shall such information be deemed incorporated by reference in any filing under the Securities Act of 1933, as amended,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243" w:lineRule="exact"/>
        <w:rPr>
          <w:sz w:val="20"/>
          <w:szCs w:val="20"/>
          <w:color w:val="auto"/>
        </w:rPr>
      </w:pPr>
    </w:p>
    <w:tbl>
      <w:tblPr>
        <w:tblLayout w:type="fixed"/>
        <w:tblInd w:w="664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Daniel M. Niedzwiecki</w:t>
            </w:r>
          </w:p>
        </w:tc>
        <w:tc>
          <w:tcPr>
            <w:tcW w:w="0" w:type="dxa"/>
            <w:vAlign w:val="bottom"/>
          </w:tcPr>
          <w:p>
            <w:pPr>
              <w:spacing w:after="0"/>
              <w:rPr>
                <w:sz w:val="1"/>
                <w:szCs w:val="1"/>
                <w:color w:val="auto"/>
              </w:rPr>
            </w:pPr>
          </w:p>
        </w:tc>
      </w:tr>
      <w:tr>
        <w:trPr>
          <w:trHeight w:val="88"/>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3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740" w:type="dxa"/>
            <w:vAlign w:val="bottom"/>
            <w:vMerge w:val="continue"/>
          </w:tcPr>
          <w:p>
            <w:pPr>
              <w:spacing w:after="0"/>
              <w:rPr>
                <w:sz w:val="20"/>
                <w:szCs w:val="20"/>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M. Niedzwiecki</w:t>
            </w:r>
          </w:p>
        </w:tc>
        <w:tc>
          <w:tcPr>
            <w:tcW w:w="0" w:type="dxa"/>
            <w:vAlign w:val="bottom"/>
          </w:tcPr>
          <w:p>
            <w:pPr>
              <w:spacing w:after="0"/>
              <w:rPr>
                <w:sz w:val="1"/>
                <w:szCs w:val="1"/>
                <w:color w:val="auto"/>
              </w:rPr>
            </w:pPr>
          </w:p>
        </w:tc>
      </w:tr>
      <w:tr>
        <w:trPr>
          <w:trHeight w:val="30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General Counsel</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2022</w:t>
      </w:r>
    </w:p>
    <w:p>
      <w:pPr>
        <w:sectPr>
          <w:pgSz w:w="11900" w:h="16838" w:orient="portrait"/>
          <w:cols w:equalWidth="0" w:num="1">
            <w:col w:w="11240"/>
          </w:cols>
          <w:pgMar w:left="320" w:top="765"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ectPr>
          <w:pgSz w:w="11900" w:h="16838" w:orient="portrait"/>
          <w:cols w:equalWidth="0" w:num="1">
            <w:col w:w="11240"/>
          </w:cols>
          <w:pgMar w:left="320" w:top="657" w:right="339" w:bottom="1440" w:gutter="0" w:footer="0" w:header="0"/>
        </w:sectPr>
      </w:pPr>
    </w:p>
    <w:p>
      <w:pPr>
        <w:spacing w:after="0" w:line="27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331 Treble Cove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-120650</wp:posOffset>
            </wp:positionV>
            <wp:extent cx="2168525"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68525" cy="488315"/>
                    </a:xfrm>
                    <a:prstGeom prst="rect">
                      <a:avLst/>
                    </a:prstGeom>
                    <a:noFill/>
                  </pic:spPr>
                </pic:pic>
              </a:graphicData>
            </a:graphic>
          </wp:anchor>
        </w:drawing>
      </w:r>
    </w:p>
    <w:p>
      <w:pPr>
        <w:ind w:left="6520"/>
        <w:spacing w:after="0"/>
        <w:rPr>
          <w:sz w:val="20"/>
          <w:szCs w:val="20"/>
          <w:color w:val="auto"/>
        </w:rPr>
      </w:pPr>
      <w:r>
        <w:rPr>
          <w:rFonts w:ascii="Times New Roman" w:cs="Times New Roman" w:eastAsia="Times New Roman" w:hAnsi="Times New Roman"/>
          <w:sz w:val="17"/>
          <w:szCs w:val="17"/>
          <w:color w:val="auto"/>
        </w:rPr>
        <w:t>North Billerica, MA 01862</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800.362.2668</w:t>
      </w:r>
    </w:p>
    <w:p>
      <w:pPr>
        <w:spacing w:after="0"/>
        <w:rPr>
          <w:sz w:val="20"/>
          <w:szCs w:val="20"/>
          <w:color w:val="auto"/>
        </w:rPr>
      </w:pPr>
      <w:r>
        <w:rPr>
          <w:rFonts w:ascii="Times New Roman" w:cs="Times New Roman" w:eastAsia="Times New Roman" w:hAnsi="Times New Roman"/>
          <w:sz w:val="17"/>
          <w:szCs w:val="17"/>
          <w:color w:val="auto"/>
        </w:rPr>
        <w:t>www.lantheus.com</w:t>
      </w:r>
    </w:p>
    <w:p>
      <w:pPr>
        <w:spacing w:after="0" w:line="200" w:lineRule="exact"/>
        <w:rPr>
          <w:sz w:val="20"/>
          <w:szCs w:val="20"/>
          <w:color w:val="auto"/>
        </w:rPr>
      </w:pPr>
    </w:p>
    <w:p>
      <w:pPr>
        <w:sectPr>
          <w:pgSz w:w="11900" w:h="16838" w:orient="portrait"/>
          <w:cols w:equalWidth="0" w:num="2">
            <w:col w:w="8460" w:space="480"/>
            <w:col w:w="2300"/>
          </w:cols>
          <w:pgMar w:left="320" w:top="657" w:right="339" w:bottom="1440" w:gutter="0" w:footer="0" w:header="0"/>
          <w:type w:val="continuous"/>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Reports Second Quarter 2022 Financial Results</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Worldwide revenue of $223.7 million for the second quarter 2022, representing an increase of 121.4% from the prior year period</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GAAP net income of $43.1 million for the second quarter 2022, compared to GAAP net loss of $26.7 million in the prior year period</w:t>
      </w:r>
    </w:p>
    <w:p>
      <w:pPr>
        <w:spacing w:after="0" w:line="225" w:lineRule="exact"/>
        <w:rPr>
          <w:rFonts w:ascii="Times New Roman" w:cs="Times New Roman" w:eastAsia="Times New Roman" w:hAnsi="Times New Roman"/>
          <w:sz w:val="18"/>
          <w:szCs w:val="18"/>
          <w:b w:val="1"/>
          <w:bCs w:val="1"/>
          <w:color w:val="auto"/>
        </w:rPr>
      </w:pPr>
    </w:p>
    <w:p>
      <w:pPr>
        <w:ind w:left="660" w:right="40" w:hanging="328"/>
        <w:spacing w:after="0" w:line="268" w:lineRule="auto"/>
        <w:tabs>
          <w:tab w:leader="none" w:pos="6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GAAP fully diluted net income per share of $0.61 for the second quarter 2022, compared to GAAP fully diluted net loss per share of $0.39 in the prior year period; adjusted fully diluted net income per share of $0.89 for the second quarter 2022, compared to adjusted fully diluted net income per share of $0.11 in the prior year period</w:t>
      </w:r>
    </w:p>
    <w:p>
      <w:pPr>
        <w:spacing w:after="0" w:line="170" w:lineRule="exact"/>
        <w:rPr>
          <w:rFonts w:ascii="Times New Roman" w:cs="Times New Roman" w:eastAsia="Times New Roman" w:hAnsi="Times New Roman"/>
          <w:sz w:val="18"/>
          <w:szCs w:val="18"/>
          <w:b w:val="1"/>
          <w:bCs w:val="1"/>
          <w:color w:val="auto"/>
        </w:rPr>
      </w:pPr>
    </w:p>
    <w:p>
      <w:pPr>
        <w:ind w:left="660" w:right="320" w:hanging="328"/>
        <w:spacing w:after="0" w:line="286" w:lineRule="auto"/>
        <w:tabs>
          <w:tab w:leader="none" w:pos="6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cash provided by operating activities was $72.6 million for the second quarter 2022. Free cash flow was $68.3 million in the second quarter 2022</w:t>
      </w:r>
    </w:p>
    <w:p>
      <w:pPr>
        <w:spacing w:after="0" w:line="154"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 provides third quarter 2022 revenue and adjusted diluted earnings per share guidance; increases full year guidance</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NORTH BILLERICA, MA., August 4, 2022 - Lantheus Holdings, Inc. (NASDAQ: LNTH) (Lantheus), a company committed to improving patient outcomes through diagnostics, radiotherapeutics and artificial intelligence solutions that enable clinicians to Find, Fight and Follow disease, today reported financial results for its second quarter ended June 30, 2022.</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Company’s worldwide revenue for the second quarter of 2022 totaled $223.7 million, compared with $101.1 million for the second quarter of 2021, representing an increase of 121.4% from the prior year period.</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Company’s second quarter 2022 GAAP net income was $43.1 million, or $0.61 per fully diluted share, as compared to GAAP net loss of $26.7 million, or $0.39 per fully diluted share for the second quarter of 2021.</w:t>
      </w:r>
    </w:p>
    <w:p>
      <w:pPr>
        <w:spacing w:after="0" w:line="162"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The Company’s second quarter 2022 adjusted fully diluted earnings per share were $0.89, as compared to $0.11 for the second quarter of 2021, representing an increase of approximately $0.78 from the prior year period.</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Lastly, net cash provided by operating activities was $72.6 million for the second quarter 2022. Free Cash Flow was $68.3 million in the second quarter of 2022, representing an increase of approximately $45.0 million from the prior year period.</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record-setting financial results for the first half of 2022 reflect the strength of our strategy and our ability to drive long-term growth,” said Mary Anne Heino, President and CEO. “PYLARIFY, which is firmly established as the PSMA PET imaging agent of choice, continues to propel our growth and have a positive impact on the U.S. prostate cancer community. We continue to be driven by our purpose to Find, Fight and Follow disease to improve patient outcomes and provide sustainable value for shareholders.”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updates its guidance for full year 2022 and offers the following guidance for the third quarter:</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Q3 Guidance Issued August 4, 2022</w:t>
            </w:r>
          </w:p>
        </w:tc>
        <w:tc>
          <w:tcPr>
            <w:tcW w:w="220" w:type="dxa"/>
            <w:vAlign w:val="bottom"/>
            <w:tcBorders>
              <w:bottom w:val="single" w:sz="8" w:color="CCEEFF"/>
            </w:tcBorders>
          </w:tcPr>
          <w:p>
            <w:pPr>
              <w:spacing w:after="0"/>
              <w:rPr>
                <w:sz w:val="21"/>
                <w:szCs w:val="21"/>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Previous Guidance Issued April 29, 2022</w:t>
            </w:r>
          </w:p>
        </w:tc>
      </w:tr>
      <w:tr>
        <w:trPr>
          <w:trHeight w:val="257"/>
        </w:trPr>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Q3</w:t>
            </w:r>
          </w:p>
        </w:tc>
        <w:tc>
          <w:tcPr>
            <w:tcW w:w="6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7"/>
              </w:rPr>
              <w:t>FY 2022</w:t>
            </w:r>
          </w:p>
        </w:tc>
        <w:tc>
          <w:tcPr>
            <w:tcW w:w="2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8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$220 million - $230 million</w:t>
            </w:r>
          </w:p>
        </w:tc>
        <w:tc>
          <w:tcPr>
            <w:tcW w:w="3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50"/>
        </w:trPr>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Q3</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7"/>
              </w:rPr>
              <w:t>FY 2022</w:t>
            </w:r>
          </w:p>
        </w:tc>
        <w:tc>
          <w:tcPr>
            <w:tcW w:w="2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Adjusted Fully Diluted EPS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$0.80 - $0.85</w:t>
            </w:r>
          </w:p>
        </w:tc>
        <w:tc>
          <w:tcPr>
            <w:tcW w:w="220" w:type="dxa"/>
            <w:vAlign w:val="bottom"/>
          </w:tcPr>
          <w:p>
            <w:pPr>
              <w:spacing w:after="0"/>
              <w:rPr>
                <w:sz w:val="21"/>
                <w:szCs w:val="21"/>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63"/>
        </w:trPr>
        <w:tc>
          <w:tcPr>
            <w:tcW w:w="2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8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FY Guidance Updated August 4, 2022</w:t>
            </w:r>
          </w:p>
        </w:tc>
        <w:tc>
          <w:tcPr>
            <w:tcW w:w="3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FY Guidance Issued April 29, 2022</w:t>
            </w:r>
          </w:p>
        </w:tc>
      </w:tr>
      <w:tr>
        <w:trPr>
          <w:trHeight w:val="250"/>
        </w:trPr>
        <w:tc>
          <w:tcPr>
            <w:tcW w:w="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FY 2022</w:t>
            </w:r>
          </w:p>
        </w:tc>
        <w:tc>
          <w:tcPr>
            <w:tcW w:w="2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$885 million - $905 million</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$800 million - $835 million</w:t>
            </w:r>
          </w:p>
        </w:tc>
      </w:tr>
      <w:tr>
        <w:trPr>
          <w:trHeight w:val="263"/>
        </w:trPr>
        <w:tc>
          <w:tcPr>
            <w:tcW w:w="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FY 2022</w:t>
            </w:r>
          </w:p>
        </w:tc>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Fully Diluted EPS</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$3.50 - $3.60</w:t>
            </w:r>
          </w:p>
        </w:tc>
        <w:tc>
          <w:tcPr>
            <w:tcW w:w="220" w:type="dxa"/>
            <w:vAlign w:val="bottom"/>
            <w:shd w:val="clear" w:color="auto" w:fill="CCEEFF"/>
          </w:tcPr>
          <w:p>
            <w:pPr>
              <w:spacing w:after="0"/>
              <w:rPr>
                <w:sz w:val="22"/>
                <w:szCs w:val="22"/>
                <w:color w:val="auto"/>
              </w:rPr>
            </w:pPr>
          </w:p>
        </w:tc>
        <w:tc>
          <w:tcPr>
            <w:tcW w:w="3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$2.90 - $3.15</w:t>
            </w:r>
          </w:p>
        </w:tc>
      </w:tr>
    </w:tbl>
    <w:p>
      <w:pPr>
        <w:spacing w:after="0" w:line="27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a forward-looking basis, the Company does not provide GAAP income per common share guidance or a reconciliation of adjusted fully diluted EPS to GAAP income per common share because the Company is unable to predict with reasonable certainty business development and acquisition related expenses, purchase accounting fair value adjustments (including liability accruals relating to the contingent value rights issued as part of the Progenics Pharmaceuticals, Inc. acquisition), and any one-time, non-recurring charges. These items are uncertain, depend on various factors, and could be material to results computed in accordance with GAAP. As a result, it is the Company’s view that a quantitative reconciliation of adjusted fully diluted EPS on a forward-looking basis is not available without unreasonable effort.</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9</w:t>
      </w:r>
    </w:p>
    <w:p>
      <w:pPr>
        <w:sectPr>
          <w:pgSz w:w="11900" w:h="16838" w:orient="portrait"/>
          <w:cols w:equalWidth="0" w:num="1">
            <w:col w:w="11240"/>
          </w:cols>
          <w:pgMar w:left="320" w:top="65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Internet Posting of Information</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routinely posts information that may be important to investors in the “Investors” section of its website at www.lantheus.com. The Company encourages investors and potential investors to consult its website regularly for important information about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previously announced, the Company will host a conference call and webcast on Thursday, August 4, 2022, at 8:00 a.m. ET. To access the conference call or webcast, participants should register online at https://investor.lantheus.com/news-events/calendar-of-events.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will be available approximately two hours after completion of the webcast and will be archived on the same web page for at least 30 days.</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conference call will include a discussion of non-GAAP financial measures. Reference is made to the most directly comparable GAAP financial measures, the reconciliation of the differences between the two financial measures, and the other information included in this press release, our Form 8-K filed with the SEC today, or otherwise available in the Investor Relations section of our website located at www.lantheus.com.</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conference call may include forward-looking statements. See the cautionary information about forward-looking statements in the safe-harbor section of this press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Lantheus Holdings, Inc.</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With more than 60 years of experience in delivering life-changing science, Lantheus is committed to improving patient outcomes through diagnostics, radiotherapeutics and artificial intelligence solutions that enable clinicians to Find, Fight and Follow disease. Lantheus is headquartered in Massachusetts and has offices in New Jersey, Canada and Sweden. For more information, visit www.lantheus.com.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uses non-GAAP financial measures, such as adjusted net income and its line components; adjusted net income per share - fully diluted; and free cash flow. The Company’s management believes that the presentation of these measures provides useful information to investors. These measures may assist investors in evaluating the Company’s operations, period over period. However, these measures may exclude items that may be highly variable, difficult to predict and of a size that could have a substantial impact on the Company’s reported results of operations for a particular period. Management uses these and other non-GAAP measures internally for evaluation of the performance of the business, including the allocation of resources and the evaluation of results relative to employee performance compensation targets. Investors should consider these non-GAAP measures only as a supplement to, not as a substitute for or as superior to, measures of financial performance prepared in accordance with GAAP.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for Forward-Looking and Cautionary Statements</w:t>
      </w:r>
    </w:p>
    <w:p>
      <w:pPr>
        <w:spacing w:after="0" w:line="281"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i w:val="1"/>
          <w:iCs w:val="1"/>
          <w:color w:val="auto"/>
        </w:rPr>
        <w:t>This press release contains forward-looking statements within the meaning of the Private Securities Litigation Reform Act of 1995, as amended, that are subject to risks and uncertainties and are made pursuant to the safe harbor provisions of Section 27A of the Securities Act of 1933, as amended, and Section 21E of the Securities Exchange Act of 1934, as amended. Forward-looking statements may be identified by their use of terms such as “believe,” “could,” “estimate,” “expect,” “look forward to,” “may,” “plan,” “predict,” “target,” “will,” and other similar terms. Such forward-looking statements are based upon current plans, estimates and expectations that are subject to risks and uncertainties that could cause actual results to materially differ from those described in the forward-looking statements. The inclusion of forward-looking statements should not be regarded as a representation that such plans, estimates and expectations will be achieved. Readers are cautioned not to place undue reliance on the forward-looking statements contained herein, which speak only as of the date hereof. The Company undertakes no obligation to publicly update any forward-looking statement, whether as a result of new information, future developments or otherwise, except as may be required by law. Risks and uncertainties that could cause our actual results to materially differ from those described in the forward-looking statements include: (i) our ability to continue to grow PYLARIFY as a commercial product, including (A) our ability to obtain FDA approval for additional positron emission tomography (“PET”) manufacturing facilities (“PMFs”) to manufacture PYLARIFY,</w:t>
      </w:r>
    </w:p>
    <w:p>
      <w:pPr>
        <w:spacing w:after="0" w:line="4" w:lineRule="exact"/>
        <w:rPr>
          <w:sz w:val="20"/>
          <w:szCs w:val="20"/>
          <w:color w:val="auto"/>
        </w:rPr>
      </w:pPr>
    </w:p>
    <w:p>
      <w:pPr>
        <w:ind w:right="100" w:firstLine="8"/>
        <w:spacing w:after="0" w:line="268" w:lineRule="auto"/>
        <w:tabs>
          <w:tab w:leader="none" w:pos="275"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ability of PMFs to manufacture PYLARIFY to meet product demand, (C) our ability to sell PYLARIFY to customers, (D) our ability to obtain and maintain adequate coding, coverage and payment for PYLARIFY, and (E) our ability to establish PYLARIFY as a leading PSMA PET imaging agent in a competitive environment in which other PSMA PET imaging agents have been approved and additional ones are in development; (ii) continued market expansion and penetration for our established commercial products, particularly DEFINITY, in the face of segment competition and potential generic competition, including as a result of patent and regulatory exclusivity expirations and challenges; (iii) the global Molybdenum-99 (“Mo-99”) supply; (iv) our ability to have third party manufacturers manufacture our products and our ability to use our in-house manufacturing capacity; (v) our ability to successfully launch PYLARIFY AI as a commercial product; (vi) the continuing impact of the global COVID-19 pandemic on our business, supply chain, financial condition and prospects; (vii) the efforts and timing for clinical development and regulatory approval of our product candidates and new clinical applications and territories for our products, in each case, that we may develop, including 1095 and NM-01, or that our strategic partners may develop,</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2 of 9</w:t>
      </w:r>
    </w:p>
    <w:p>
      <w:pPr>
        <w:sectPr>
          <w:pgSz w:w="11900" w:h="16838" w:orient="portrait"/>
          <w:cols w:equalWidth="0" w:num="1">
            <w:col w:w="11240"/>
          </w:cols>
          <w:pgMar w:left="320" w:top="873" w:right="339" w:bottom="1440" w:gutter="0" w:footer="0" w:header="0"/>
        </w:sectPr>
      </w:pPr>
    </w:p>
    <w:bookmarkStart w:id="5" w:name="page6"/>
    <w:bookmarkEnd w:id="5"/>
    <w:p>
      <w:pPr>
        <w:spacing w:after="0" w:line="258" w:lineRule="auto"/>
        <w:rPr>
          <w:sz w:val="20"/>
          <w:szCs w:val="20"/>
          <w:color w:val="auto"/>
        </w:rPr>
      </w:pPr>
      <w:r>
        <w:rPr>
          <w:rFonts w:ascii="Times New Roman" w:cs="Times New Roman" w:eastAsia="Times New Roman" w:hAnsi="Times New Roman"/>
          <w:sz w:val="18"/>
          <w:szCs w:val="18"/>
          <w:i w:val="1"/>
          <w:iCs w:val="1"/>
          <w:color w:val="auto"/>
        </w:rPr>
        <w:t>including piflufolastat F 18 in Europe and flurpiridaz fluorine-18 (“F 18”); (viii) our ability to identify and acquire or in-license additional diagnostic and therapeutic product opportunities in oncology and other strategic areas; (ix) the potential reclassification by the FDA of certain of our products and product candidates from drugs to devices with the expense, complexity and potentially more limited competitive protection such reclassification could cause; and (x) the risk and uncertainties discussed in our filings with the Securities and Exchange Commission (including those described in the Risk Factors section in our Annual Reports on Form 10-K and our Quarterly Reports on Form 10-Q).</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Tables Follow -</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3 of 9</w:t>
      </w:r>
    </w:p>
    <w:p>
      <w:pPr>
        <w:sectPr>
          <w:pgSz w:w="11900" w:h="16838" w:orient="portrait"/>
          <w:cols w:equalWidth="0" w:num="1">
            <w:col w:w="11180"/>
          </w:cols>
          <w:pgMar w:left="320" w:top="929" w:right="39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per share data – 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20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4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9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193,573</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54,976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106,455</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87,118</w:t>
            </w:r>
          </w:p>
        </w:tc>
        <w:tc>
          <w:tcPr>
            <w:tcW w:w="0" w:type="dxa"/>
            <w:vAlign w:val="bottom"/>
          </w:tcPr>
          <w:p>
            <w:pPr>
              <w:spacing w:after="0"/>
              <w:rPr>
                <w:sz w:val="1"/>
                <w:szCs w:val="1"/>
                <w:color w:val="auto"/>
              </w:rPr>
            </w:pPr>
          </w:p>
        </w:tc>
      </w:tr>
      <w:tr>
        <w:trPr>
          <w:trHeight w:val="20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31,804</w:t>
            </w:r>
          </w:p>
        </w:tc>
        <w:tc>
          <w:tcPr>
            <w:tcW w:w="0" w:type="dxa"/>
            <w:vAlign w:val="bottom"/>
          </w:tcPr>
          <w:p>
            <w:pPr>
              <w:spacing w:after="0"/>
              <w:rPr>
                <w:sz w:val="1"/>
                <w:szCs w:val="1"/>
                <w:color w:val="auto"/>
              </w:rPr>
            </w:pPr>
          </w:p>
        </w:tc>
      </w:tr>
      <w:tr>
        <w:trPr>
          <w:trHeight w:val="230"/>
        </w:trPr>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59,315</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22,421</w:t>
            </w:r>
          </w:p>
        </w:tc>
        <w:tc>
          <w:tcPr>
            <w:tcW w:w="0" w:type="dxa"/>
            <w:vAlign w:val="bottom"/>
          </w:tcPr>
          <w:p>
            <w:pPr>
              <w:spacing w:after="0"/>
              <w:rPr>
                <w:sz w:val="1"/>
                <w:szCs w:val="1"/>
                <w:color w:val="auto"/>
              </w:rPr>
            </w:pPr>
          </w:p>
        </w:tc>
      </w:tr>
      <w:tr>
        <w:trPr>
          <w:trHeight w:val="223"/>
        </w:trPr>
        <w:tc>
          <w:tcPr>
            <w:tcW w:w="4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113,540</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on sale of assets</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15,263</w:t>
            </w:r>
          </w:p>
        </w:tc>
        <w:tc>
          <w:tcPr>
            <w:tcW w:w="0" w:type="dxa"/>
            <w:vAlign w:val="bottom"/>
          </w:tcPr>
          <w:p>
            <w:pPr>
              <w:spacing w:after="0"/>
              <w:rPr>
                <w:sz w:val="1"/>
                <w:szCs w:val="1"/>
                <w:color w:val="auto"/>
              </w:rPr>
            </w:pPr>
          </w:p>
        </w:tc>
      </w:tr>
      <w:tr>
        <w:trPr>
          <w:trHeight w:val="223"/>
        </w:trPr>
        <w:tc>
          <w:tcPr>
            <w:tcW w:w="4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Operating income (loss)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63,204</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(26,781)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122,129</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(11,159)</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0" w:type="dxa"/>
            <w:vAlign w:val="bottom"/>
          </w:tcPr>
          <w:p>
            <w:pPr>
              <w:spacing w:after="0"/>
              <w:rPr>
                <w:sz w:val="1"/>
                <w:szCs w:val="1"/>
                <w:color w:val="auto"/>
              </w:rPr>
            </w:pPr>
          </w:p>
        </w:tc>
      </w:tr>
      <w:tr>
        <w:trPr>
          <w:trHeight w:val="22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(14,194)</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0" w:type="dxa"/>
            <w:vAlign w:val="bottom"/>
          </w:tcPr>
          <w:p>
            <w:pPr>
              <w:spacing w:after="0"/>
              <w:rPr>
                <w:sz w:val="1"/>
                <w:szCs w:val="1"/>
                <w:color w:val="auto"/>
              </w:rPr>
            </w:pPr>
          </w:p>
        </w:tc>
      </w:tr>
      <w:tr>
        <w:trPr>
          <w:trHeight w:val="223"/>
        </w:trPr>
        <w:tc>
          <w:tcPr>
            <w:tcW w:w="4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43,058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(17,649)</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(loss) per common share: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9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9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67,300</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70,796</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67,505</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70,412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67,300</w:t>
            </w: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4 of 9</w:t>
      </w:r>
    </w:p>
    <w:p>
      <w:pPr>
        <w:sectPr>
          <w:pgSz w:w="11900" w:h="16838" w:orient="portrait"/>
          <w:cols w:equalWidth="0" w:num="1">
            <w:col w:w="9940"/>
          </w:cols>
          <w:pgMar w:left="980" w:top="711" w:right="9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Revenues Analysis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 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60" w:type="dxa"/>
            <w:vAlign w:val="bottom"/>
          </w:tcPr>
          <w:p>
            <w:pPr>
              <w:spacing w:after="0"/>
              <w:rPr>
                <w:sz w:val="13"/>
                <w:szCs w:val="13"/>
                <w:color w:val="auto"/>
              </w:rPr>
            </w:pPr>
          </w:p>
        </w:tc>
      </w:tr>
      <w:tr>
        <w:trPr>
          <w:trHeight w:val="195"/>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Borders>
              <w:bottom w:val="single" w:sz="8" w:color="auto"/>
            </w:tcBorders>
          </w:tcPr>
          <w:p>
            <w:pPr>
              <w:spacing w:after="0"/>
              <w:rPr>
                <w:sz w:val="16"/>
                <w:szCs w:val="16"/>
                <w:color w:val="auto"/>
              </w:rPr>
            </w:pPr>
          </w:p>
        </w:tc>
      </w:tr>
      <w:tr>
        <w:trPr>
          <w:trHeight w:val="195"/>
        </w:trPr>
        <w:tc>
          <w:tcPr>
            <w:tcW w:w="30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DEFINITY</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62,306</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120,634</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115,813</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29"/>
        </w:trPr>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TechneLite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46,572</w:t>
            </w: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precision diagnostics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13,726</w:t>
            </w:r>
          </w:p>
        </w:tc>
        <w:tc>
          <w:tcPr>
            <w:tcW w:w="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3"/>
        </w:trPr>
        <w:tc>
          <w:tcPr>
            <w:tcW w:w="3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precision diagnostics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173,307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176,111</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PYLARIFY</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31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 radiopharmaceutical oncology</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23"/>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radiopharmaceutical oncology</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4,564.3 %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8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5124.1 %</w:t>
            </w:r>
          </w:p>
        </w:tc>
      </w:tr>
      <w:tr>
        <w:trPr>
          <w:trHeight w:val="223"/>
        </w:trPr>
        <w:tc>
          <w:tcPr>
            <w:tcW w:w="3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Strategic Partnerships and other revenue</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13,150</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158.8 %</w:t>
            </w:r>
          </w:p>
        </w:tc>
      </w:tr>
      <w:tr>
        <w:trPr>
          <w:trHeight w:val="248"/>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193,573</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123.5 %</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 of 9</w:t>
      </w:r>
    </w:p>
    <w:p>
      <w:pPr>
        <w:sectPr>
          <w:pgSz w:w="11900" w:h="16838" w:orient="portrait"/>
          <w:cols w:equalWidth="0" w:num="1">
            <w:col w:w="10040"/>
          </w:cols>
          <w:pgMar w:left="920" w:top="711" w:right="939" w:bottom="1440" w:gutter="0" w:footer="0" w:header="0"/>
        </w:sectPr>
      </w:pPr>
    </w:p>
    <w:bookmarkStart w:id="8" w:name="page9"/>
    <w:bookmarkEnd w:id="8"/>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6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6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(in thousands, except per share data – unaudited)</w:t>
      </w:r>
    </w:p>
    <w:p>
      <w:pPr>
        <w:spacing w:after="0" w:line="247" w:lineRule="exact"/>
        <w:rPr>
          <w:sz w:val="20"/>
          <w:szCs w:val="20"/>
          <w:color w:val="auto"/>
        </w:rPr>
      </w:pPr>
    </w:p>
    <w:tbl>
      <w:tblPr>
        <w:tblLayout w:type="fixed"/>
        <w:tblInd w:w="44"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gridSpan w:val="8"/>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20" w:type="dxa"/>
            <w:vAlign w:val="bottom"/>
            <w:gridSpan w:val="7"/>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5"/>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5"/>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4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6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43,058</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(26,657)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86,020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(17,649)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36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Stock and incentive plan compensation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43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7,412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151"/>
              <w:spacing w:after="0" w:line="203" w:lineRule="exact"/>
              <w:rPr>
                <w:sz w:val="20"/>
                <w:szCs w:val="20"/>
                <w:color w:val="auto"/>
              </w:rPr>
            </w:pPr>
            <w:r>
              <w:rPr>
                <w:rFonts w:ascii="Times New Roman" w:cs="Times New Roman" w:eastAsia="Times New Roman" w:hAnsi="Times New Roman"/>
                <w:sz w:val="18"/>
                <w:szCs w:val="18"/>
                <w:color w:val="auto"/>
              </w:rPr>
              <w:t>4,588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153"/>
              <w:spacing w:after="0" w:line="203" w:lineRule="exact"/>
              <w:rPr>
                <w:sz w:val="20"/>
                <w:szCs w:val="20"/>
                <w:color w:val="auto"/>
              </w:rPr>
            </w:pPr>
            <w:r>
              <w:rPr>
                <w:rFonts w:ascii="Times New Roman" w:cs="Times New Roman" w:eastAsia="Times New Roman" w:hAnsi="Times New Roman"/>
                <w:sz w:val="18"/>
                <w:szCs w:val="18"/>
                <w:color w:val="auto"/>
              </w:rPr>
              <w:t>13,035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51"/>
              <w:spacing w:after="0" w:line="203" w:lineRule="exact"/>
              <w:rPr>
                <w:sz w:val="20"/>
                <w:szCs w:val="20"/>
                <w:color w:val="auto"/>
              </w:rPr>
            </w:pPr>
            <w:r>
              <w:rPr>
                <w:rFonts w:ascii="Times New Roman" w:cs="Times New Roman" w:eastAsia="Times New Roman" w:hAnsi="Times New Roman"/>
                <w:sz w:val="18"/>
                <w:szCs w:val="18"/>
                <w:color w:val="auto"/>
              </w:rPr>
              <w:t>7,905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6,074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16,612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10,759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Acquired debt fair value adjustment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Contingent consideration fair value adjustments</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25,600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26,900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25,900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Non-recurring severance related fees</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Non-recurring fees</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Extinguishment of debt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on sale of assets</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(15,263)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Strategic collaboration and license costs</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Integration costs</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Acquisition-related costs</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699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ARO Acceleration and other related costs</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1,800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360" w:type="dxa"/>
            <w:vAlign w:val="bottom"/>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Income tax effect of non-GAAP adjustments</w:t>
            </w:r>
            <w:r>
              <w:rPr>
                <w:rFonts w:ascii="Times New Roman" w:cs="Times New Roman" w:eastAsia="Times New Roman" w:hAnsi="Times New Roman"/>
                <w:sz w:val="23"/>
                <w:szCs w:val="23"/>
                <w:color w:val="auto"/>
                <w:vertAlign w:val="superscript"/>
              </w:rPr>
              <w:t>(a)</w:t>
            </w:r>
          </w:p>
        </w:tc>
        <w:tc>
          <w:tcPr>
            <w:tcW w:w="3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(2,731)</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(14,474)</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62,883</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7,787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130,713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11,083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as a percentage of revenues</w:t>
            </w:r>
          </w:p>
        </w:tc>
        <w:tc>
          <w:tcPr>
            <w:tcW w:w="3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gridSpan w:val="8"/>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gridSpan w:val="7"/>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5"/>
          </w:tcPr>
          <w:p>
            <w:pPr>
              <w:jc w:val="center"/>
              <w:ind w:left="65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Borders>
              <w:bottom w:val="single" w:sz="8" w:color="CCEEFF"/>
            </w:tcBorders>
          </w:tcPr>
          <w:p>
            <w:pPr>
              <w:spacing w:after="0"/>
              <w:rPr>
                <w:sz w:val="17"/>
                <w:szCs w:val="17"/>
                <w:color w:val="auto"/>
              </w:rPr>
            </w:pPr>
          </w:p>
        </w:tc>
        <w:tc>
          <w:tcPr>
            <w:tcW w:w="436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0.61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Stock and incentive plan compensation</w:t>
            </w: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gridSpan w:val="3"/>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 w:type="dxa"/>
            <w:vAlign w:val="bottom"/>
          </w:tcPr>
          <w:p>
            <w:pPr>
              <w:spacing w:after="0"/>
              <w:rPr>
                <w:sz w:val="17"/>
                <w:szCs w:val="17"/>
                <w:color w:val="auto"/>
              </w:rPr>
            </w:pPr>
          </w:p>
        </w:tc>
        <w:tc>
          <w:tcPr>
            <w:tcW w:w="43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0.10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0.07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0.19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0.12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0.08</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Acquired debt fair value adjustment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Contingent consideration fair value adjustments</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0.13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0.37</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Non-recurring severance related fees</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Non-recurring fees</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Extinguishment of debt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on sale of assets</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Strategic collaboration and license costs</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0.01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Integration costs</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Acquisition-related costs</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ARO Acceleration and other related costs</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0.01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4360" w:type="dxa"/>
            <w:vAlign w:val="bottom"/>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Income tax effect of non-GAAP adjustments</w:t>
            </w:r>
            <w:r>
              <w:rPr>
                <w:rFonts w:ascii="Times New Roman" w:cs="Times New Roman" w:eastAsia="Times New Roman" w:hAnsi="Times New Roman"/>
                <w:sz w:val="23"/>
                <w:szCs w:val="23"/>
                <w:color w:val="auto"/>
                <w:vertAlign w:val="superscript"/>
              </w:rPr>
              <w:t>(a)</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3"/>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net income per share - diluted</w:t>
            </w:r>
          </w:p>
        </w:tc>
        <w:tc>
          <w:tcPr>
            <w:tcW w:w="3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5"/>
              </w:rPr>
              <w:t>0.89</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0.11</w:t>
            </w:r>
          </w:p>
        </w:tc>
        <w:tc>
          <w:tcPr>
            <w:tcW w:w="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68,705</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70,412</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68,281</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644" w:right="20" w:hanging="644"/>
        <w:spacing w:after="0" w:line="282" w:lineRule="auto"/>
        <w:tabs>
          <w:tab w:leader="none" w:pos="64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tax effect of the adjustments between GAAP net loss and non-GAAP adjusted net income takes into account the tax treatment and related tax rate that apply to each adjustment in the applicable tax jurisdiction.</w:t>
      </w:r>
    </w:p>
    <w:p>
      <w:pPr>
        <w:spacing w:after="0" w:line="16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Page 6 of 9</w:t>
      </w:r>
    </w:p>
    <w:p>
      <w:pPr>
        <w:sectPr>
          <w:pgSz w:w="11900" w:h="16838" w:orient="portrait"/>
          <w:cols w:equalWidth="0" w:num="1">
            <w:col w:w="9904"/>
          </w:cols>
          <w:pgMar w:left="976" w:top="711" w:right="101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of Free Cash Flow</w:t>
      </w:r>
    </w:p>
    <w:p>
      <w:pPr>
        <w:spacing w:after="0" w:line="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 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1620" w:type="dxa"/>
            <w:vAlign w:val="bottom"/>
            <w:gridSpan w:val="3"/>
          </w:tcPr>
          <w:p>
            <w:pPr>
              <w:jc w:val="center"/>
              <w:ind w:left="39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3"/>
                <w:szCs w:val="13"/>
                <w:color w:val="auto"/>
              </w:rPr>
            </w:pPr>
          </w:p>
        </w:tc>
      </w:tr>
      <w:tr>
        <w:trPr>
          <w:trHeight w:val="195"/>
        </w:trPr>
        <w:tc>
          <w:tcPr>
            <w:tcW w:w="4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95"/>
        </w:trPr>
        <w:tc>
          <w:tcPr>
            <w:tcW w:w="4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72,597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82,861</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35,687</w:t>
            </w:r>
          </w:p>
        </w:tc>
      </w:tr>
      <w:tr>
        <w:trPr>
          <w:trHeight w:val="229"/>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98"/>
              </w:rPr>
              <w:t>(4,343)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8"/>
              </w:rPr>
              <w:t>(7,533)</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(5,176)</w:t>
            </w:r>
          </w:p>
        </w:tc>
      </w:tr>
      <w:tr>
        <w:trPr>
          <w:trHeight w:val="248"/>
        </w:trPr>
        <w:tc>
          <w:tcPr>
            <w:tcW w:w="4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Free cash flow</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68,254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23,213</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75,328</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30,511</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4"/>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8"/>
              </w:rPr>
              <w:t>(4,343)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8"/>
              </w:rPr>
              <w:t>(5,733)</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10,647</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3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ind w:left="460"/>
              <w:spacing w:after="0" w:line="203" w:lineRule="exact"/>
              <w:rPr>
                <w:sz w:val="20"/>
                <w:szCs w:val="20"/>
                <w:color w:val="auto"/>
              </w:rPr>
            </w:pPr>
            <w:r>
              <w:rPr>
                <w:rFonts w:ascii="Times New Roman" w:cs="Times New Roman" w:eastAsia="Times New Roman" w:hAnsi="Times New Roman"/>
                <w:sz w:val="18"/>
                <w:szCs w:val="18"/>
                <w:color w:val="auto"/>
                <w:w w:val="98"/>
              </w:rPr>
              <w:t>(2,011)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(715)</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ind w:left="440"/>
              <w:spacing w:after="0" w:line="203" w:lineRule="exact"/>
              <w:rPr>
                <w:sz w:val="20"/>
                <w:szCs w:val="20"/>
                <w:color w:val="auto"/>
              </w:rPr>
            </w:pPr>
            <w:r>
              <w:rPr>
                <w:rFonts w:ascii="Times New Roman" w:cs="Times New Roman" w:eastAsia="Times New Roman" w:hAnsi="Times New Roman"/>
                <w:sz w:val="18"/>
                <w:szCs w:val="18"/>
                <w:color w:val="auto"/>
                <w:w w:val="98"/>
              </w:rPr>
              <w:t>(4,190)</w:t>
            </w:r>
          </w:p>
        </w:tc>
        <w:tc>
          <w:tcPr>
            <w:tcW w:w="140" w:type="dxa"/>
            <w:vAlign w:val="bottom"/>
          </w:tcPr>
          <w:p>
            <w:pPr>
              <w:spacing w:after="0"/>
              <w:rPr>
                <w:sz w:val="17"/>
                <w:szCs w:val="17"/>
                <w:color w:val="auto"/>
              </w:rPr>
            </w:pPr>
          </w:p>
        </w:tc>
        <w:tc>
          <w:tcPr>
            <w:tcW w:w="500" w:type="dxa"/>
            <w:vAlign w:val="bottom"/>
            <w:tcBorders>
              <w:bottom w:val="single" w:sz="8" w:color="auto"/>
            </w:tcBorders>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(35,506)</w:t>
            </w:r>
          </w:p>
        </w:tc>
      </w:tr>
      <w:tr>
        <w:trPr>
          <w:trHeight w:val="21"/>
        </w:trPr>
        <w:tc>
          <w:tcPr>
            <w:tcW w:w="4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Page 7 of 9</w:t>
      </w:r>
    </w:p>
    <w:p>
      <w:pPr>
        <w:sectPr>
          <w:pgSz w:w="11900" w:h="16838" w:orient="portrait"/>
          <w:cols w:equalWidth="0" w:num="1">
            <w:col w:w="9940"/>
          </w:cols>
          <w:pgMar w:left="980" w:top="711" w:right="97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 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2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6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4"/>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98,508</w:t>
            </w:r>
          </w:p>
        </w:tc>
        <w:tc>
          <w:tcPr>
            <w:tcW w:w="0" w:type="dxa"/>
            <w:vAlign w:val="bottom"/>
          </w:tcPr>
          <w:p>
            <w:pPr>
              <w:spacing w:after="0"/>
              <w:rPr>
                <w:sz w:val="1"/>
                <w:szCs w:val="1"/>
                <w:color w:val="auto"/>
              </w:rPr>
            </w:pPr>
          </w:p>
        </w:tc>
      </w:tr>
      <w:tr>
        <w:trPr>
          <w:trHeight w:val="229"/>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89,336</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35,129</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12,818</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235,791</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116,772</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348,510</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61,189</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62,764</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42,156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38,758</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1,013,824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863,784</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 and other borrowings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11,642</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20,787</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183,798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58,068</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90,497</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20,833</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and other borrowings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163,121</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49,616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124,894</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446,492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399,345</w:t>
            </w:r>
          </w:p>
        </w:tc>
        <w:tc>
          <w:tcPr>
            <w:tcW w:w="0" w:type="dxa"/>
            <w:vAlign w:val="bottom"/>
          </w:tcPr>
          <w:p>
            <w:pPr>
              <w:spacing w:after="0"/>
              <w:rPr>
                <w:sz w:val="1"/>
                <w:szCs w:val="1"/>
                <w:color w:val="auto"/>
              </w:rPr>
            </w:pPr>
          </w:p>
        </w:tc>
      </w:tr>
      <w:tr>
        <w:trPr>
          <w:trHeight w:val="223"/>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567,332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464,439</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1,013,824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863,784</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8 of 9</w:t>
      </w:r>
    </w:p>
    <w:p>
      <w:pPr>
        <w:sectPr>
          <w:pgSz w:w="11900" w:h="16838" w:orient="portrait"/>
          <w:cols w:equalWidth="0" w:num="1">
            <w:col w:w="9040"/>
          </w:cols>
          <w:pgMar w:left="1420" w:top="711" w:right="1439" w:bottom="1440" w:gutter="0" w:footer="0" w:header="0"/>
        </w:sectPr>
      </w:pPr>
    </w:p>
    <w:bookmarkStart w:id="11" w:name="page12"/>
    <w:bookmarkEnd w:id="11"/>
    <w:p>
      <w:pPr>
        <w:ind w:left="5480"/>
        <w:spacing w:after="0"/>
        <w:rPr>
          <w:sz w:val="20"/>
          <w:szCs w:val="20"/>
          <w:color w:val="auto"/>
        </w:rPr>
      </w:pP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Kinarney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978-671-8842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ir@lantheus.com</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Melissa Downs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Director, Corporate Communications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646-975-2533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media@lantheus.com</w:t>
      </w:r>
    </w:p>
    <w:p>
      <w:pPr>
        <w:spacing w:after="0" w:line="171" w:lineRule="exact"/>
        <w:rPr>
          <w:sz w:val="20"/>
          <w:szCs w:val="20"/>
          <w:color w:val="auto"/>
        </w:rPr>
      </w:pPr>
    </w:p>
    <w:p>
      <w:pPr>
        <w:jc w:val="right"/>
        <w:ind w:right="4099"/>
        <w:spacing w:after="0"/>
        <w:rPr>
          <w:sz w:val="20"/>
          <w:szCs w:val="20"/>
          <w:color w:val="auto"/>
        </w:rPr>
      </w:pPr>
      <w:r>
        <w:rPr>
          <w:rFonts w:ascii="Times New Roman" w:cs="Times New Roman" w:eastAsia="Times New Roman" w:hAnsi="Times New Roman"/>
          <w:sz w:val="18"/>
          <w:szCs w:val="18"/>
          <w:color w:val="auto"/>
        </w:rPr>
        <w:t>Page 9 of 9</w:t>
      </w:r>
    </w:p>
    <w:sectPr>
      <w:pgSz w:w="11900" w:h="16838" w:orient="portrait"/>
      <w:cols w:equalWidth="0" w:num="1">
        <w:col w:w="10139"/>
      </w:cols>
      <w:pgMar w:left="320" w:top="8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decimal"/>
      <w:start w:val="10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upperLetter"/>
      <w:start w:val="2"/>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2022-08-04T06:53:49Z</dcterms:created>
  <dcterms:modified xsi:type="dcterms:W3CDTF">2022-08-04T06:53:49Z</dcterms:modified>
</cp:coreProperties>
</file>