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163195</wp:posOffset>
            </wp:positionV>
            <wp:extent cx="13379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34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178435</wp:posOffset>
            </wp:positionV>
            <wp:extent cx="13379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40" w:hanging="455"/>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September 30, 2018</w:t>
      </w:r>
    </w:p>
    <w:p>
      <w:pPr>
        <w:spacing w:after="0" w:line="172" w:lineRule="exact"/>
        <w:rPr>
          <w:sz w:val="24"/>
          <w:szCs w:val="24"/>
          <w:color w:val="auto"/>
        </w:rPr>
      </w:pPr>
    </w:p>
    <w:p>
      <w:pPr>
        <w:ind w:left="720" w:hanging="455"/>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48" w:lineRule="exact"/>
        <w:rPr>
          <w:sz w:val="24"/>
          <w:szCs w:val="24"/>
          <w:color w:val="auto"/>
        </w:rPr>
      </w:pPr>
    </w:p>
    <w:p>
      <w:pPr>
        <w:ind w:left="396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3712210</wp:posOffset>
            </wp:positionH>
            <wp:positionV relativeFrom="paragraph">
              <wp:posOffset>-1270</wp:posOffset>
            </wp:positionV>
            <wp:extent cx="1035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685" cy="8890"/>
                    </a:xfrm>
                    <a:prstGeom prst="rect">
                      <a:avLst/>
                    </a:prstGeom>
                    <a:noFill/>
                  </pic:spPr>
                </pic:pic>
              </a:graphicData>
            </a:graphic>
          </wp:anchor>
        </w:drawing>
      </w:r>
    </w:p>
    <w:p>
      <w:pPr>
        <w:spacing w:after="0" w:line="8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001-36569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177800</wp:posOffset>
            </wp:positionV>
            <wp:extent cx="1689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48260</wp:posOffset>
            </wp:positionV>
            <wp:extent cx="5265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217805</wp:posOffset>
            </wp:positionV>
            <wp:extent cx="16897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234"/>
        </w:trPr>
        <w:tc>
          <w:tcPr>
            <w:tcW w:w="4900" w:type="dxa"/>
            <w:vAlign w:val="bottom"/>
          </w:tcPr>
          <w:p>
            <w:pPr>
              <w:jc w:val="center"/>
              <w:ind w:left="759"/>
              <w:spacing w:after="0"/>
              <w:rPr>
                <w:sz w:val="20"/>
                <w:szCs w:val="20"/>
                <w:color w:val="auto"/>
              </w:rPr>
            </w:pPr>
            <w:r>
              <w:rPr>
                <w:rFonts w:ascii="Arial" w:cs="Arial" w:eastAsia="Arial" w:hAnsi="Arial"/>
                <w:sz w:val="18"/>
                <w:szCs w:val="18"/>
                <w:b w:val="1"/>
                <w:bCs w:val="1"/>
                <w:color w:val="auto"/>
                <w:w w:val="93"/>
              </w:rPr>
              <w:t>Delaware</w:t>
            </w:r>
          </w:p>
        </w:tc>
        <w:tc>
          <w:tcPr>
            <w:tcW w:w="6380" w:type="dxa"/>
            <w:vAlign w:val="bottom"/>
            <w:gridSpan w:val="3"/>
          </w:tcPr>
          <w:p>
            <w:pPr>
              <w:jc w:val="right"/>
              <w:ind w:right="2208"/>
              <w:spacing w:after="0"/>
              <w:rPr>
                <w:sz w:val="20"/>
                <w:szCs w:val="20"/>
                <w:color w:val="auto"/>
              </w:rPr>
            </w:pPr>
            <w:r>
              <w:rPr>
                <w:rFonts w:ascii="Arial" w:cs="Arial" w:eastAsia="Arial" w:hAnsi="Arial"/>
                <w:sz w:val="18"/>
                <w:szCs w:val="18"/>
                <w:b w:val="1"/>
                <w:bCs w:val="1"/>
                <w:color w:val="auto"/>
              </w:rPr>
              <w:t>35-2318913</w:t>
            </w:r>
          </w:p>
        </w:tc>
      </w:tr>
      <w:tr>
        <w:trPr>
          <w:trHeight w:val="27"/>
        </w:trPr>
        <w:tc>
          <w:tcPr>
            <w:tcW w:w="4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184"/>
        </w:trPr>
        <w:tc>
          <w:tcPr>
            <w:tcW w:w="4900" w:type="dxa"/>
            <w:vAlign w:val="bottom"/>
          </w:tcPr>
          <w:p>
            <w:pPr>
              <w:jc w:val="center"/>
              <w:ind w:left="75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77"/>
        </w:trPr>
        <w:tc>
          <w:tcPr>
            <w:tcW w:w="4900" w:type="dxa"/>
            <w:vAlign w:val="bottom"/>
          </w:tcPr>
          <w:p>
            <w:pPr>
              <w:jc w:val="center"/>
              <w:ind w:left="759"/>
              <w:spacing w:after="0"/>
              <w:rPr>
                <w:sz w:val="20"/>
                <w:szCs w:val="20"/>
                <w:color w:val="auto"/>
              </w:rPr>
            </w:pPr>
            <w:r>
              <w:rPr>
                <w:rFonts w:ascii="Arial" w:cs="Arial" w:eastAsia="Arial" w:hAnsi="Arial"/>
                <w:sz w:val="18"/>
                <w:szCs w:val="18"/>
                <w:b w:val="1"/>
                <w:bCs w:val="1"/>
                <w:color w:val="auto"/>
                <w:w w:val="92"/>
              </w:rPr>
              <w:t>331 Treble Cove Road, North Billerica, MA</w:t>
            </w:r>
          </w:p>
        </w:tc>
        <w:tc>
          <w:tcPr>
            <w:tcW w:w="6380" w:type="dxa"/>
            <w:vAlign w:val="bottom"/>
            <w:gridSpan w:val="3"/>
          </w:tcPr>
          <w:p>
            <w:pPr>
              <w:jc w:val="right"/>
              <w:ind w:right="2408"/>
              <w:spacing w:after="0"/>
              <w:rPr>
                <w:sz w:val="20"/>
                <w:szCs w:val="20"/>
                <w:color w:val="auto"/>
              </w:rPr>
            </w:pPr>
            <w:r>
              <w:rPr>
                <w:rFonts w:ascii="Arial" w:cs="Arial" w:eastAsia="Arial" w:hAnsi="Arial"/>
                <w:sz w:val="18"/>
                <w:szCs w:val="18"/>
                <w:b w:val="1"/>
                <w:bCs w:val="1"/>
                <w:color w:val="auto"/>
              </w:rPr>
              <w:t>01862</w:t>
            </w:r>
          </w:p>
        </w:tc>
      </w:tr>
      <w:tr>
        <w:trPr>
          <w:trHeight w:val="27"/>
        </w:trPr>
        <w:tc>
          <w:tcPr>
            <w:tcW w:w="4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184"/>
        </w:trPr>
        <w:tc>
          <w:tcPr>
            <w:tcW w:w="4900" w:type="dxa"/>
            <w:vAlign w:val="bottom"/>
          </w:tcPr>
          <w:p>
            <w:pPr>
              <w:jc w:val="center"/>
              <w:ind w:left="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4900" w:type="dxa"/>
            <w:vAlign w:val="bottom"/>
          </w:tcPr>
          <w:p>
            <w:pPr>
              <w:spacing w:after="0"/>
              <w:rPr>
                <w:sz w:val="24"/>
                <w:szCs w:val="24"/>
                <w:color w:val="auto"/>
              </w:rPr>
            </w:pPr>
          </w:p>
        </w:tc>
        <w:tc>
          <w:tcPr>
            <w:tcW w:w="6380" w:type="dxa"/>
            <w:vAlign w:val="bottom"/>
            <w:gridSpan w:val="3"/>
          </w:tcPr>
          <w:p>
            <w:pPr>
              <w:jc w:val="right"/>
              <w:ind w:right="5008"/>
              <w:spacing w:after="0"/>
              <w:rPr>
                <w:sz w:val="20"/>
                <w:szCs w:val="20"/>
                <w:color w:val="auto"/>
              </w:rPr>
            </w:pPr>
            <w:r>
              <w:rPr>
                <w:rFonts w:ascii="Arial" w:cs="Arial" w:eastAsia="Arial" w:hAnsi="Arial"/>
                <w:sz w:val="18"/>
                <w:szCs w:val="18"/>
                <w:b w:val="1"/>
                <w:bCs w:val="1"/>
                <w:color w:val="auto"/>
              </w:rPr>
              <w:t>(978) 671-8001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1565910</wp:posOffset>
            </wp:positionH>
            <wp:positionV relativeFrom="paragraph">
              <wp:posOffset>154305</wp:posOffset>
            </wp:positionV>
            <wp:extent cx="4133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1565910</wp:posOffset>
            </wp:positionH>
            <wp:positionV relativeFrom="paragraph">
              <wp:posOffset>172085</wp:posOffset>
            </wp:positionV>
            <wp:extent cx="4133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109220</wp:posOffset>
            </wp:positionV>
            <wp:extent cx="16897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390" w:lineRule="exact"/>
        <w:rPr>
          <w:sz w:val="24"/>
          <w:szCs w:val="24"/>
          <w:color w:val="auto"/>
        </w:rPr>
      </w:pPr>
    </w:p>
    <w:p>
      <w:pPr>
        <w:jc w:val="both"/>
        <w:ind w:right="4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36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1180" w:type="dxa"/>
        <w:tblCellMar>
          <w:top w:w="0" w:type="dxa"/>
          <w:left w:w="0" w:type="dxa"/>
          <w:bottom w:w="0" w:type="dxa"/>
          <w:right w:w="0" w:type="dxa"/>
        </w:tblCellMar>
      </w:tblPr>
      <w:tr>
        <w:trPr>
          <w:trHeight w:val="226"/>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8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184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2"/>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248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184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2"/>
        </w:trPr>
        <w:tc>
          <w:tcPr>
            <w:tcW w:w="1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40" w:type="dxa"/>
            <w:vAlign w:val="bottom"/>
          </w:tcPr>
          <w:p>
            <w:pPr>
              <w:ind w:left="184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6" w:lineRule="exact"/>
        <w:rPr>
          <w:sz w:val="24"/>
          <w:szCs w:val="24"/>
          <w:color w:val="auto"/>
        </w:rPr>
      </w:pPr>
    </w:p>
    <w:p>
      <w:pPr>
        <w:ind w:right="40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340" w:right="4060"/>
        <w:spacing w:after="0" w:line="253" w:lineRule="exact"/>
        <w:rPr>
          <w:sz w:val="20"/>
          <w:szCs w:val="20"/>
          <w:color w:val="auto"/>
        </w:rPr>
      </w:pPr>
      <w:r>
        <w:rPr>
          <w:rFonts w:ascii="Arial" w:cs="Arial" w:eastAsia="Arial" w:hAnsi="Arial"/>
          <w:sz w:val="13"/>
          <w:szCs w:val="13"/>
          <w:color w:val="auto"/>
        </w:rPr>
        <w:t xml:space="preserve">Indicate by check mark whether the registrant is a shell company (as defined by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registrant had 38,464,976 shares of common stock, $0.01 par value, outstanding as of October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6989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9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6989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262890</wp:posOffset>
            </wp:positionV>
            <wp:extent cx="687768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7685" cy="18034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20"/>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PART I. FINANCIAL INFORMATION</w:t>
        </w:r>
      </w:hyperlink>
    </w:p>
    <w:p>
      <w:pPr>
        <w:spacing w:after="0" w:line="77" w:lineRule="exact"/>
        <w:rPr>
          <w:sz w:val="20"/>
          <w:szCs w:val="20"/>
          <w:color w:val="auto"/>
        </w:rPr>
      </w:pPr>
    </w:p>
    <w:p>
      <w:pPr>
        <w:ind w:left="320"/>
        <w:spacing w:after="0"/>
        <w:tabs>
          <w:tab w:leader="none" w:pos="1500" w:val="left"/>
        </w:tabs>
        <w:rPr>
          <w:rFonts w:ascii="Arial" w:cs="Arial" w:eastAsia="Arial" w:hAnsi="Arial"/>
          <w:sz w:val="14"/>
          <w:szCs w:val="14"/>
          <w:u w:val="single" w:color="auto"/>
          <w:color w:val="0000EE"/>
        </w:rPr>
      </w:pPr>
      <w:hyperlink w:anchor="page3">
        <w:r>
          <w:rPr>
            <w:rFonts w:ascii="Arial" w:cs="Arial" w:eastAsia="Arial" w:hAnsi="Arial"/>
            <w:sz w:val="16"/>
            <w:szCs w:val="16"/>
            <w:u w:val="single" w:color="auto"/>
            <w:color w:val="0000EE"/>
          </w:rPr>
          <w:t>Item 1.</w:t>
        </w:r>
      </w:hyperlink>
      <w:r>
        <w:rPr>
          <w:rFonts w:ascii="Arial" w:cs="Arial" w:eastAsia="Arial" w:hAnsi="Arial"/>
          <w:sz w:val="16"/>
          <w:szCs w:val="16"/>
          <w:u w:val="single" w:color="auto"/>
          <w:color w:val="0000EE"/>
        </w:rPr>
        <w:tab/>
      </w:r>
      <w:hyperlink w:anchor="page3">
        <w:r>
          <w:rPr>
            <w:rFonts w:ascii="Arial" w:cs="Arial" w:eastAsia="Arial" w:hAnsi="Arial"/>
            <w:sz w:val="14"/>
            <w:szCs w:val="14"/>
            <w:u w:val="single" w:color="auto"/>
            <w:color w:val="0000EE"/>
          </w:rPr>
          <w:t>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43815</wp:posOffset>
            </wp:positionV>
            <wp:extent cx="687768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66" w:lineRule="exact"/>
        <w:rPr>
          <w:sz w:val="20"/>
          <w:szCs w:val="20"/>
          <w:color w:val="auto"/>
        </w:rPr>
      </w:pPr>
    </w:p>
    <w:p>
      <w:pPr>
        <w:ind w:left="152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Condensed Consolidated Balance Sheets as of September 30, 2018 and December 31, 2017</w:t>
        </w:r>
      </w:hyperlink>
    </w:p>
    <w:p>
      <w:pPr>
        <w:spacing w:after="0" w:line="86" w:lineRule="exact"/>
        <w:rPr>
          <w:sz w:val="20"/>
          <w:szCs w:val="20"/>
          <w:color w:val="auto"/>
        </w:rPr>
      </w:pPr>
    </w:p>
    <w:p>
      <w:pPr>
        <w:ind w:left="15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Statements of Operations for the Three and Nine Months Ended September 30, 2018 and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43815</wp:posOffset>
            </wp:positionV>
            <wp:extent cx="687768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66" w:lineRule="exact"/>
        <w:rPr>
          <w:sz w:val="20"/>
          <w:szCs w:val="20"/>
          <w:color w:val="auto"/>
        </w:rPr>
      </w:pPr>
    </w:p>
    <w:p>
      <w:pPr>
        <w:ind w:left="152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Condensed Consolidated Statements of Comprehensive Income for the Three and Nine Months Ended September 30, 2018 and 2017</w:t>
        </w:r>
      </w:hyperlink>
    </w:p>
    <w:p>
      <w:pPr>
        <w:spacing w:after="0" w:line="109" w:lineRule="exact"/>
        <w:rPr>
          <w:sz w:val="20"/>
          <w:szCs w:val="20"/>
          <w:color w:val="auto"/>
        </w:rPr>
      </w:pPr>
    </w:p>
    <w:p>
      <w:pPr>
        <w:ind w:left="152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Cash Flows for the Nine Months Ended September 30, 2018 and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43815</wp:posOffset>
            </wp:positionV>
            <wp:extent cx="687768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66" w:lineRule="exact"/>
        <w:rPr>
          <w:sz w:val="20"/>
          <w:szCs w:val="20"/>
          <w:color w:val="auto"/>
        </w:rPr>
      </w:pPr>
    </w:p>
    <w:p>
      <w:pPr>
        <w:ind w:left="152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Notes to Condensed Consolidated Financial Statements</w:t>
        </w:r>
      </w:hyperlink>
    </w:p>
    <w:p>
      <w:pPr>
        <w:spacing w:after="0" w:line="86" w:lineRule="exact"/>
        <w:rPr>
          <w:sz w:val="20"/>
          <w:szCs w:val="20"/>
          <w:color w:val="auto"/>
        </w:rPr>
      </w:pPr>
    </w:p>
    <w:p>
      <w:pPr>
        <w:ind w:left="320"/>
        <w:spacing w:after="0"/>
        <w:tabs>
          <w:tab w:leader="none" w:pos="1500" w:val="left"/>
        </w:tabs>
        <w:rPr>
          <w:rFonts w:ascii="Arial" w:cs="Arial" w:eastAsia="Arial" w:hAnsi="Arial"/>
          <w:sz w:val="14"/>
          <w:szCs w:val="14"/>
          <w:u w:val="single" w:color="auto"/>
          <w:color w:val="0000EE"/>
        </w:rPr>
      </w:pPr>
      <w:hyperlink w:anchor="page18">
        <w:r>
          <w:rPr>
            <w:rFonts w:ascii="Arial" w:cs="Arial" w:eastAsia="Arial" w:hAnsi="Arial"/>
            <w:sz w:val="16"/>
            <w:szCs w:val="16"/>
            <w:u w:val="single" w:color="auto"/>
            <w:color w:val="0000EE"/>
          </w:rPr>
          <w:t>Item 2.</w:t>
        </w:r>
      </w:hyperlink>
      <w:r>
        <w:rPr>
          <w:rFonts w:ascii="Arial" w:cs="Arial" w:eastAsia="Arial" w:hAnsi="Arial"/>
          <w:sz w:val="16"/>
          <w:szCs w:val="16"/>
          <w:u w:val="single" w:color="auto"/>
          <w:color w:val="0000EE"/>
        </w:rPr>
        <w:tab/>
      </w:r>
      <w:hyperlink w:anchor="page18">
        <w:r>
          <w:rPr>
            <w:rFonts w:ascii="Arial" w:cs="Arial" w:eastAsia="Arial" w:hAnsi="Arial"/>
            <w:sz w:val="14"/>
            <w:szCs w:val="14"/>
            <w:u w:val="single" w:color="auto"/>
            <w:color w:val="0000EE"/>
          </w:rPr>
          <w:t>Management’s Discussion and Analysis of Financial Condition and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34925</wp:posOffset>
            </wp:positionV>
            <wp:extent cx="687768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53" w:lineRule="exact"/>
        <w:rPr>
          <w:sz w:val="20"/>
          <w:szCs w:val="20"/>
          <w:color w:val="auto"/>
        </w:rPr>
      </w:pPr>
    </w:p>
    <w:p>
      <w:pPr>
        <w:ind w:left="320"/>
        <w:spacing w:after="0"/>
        <w:tabs>
          <w:tab w:leader="none" w:pos="1500" w:val="left"/>
        </w:tabs>
        <w:rPr>
          <w:rFonts w:ascii="Arial" w:cs="Arial" w:eastAsia="Arial" w:hAnsi="Arial"/>
          <w:sz w:val="15"/>
          <w:szCs w:val="15"/>
          <w:u w:val="single" w:color="auto"/>
          <w:color w:val="0000EE"/>
        </w:rPr>
      </w:pPr>
      <w:hyperlink w:anchor="page32">
        <w:r>
          <w:rPr>
            <w:rFonts w:ascii="Arial" w:cs="Arial" w:eastAsia="Arial" w:hAnsi="Arial"/>
            <w:sz w:val="16"/>
            <w:szCs w:val="16"/>
            <w:u w:val="single" w:color="auto"/>
            <w:color w:val="0000EE"/>
          </w:rPr>
          <w:t>Item 3.</w:t>
        </w:r>
      </w:hyperlink>
      <w:r>
        <w:rPr>
          <w:rFonts w:ascii="Arial" w:cs="Arial" w:eastAsia="Arial" w:hAnsi="Arial"/>
          <w:sz w:val="16"/>
          <w:szCs w:val="16"/>
          <w:u w:val="single" w:color="auto"/>
          <w:color w:val="0000EE"/>
        </w:rPr>
        <w:tab/>
      </w:r>
      <w:hyperlink w:anchor="page32">
        <w:r>
          <w:rPr>
            <w:rFonts w:ascii="Arial" w:cs="Arial" w:eastAsia="Arial" w:hAnsi="Arial"/>
            <w:sz w:val="15"/>
            <w:szCs w:val="15"/>
            <w:u w:val="single" w:color="auto"/>
            <w:color w:val="0000EE"/>
          </w:rPr>
          <w:t>Quantitative and Qualitative Disclosures About Market Risk</w:t>
        </w:r>
      </w:hyperlink>
    </w:p>
    <w:p>
      <w:pPr>
        <w:spacing w:after="0" w:line="73" w:lineRule="exact"/>
        <w:rPr>
          <w:sz w:val="20"/>
          <w:szCs w:val="20"/>
          <w:color w:val="auto"/>
        </w:rPr>
      </w:pPr>
    </w:p>
    <w:p>
      <w:pPr>
        <w:ind w:left="320"/>
        <w:spacing w:after="0"/>
        <w:tabs>
          <w:tab w:leader="none" w:pos="1500" w:val="left"/>
        </w:tabs>
        <w:rPr>
          <w:rFonts w:ascii="Arial" w:cs="Arial" w:eastAsia="Arial" w:hAnsi="Arial"/>
          <w:sz w:val="14"/>
          <w:szCs w:val="14"/>
          <w:u w:val="single" w:color="auto"/>
          <w:color w:val="0000EE"/>
        </w:rPr>
      </w:pPr>
      <w:hyperlink w:anchor="page33">
        <w:r>
          <w:rPr>
            <w:rFonts w:ascii="Arial" w:cs="Arial" w:eastAsia="Arial" w:hAnsi="Arial"/>
            <w:sz w:val="16"/>
            <w:szCs w:val="16"/>
            <w:u w:val="single" w:color="auto"/>
            <w:color w:val="0000EE"/>
          </w:rPr>
          <w:t>Item 4.</w:t>
        </w:r>
      </w:hyperlink>
      <w:r>
        <w:rPr>
          <w:rFonts w:ascii="Arial" w:cs="Arial" w:eastAsia="Arial" w:hAnsi="Arial"/>
          <w:sz w:val="16"/>
          <w:szCs w:val="16"/>
          <w:u w:val="single" w:color="auto"/>
          <w:color w:val="0000EE"/>
        </w:rPr>
        <w:tab/>
      </w:r>
      <w:hyperlink w:anchor="page33">
        <w:r>
          <w:rPr>
            <w:rFonts w:ascii="Arial" w:cs="Arial" w:eastAsia="Arial" w:hAnsi="Arial"/>
            <w:sz w:val="14"/>
            <w:szCs w:val="14"/>
            <w:u w:val="single" w:color="auto"/>
            <w:color w:val="0000EE"/>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34925</wp:posOffset>
            </wp:positionV>
            <wp:extent cx="687768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62" w:lineRule="exact"/>
        <w:rPr>
          <w:sz w:val="20"/>
          <w:szCs w:val="20"/>
          <w:color w:val="auto"/>
        </w:rPr>
      </w:pPr>
    </w:p>
    <w:p>
      <w:pPr>
        <w:ind w:left="320"/>
        <w:spacing w:after="0"/>
        <w:rPr>
          <w:rFonts w:ascii="Arial" w:cs="Arial" w:eastAsia="Arial" w:hAnsi="Arial"/>
          <w:sz w:val="16"/>
          <w:szCs w:val="16"/>
          <w:b w:val="1"/>
          <w:bCs w:val="1"/>
          <w:u w:val="single" w:color="auto"/>
          <w:color w:val="0000EE"/>
        </w:rPr>
      </w:pPr>
      <w:hyperlink w:anchor="page34">
        <w:r>
          <w:rPr>
            <w:rFonts w:ascii="Arial" w:cs="Arial" w:eastAsia="Arial" w:hAnsi="Arial"/>
            <w:sz w:val="16"/>
            <w:szCs w:val="16"/>
            <w:b w:val="1"/>
            <w:bCs w:val="1"/>
            <w:u w:val="single" w:color="auto"/>
            <w:color w:val="0000EE"/>
          </w:rPr>
          <w:t>PART II. OTHER INFORMATION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rFonts w:ascii="Arial" w:cs="Arial" w:eastAsia="Arial" w:hAnsi="Arial"/>
          <w:sz w:val="16"/>
          <w:szCs w:val="16"/>
          <w:color w:val="auto"/>
        </w:rPr>
      </w:pPr>
      <w:hyperlink w:anchor="page3">
        <w:r>
          <w:rPr>
            <w:rFonts w:ascii="Arial" w:cs="Arial" w:eastAsia="Arial" w:hAnsi="Arial"/>
            <w:sz w:val="16"/>
            <w:szCs w:val="16"/>
            <w:color w:val="auto"/>
          </w:rPr>
          <w:t>1</w:t>
        </w:r>
      </w:hyperlink>
    </w:p>
    <w:p>
      <w:pPr>
        <w:spacing w:after="0" w:line="86" w:lineRule="exact"/>
        <w:rPr>
          <w:sz w:val="20"/>
          <w:szCs w:val="20"/>
          <w:color w:val="auto"/>
        </w:rPr>
      </w:pPr>
    </w:p>
    <w:p>
      <w:pPr>
        <w:ind w:left="120"/>
        <w:spacing w:after="0"/>
        <w:rPr>
          <w:rFonts w:ascii="Arial" w:cs="Arial" w:eastAsia="Arial" w:hAnsi="Arial"/>
          <w:sz w:val="16"/>
          <w:szCs w:val="16"/>
          <w:color w:val="auto"/>
        </w:rPr>
      </w:pPr>
      <w:hyperlink w:anchor="page4">
        <w:r>
          <w:rPr>
            <w:rFonts w:ascii="Arial" w:cs="Arial" w:eastAsia="Arial" w:hAnsi="Arial"/>
            <w:sz w:val="16"/>
            <w:szCs w:val="16"/>
            <w:color w:val="auto"/>
          </w:rPr>
          <w:t>2</w:t>
        </w:r>
      </w:hyperlink>
    </w:p>
    <w:p>
      <w:pPr>
        <w:spacing w:after="0" w:line="86" w:lineRule="exact"/>
        <w:rPr>
          <w:sz w:val="20"/>
          <w:szCs w:val="20"/>
          <w:color w:val="auto"/>
        </w:rPr>
      </w:pPr>
    </w:p>
    <w:p>
      <w:pPr>
        <w:ind w:left="120"/>
        <w:spacing w:after="0"/>
        <w:rPr>
          <w:rFonts w:ascii="Arial" w:cs="Arial" w:eastAsia="Arial" w:hAnsi="Arial"/>
          <w:sz w:val="16"/>
          <w:szCs w:val="16"/>
          <w:color w:val="auto"/>
        </w:rPr>
      </w:pPr>
      <w:hyperlink w:anchor="page5">
        <w:r>
          <w:rPr>
            <w:rFonts w:ascii="Arial" w:cs="Arial" w:eastAsia="Arial" w:hAnsi="Arial"/>
            <w:sz w:val="16"/>
            <w:szCs w:val="16"/>
            <w:color w:val="auto"/>
          </w:rPr>
          <w:t>3</w:t>
        </w:r>
      </w:hyperlink>
    </w:p>
    <w:p>
      <w:pPr>
        <w:spacing w:after="0" w:line="86" w:lineRule="exact"/>
        <w:rPr>
          <w:sz w:val="20"/>
          <w:szCs w:val="20"/>
          <w:color w:val="auto"/>
        </w:rPr>
      </w:pPr>
    </w:p>
    <w:p>
      <w:pPr>
        <w:ind w:left="120"/>
        <w:spacing w:after="0"/>
        <w:rPr>
          <w:rFonts w:ascii="Arial" w:cs="Arial" w:eastAsia="Arial" w:hAnsi="Arial"/>
          <w:sz w:val="16"/>
          <w:szCs w:val="16"/>
          <w:color w:val="auto"/>
        </w:rPr>
      </w:pPr>
      <w:hyperlink w:anchor="page6">
        <w:r>
          <w:rPr>
            <w:rFonts w:ascii="Arial" w:cs="Arial" w:eastAsia="Arial" w:hAnsi="Arial"/>
            <w:sz w:val="16"/>
            <w:szCs w:val="16"/>
            <w:color w:val="auto"/>
          </w:rPr>
          <w:t>4</w:t>
        </w:r>
      </w:hyperlink>
    </w:p>
    <w:p>
      <w:pPr>
        <w:spacing w:after="0" w:line="86" w:lineRule="exact"/>
        <w:rPr>
          <w:sz w:val="20"/>
          <w:szCs w:val="20"/>
          <w:color w:val="auto"/>
        </w:rPr>
      </w:pPr>
    </w:p>
    <w:p>
      <w:pPr>
        <w:ind w:left="120"/>
        <w:spacing w:after="0"/>
        <w:rPr>
          <w:rFonts w:ascii="Arial" w:cs="Arial" w:eastAsia="Arial" w:hAnsi="Arial"/>
          <w:sz w:val="16"/>
          <w:szCs w:val="16"/>
          <w:color w:val="auto"/>
        </w:rPr>
      </w:pPr>
      <w:hyperlink w:anchor="page7">
        <w:r>
          <w:rPr>
            <w:rFonts w:ascii="Arial" w:cs="Arial" w:eastAsia="Arial" w:hAnsi="Arial"/>
            <w:sz w:val="16"/>
            <w:szCs w:val="16"/>
            <w:color w:val="auto"/>
          </w:rPr>
          <w:t>5</w:t>
        </w:r>
      </w:hyperlink>
    </w:p>
    <w:p>
      <w:pPr>
        <w:spacing w:after="0" w:line="73" w:lineRule="exact"/>
        <w:rPr>
          <w:sz w:val="20"/>
          <w:szCs w:val="20"/>
          <w:color w:val="auto"/>
        </w:rPr>
      </w:pPr>
    </w:p>
    <w:p>
      <w:pPr>
        <w:ind w:left="80"/>
        <w:spacing w:after="0"/>
        <w:rPr>
          <w:rFonts w:ascii="Arial" w:cs="Arial" w:eastAsia="Arial" w:hAnsi="Arial"/>
          <w:sz w:val="16"/>
          <w:szCs w:val="16"/>
          <w:color w:val="auto"/>
        </w:rPr>
      </w:pPr>
      <w:hyperlink w:anchor="page18">
        <w:r>
          <w:rPr>
            <w:rFonts w:ascii="Arial" w:cs="Arial" w:eastAsia="Arial" w:hAnsi="Arial"/>
            <w:sz w:val="16"/>
            <w:szCs w:val="16"/>
            <w:color w:val="auto"/>
          </w:rPr>
          <w:t>16</w:t>
        </w:r>
      </w:hyperlink>
    </w:p>
    <w:p>
      <w:pPr>
        <w:spacing w:after="0" w:line="73" w:lineRule="exact"/>
        <w:rPr>
          <w:sz w:val="20"/>
          <w:szCs w:val="20"/>
          <w:color w:val="auto"/>
        </w:rPr>
      </w:pPr>
    </w:p>
    <w:p>
      <w:pPr>
        <w:ind w:left="80"/>
        <w:spacing w:after="0"/>
        <w:rPr>
          <w:rFonts w:ascii="Arial" w:cs="Arial" w:eastAsia="Arial" w:hAnsi="Arial"/>
          <w:sz w:val="16"/>
          <w:szCs w:val="16"/>
          <w:color w:val="auto"/>
        </w:rPr>
      </w:pPr>
      <w:hyperlink w:anchor="page32">
        <w:r>
          <w:rPr>
            <w:rFonts w:ascii="Arial" w:cs="Arial" w:eastAsia="Arial" w:hAnsi="Arial"/>
            <w:sz w:val="16"/>
            <w:szCs w:val="16"/>
            <w:color w:val="auto"/>
          </w:rPr>
          <w:t>30</w:t>
        </w:r>
      </w:hyperlink>
    </w:p>
    <w:p>
      <w:pPr>
        <w:spacing w:after="0" w:line="73" w:lineRule="exact"/>
        <w:rPr>
          <w:sz w:val="20"/>
          <w:szCs w:val="20"/>
          <w:color w:val="auto"/>
        </w:rPr>
      </w:pPr>
    </w:p>
    <w:p>
      <w:pPr>
        <w:ind w:left="80"/>
        <w:spacing w:after="0"/>
        <w:rPr>
          <w:rFonts w:ascii="Arial" w:cs="Arial" w:eastAsia="Arial" w:hAnsi="Arial"/>
          <w:sz w:val="16"/>
          <w:szCs w:val="16"/>
          <w:color w:val="auto"/>
        </w:rPr>
      </w:pPr>
      <w:hyperlink w:anchor="page33">
        <w:r>
          <w:rPr>
            <w:rFonts w:ascii="Arial" w:cs="Arial" w:eastAsia="Arial" w:hAnsi="Arial"/>
            <w:sz w:val="16"/>
            <w:szCs w:val="16"/>
            <w:color w:val="auto"/>
          </w:rPr>
          <w:t>31</w:t>
        </w:r>
      </w:hyperlink>
    </w:p>
    <w:p>
      <w:pPr>
        <w:spacing w:after="0" w:line="331" w:lineRule="exact"/>
        <w:rPr>
          <w:sz w:val="20"/>
          <w:szCs w:val="20"/>
          <w:color w:val="auto"/>
        </w:rPr>
      </w:pPr>
    </w:p>
    <w:p>
      <w:pPr>
        <w:sectPr>
          <w:pgSz w:w="11900" w:h="16838" w:orient="portrait"/>
          <w:cols w:equalWidth="0" w:num="2">
            <w:col w:w="10140" w:space="560"/>
            <w:col w:w="440"/>
          </w:cols>
          <w:pgMar w:left="240" w:top="175" w:right="519" w:bottom="1440" w:gutter="0" w:footer="0" w:header="0"/>
        </w:sectPr>
      </w:pPr>
    </w:p>
    <w:tbl>
      <w:tblPr>
        <w:tblLayout w:type="fixed"/>
        <w:tblInd w:w="300" w:type="dxa"/>
        <w:tblCellMar>
          <w:top w:w="0" w:type="dxa"/>
          <w:left w:w="0" w:type="dxa"/>
          <w:bottom w:w="0" w:type="dxa"/>
          <w:right w:w="0" w:type="dxa"/>
        </w:tblCellMar>
      </w:tblPr>
      <w:tr>
        <w:trPr>
          <w:trHeight w:val="184"/>
        </w:trPr>
        <w:tc>
          <w:tcPr>
            <w:tcW w:w="1220" w:type="dxa"/>
            <w:vAlign w:val="bottom"/>
            <w:gridSpan w:val="5"/>
          </w:tcPr>
          <w:p>
            <w:pPr>
              <w:ind w:left="20"/>
              <w:spacing w:after="0"/>
              <w:rPr>
                <w:rFonts w:ascii="Arial" w:cs="Arial" w:eastAsia="Arial" w:hAnsi="Arial"/>
                <w:sz w:val="16"/>
                <w:szCs w:val="16"/>
                <w:color w:val="0000EE"/>
              </w:rPr>
            </w:pPr>
            <w:hyperlink w:anchor="page34">
              <w:r>
                <w:rPr>
                  <w:rFonts w:ascii="Arial" w:cs="Arial" w:eastAsia="Arial" w:hAnsi="Arial"/>
                  <w:sz w:val="16"/>
                  <w:szCs w:val="16"/>
                  <w:color w:val="0000EE"/>
                </w:rPr>
                <w:t>Item 1.</w:t>
              </w:r>
            </w:hyperlink>
          </w:p>
        </w:tc>
        <w:tc>
          <w:tcPr>
            <w:tcW w:w="6600" w:type="dxa"/>
            <w:vAlign w:val="bottom"/>
            <w:gridSpan w:val="7"/>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Legal Proceedings</w:t>
              </w:r>
            </w:hyperlink>
          </w:p>
        </w:tc>
        <w:tc>
          <w:tcPr>
            <w:tcW w:w="3020" w:type="dxa"/>
            <w:vAlign w:val="bottom"/>
          </w:tcPr>
          <w:p>
            <w:pPr>
              <w:jc w:val="right"/>
              <w:ind w:right="119"/>
              <w:spacing w:after="0"/>
              <w:rPr>
                <w:rFonts w:ascii="Arial" w:cs="Arial" w:eastAsia="Arial" w:hAnsi="Arial"/>
                <w:sz w:val="16"/>
                <w:szCs w:val="16"/>
                <w:color w:val="auto"/>
              </w:rPr>
            </w:pPr>
            <w:hyperlink w:anchor="page34">
              <w:r>
                <w:rPr>
                  <w:rFonts w:ascii="Arial" w:cs="Arial" w:eastAsia="Arial" w:hAnsi="Arial"/>
                  <w:sz w:val="16"/>
                  <w:szCs w:val="16"/>
                  <w:color w:val="auto"/>
                </w:rPr>
                <w:t>32</w:t>
              </w:r>
            </w:hyperlink>
          </w:p>
        </w:tc>
      </w:tr>
      <w:tr>
        <w:trPr>
          <w:trHeight w:val="48"/>
        </w:trPr>
        <w:tc>
          <w:tcPr>
            <w:tcW w:w="2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30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1200" w:type="dxa"/>
            <w:vAlign w:val="bottom"/>
            <w:gridSpan w:val="4"/>
            <w:shd w:val="clear" w:color="auto" w:fill="CCEEFF"/>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Item 1A.</w:t>
              </w:r>
            </w:hyperlink>
          </w:p>
        </w:tc>
        <w:tc>
          <w:tcPr>
            <w:tcW w:w="6600" w:type="dxa"/>
            <w:vAlign w:val="bottom"/>
            <w:gridSpan w:val="7"/>
            <w:shd w:val="clear" w:color="auto" w:fill="CCEEFF"/>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Risk Factors</w:t>
              </w:r>
            </w:hyperlink>
          </w:p>
        </w:tc>
        <w:tc>
          <w:tcPr>
            <w:tcW w:w="3020" w:type="dxa"/>
            <w:vAlign w:val="bottom"/>
            <w:shd w:val="clear" w:color="auto" w:fill="CCEEFF"/>
          </w:tcPr>
          <w:p>
            <w:pPr>
              <w:jc w:val="right"/>
              <w:ind w:right="119"/>
              <w:spacing w:after="0"/>
              <w:rPr>
                <w:rFonts w:ascii="Arial" w:cs="Arial" w:eastAsia="Arial" w:hAnsi="Arial"/>
                <w:sz w:val="16"/>
                <w:szCs w:val="16"/>
                <w:color w:val="auto"/>
              </w:rPr>
            </w:pPr>
            <w:hyperlink w:anchor="page34">
              <w:r>
                <w:rPr>
                  <w:rFonts w:ascii="Arial" w:cs="Arial" w:eastAsia="Arial" w:hAnsi="Arial"/>
                  <w:sz w:val="16"/>
                  <w:szCs w:val="16"/>
                  <w:color w:val="auto"/>
                </w:rPr>
                <w:t>32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580" w:type="dxa"/>
            <w:vAlign w:val="bottom"/>
            <w:gridSpan w:val="2"/>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Item 2.</w:t>
              </w:r>
            </w:hyperlink>
          </w:p>
        </w:tc>
        <w:tc>
          <w:tcPr>
            <w:tcW w:w="620" w:type="dxa"/>
            <w:vAlign w:val="bottom"/>
            <w:gridSpan w:val="2"/>
          </w:tcPr>
          <w:p>
            <w:pPr>
              <w:spacing w:after="0"/>
              <w:rPr>
                <w:sz w:val="16"/>
                <w:szCs w:val="16"/>
                <w:color w:val="auto"/>
              </w:rPr>
            </w:pPr>
          </w:p>
        </w:tc>
        <w:tc>
          <w:tcPr>
            <w:tcW w:w="6600" w:type="dxa"/>
            <w:vAlign w:val="bottom"/>
            <w:gridSpan w:val="7"/>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Unregistered Sales of Equity Securities and Use of Proceeds</w:t>
              </w:r>
            </w:hyperlink>
          </w:p>
        </w:tc>
        <w:tc>
          <w:tcPr>
            <w:tcW w:w="3020" w:type="dxa"/>
            <w:vAlign w:val="bottom"/>
          </w:tcPr>
          <w:p>
            <w:pPr>
              <w:jc w:val="right"/>
              <w:ind w:right="119"/>
              <w:spacing w:after="0"/>
              <w:rPr>
                <w:rFonts w:ascii="Arial" w:cs="Arial" w:eastAsia="Arial" w:hAnsi="Arial"/>
                <w:sz w:val="16"/>
                <w:szCs w:val="16"/>
                <w:color w:val="auto"/>
              </w:rPr>
            </w:pPr>
            <w:hyperlink w:anchor="page38">
              <w:r>
                <w:rPr>
                  <w:rFonts w:ascii="Arial" w:cs="Arial" w:eastAsia="Arial" w:hAnsi="Arial"/>
                  <w:sz w:val="16"/>
                  <w:szCs w:val="16"/>
                  <w:color w:val="auto"/>
                </w:rPr>
                <w:t>36</w:t>
              </w:r>
            </w:hyperlink>
          </w:p>
        </w:tc>
      </w:tr>
      <w:tr>
        <w:trPr>
          <w:trHeight w:val="48"/>
        </w:trPr>
        <w:tc>
          <w:tcPr>
            <w:tcW w:w="2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2680" w:type="dxa"/>
            <w:vAlign w:val="bottom"/>
          </w:tcPr>
          <w:p>
            <w:pPr>
              <w:spacing w:after="0"/>
              <w:rPr>
                <w:sz w:val="4"/>
                <w:szCs w:val="4"/>
                <w:color w:val="auto"/>
              </w:rPr>
            </w:pPr>
          </w:p>
        </w:tc>
        <w:tc>
          <w:tcPr>
            <w:tcW w:w="30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1200" w:type="dxa"/>
            <w:vAlign w:val="bottom"/>
            <w:gridSpan w:val="4"/>
            <w:shd w:val="clear" w:color="auto" w:fill="CCEEFF"/>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Item 3.</w:t>
              </w:r>
            </w:hyperlink>
          </w:p>
        </w:tc>
        <w:tc>
          <w:tcPr>
            <w:tcW w:w="6600" w:type="dxa"/>
            <w:vAlign w:val="bottom"/>
            <w:gridSpan w:val="7"/>
            <w:shd w:val="clear" w:color="auto" w:fill="CCEEFF"/>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Defaults Upon Senior Securities</w:t>
              </w:r>
            </w:hyperlink>
          </w:p>
        </w:tc>
        <w:tc>
          <w:tcPr>
            <w:tcW w:w="3020" w:type="dxa"/>
            <w:vAlign w:val="bottom"/>
            <w:shd w:val="clear" w:color="auto" w:fill="CCEEFF"/>
          </w:tcPr>
          <w:p>
            <w:pPr>
              <w:jc w:val="right"/>
              <w:ind w:right="119"/>
              <w:spacing w:after="0"/>
              <w:rPr>
                <w:rFonts w:ascii="Arial" w:cs="Arial" w:eastAsia="Arial" w:hAnsi="Arial"/>
                <w:sz w:val="16"/>
                <w:szCs w:val="16"/>
                <w:color w:val="auto"/>
              </w:rPr>
            </w:pPr>
            <w:hyperlink w:anchor="page38">
              <w:r>
                <w:rPr>
                  <w:rFonts w:ascii="Arial" w:cs="Arial" w:eastAsia="Arial" w:hAnsi="Arial"/>
                  <w:sz w:val="16"/>
                  <w:szCs w:val="16"/>
                  <w:color w:val="auto"/>
                </w:rPr>
                <w:t>36</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1200" w:type="dxa"/>
            <w:vAlign w:val="bottom"/>
            <w:gridSpan w:val="4"/>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Item 4.</w:t>
              </w:r>
            </w:hyperlink>
          </w:p>
        </w:tc>
        <w:tc>
          <w:tcPr>
            <w:tcW w:w="6600" w:type="dxa"/>
            <w:vAlign w:val="bottom"/>
            <w:gridSpan w:val="7"/>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Mine Safety Disclosures</w:t>
              </w:r>
            </w:hyperlink>
          </w:p>
        </w:tc>
        <w:tc>
          <w:tcPr>
            <w:tcW w:w="3020" w:type="dxa"/>
            <w:vAlign w:val="bottom"/>
          </w:tcPr>
          <w:p>
            <w:pPr>
              <w:jc w:val="right"/>
              <w:ind w:right="119"/>
              <w:spacing w:after="0"/>
              <w:rPr>
                <w:rFonts w:ascii="Arial" w:cs="Arial" w:eastAsia="Arial" w:hAnsi="Arial"/>
                <w:sz w:val="16"/>
                <w:szCs w:val="16"/>
                <w:color w:val="auto"/>
              </w:rPr>
            </w:pPr>
            <w:hyperlink w:anchor="page38">
              <w:r>
                <w:rPr>
                  <w:rFonts w:ascii="Arial" w:cs="Arial" w:eastAsia="Arial" w:hAnsi="Arial"/>
                  <w:sz w:val="16"/>
                  <w:szCs w:val="16"/>
                  <w:color w:val="auto"/>
                </w:rPr>
                <w:t>36</w:t>
              </w:r>
            </w:hyperlink>
          </w:p>
        </w:tc>
      </w:tr>
      <w:tr>
        <w:trPr>
          <w:trHeight w:val="48"/>
        </w:trPr>
        <w:tc>
          <w:tcPr>
            <w:tcW w:w="2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30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1200" w:type="dxa"/>
            <w:vAlign w:val="bottom"/>
            <w:gridSpan w:val="4"/>
            <w:shd w:val="clear" w:color="auto" w:fill="CCEEFF"/>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Item 5.</w:t>
              </w:r>
            </w:hyperlink>
          </w:p>
        </w:tc>
        <w:tc>
          <w:tcPr>
            <w:tcW w:w="6600" w:type="dxa"/>
            <w:vAlign w:val="bottom"/>
            <w:gridSpan w:val="7"/>
            <w:shd w:val="clear" w:color="auto" w:fill="CCEEFF"/>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Other Information</w:t>
              </w:r>
            </w:hyperlink>
          </w:p>
        </w:tc>
        <w:tc>
          <w:tcPr>
            <w:tcW w:w="3020" w:type="dxa"/>
            <w:vAlign w:val="bottom"/>
            <w:shd w:val="clear" w:color="auto" w:fill="CCEEFF"/>
          </w:tcPr>
          <w:p>
            <w:pPr>
              <w:jc w:val="right"/>
              <w:ind w:right="119"/>
              <w:spacing w:after="0"/>
              <w:rPr>
                <w:rFonts w:ascii="Arial" w:cs="Arial" w:eastAsia="Arial" w:hAnsi="Arial"/>
                <w:sz w:val="16"/>
                <w:szCs w:val="16"/>
                <w:color w:val="auto"/>
              </w:rPr>
            </w:pPr>
            <w:hyperlink w:anchor="page38">
              <w:r>
                <w:rPr>
                  <w:rFonts w:ascii="Arial" w:cs="Arial" w:eastAsia="Arial" w:hAnsi="Arial"/>
                  <w:sz w:val="16"/>
                  <w:szCs w:val="16"/>
                  <w:color w:val="auto"/>
                </w:rPr>
                <w:t>36</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1200" w:type="dxa"/>
            <w:vAlign w:val="bottom"/>
            <w:gridSpan w:val="4"/>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Item 6.</w:t>
              </w:r>
            </w:hyperlink>
          </w:p>
        </w:tc>
        <w:tc>
          <w:tcPr>
            <w:tcW w:w="6600" w:type="dxa"/>
            <w:vAlign w:val="bottom"/>
            <w:gridSpan w:val="7"/>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Exhibits</w:t>
              </w:r>
            </w:hyperlink>
          </w:p>
        </w:tc>
        <w:tc>
          <w:tcPr>
            <w:tcW w:w="3020" w:type="dxa"/>
            <w:vAlign w:val="bottom"/>
          </w:tcPr>
          <w:p>
            <w:pPr>
              <w:jc w:val="right"/>
              <w:ind w:right="119"/>
              <w:spacing w:after="0"/>
              <w:rPr>
                <w:rFonts w:ascii="Arial" w:cs="Arial" w:eastAsia="Arial" w:hAnsi="Arial"/>
                <w:sz w:val="16"/>
                <w:szCs w:val="16"/>
                <w:color w:val="auto"/>
              </w:rPr>
            </w:pPr>
            <w:hyperlink w:anchor="page39">
              <w:r>
                <w:rPr>
                  <w:rFonts w:ascii="Arial" w:cs="Arial" w:eastAsia="Arial" w:hAnsi="Arial"/>
                  <w:sz w:val="16"/>
                  <w:szCs w:val="16"/>
                  <w:color w:val="auto"/>
                </w:rPr>
                <w:t>37</w:t>
              </w:r>
            </w:hyperlink>
          </w:p>
        </w:tc>
      </w:tr>
      <w:tr>
        <w:trPr>
          <w:trHeight w:val="48"/>
        </w:trPr>
        <w:tc>
          <w:tcPr>
            <w:tcW w:w="2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3020" w:type="dxa"/>
            <w:vAlign w:val="bottom"/>
          </w:tcPr>
          <w:p>
            <w:pPr>
              <w:spacing w:after="0"/>
              <w:rPr>
                <w:sz w:val="4"/>
                <w:szCs w:val="4"/>
                <w:color w:val="auto"/>
              </w:rPr>
            </w:pPr>
          </w:p>
        </w:tc>
      </w:tr>
      <w:tr>
        <w:trPr>
          <w:trHeight w:val="189"/>
        </w:trPr>
        <w:tc>
          <w:tcPr>
            <w:tcW w:w="1220" w:type="dxa"/>
            <w:vAlign w:val="bottom"/>
            <w:gridSpan w:val="5"/>
            <w:shd w:val="clear" w:color="auto" w:fill="CCEEFF"/>
          </w:tcPr>
          <w:p>
            <w:pPr>
              <w:ind w:left="20"/>
              <w:spacing w:after="0"/>
              <w:rPr>
                <w:rFonts w:ascii="Arial" w:cs="Arial" w:eastAsia="Arial" w:hAnsi="Arial"/>
                <w:sz w:val="16"/>
                <w:szCs w:val="16"/>
                <w:b w:val="1"/>
                <w:bCs w:val="1"/>
                <w:color w:val="0000EE"/>
              </w:rPr>
            </w:pPr>
            <w:hyperlink w:anchor="page40">
              <w:r>
                <w:rPr>
                  <w:rFonts w:ascii="Arial" w:cs="Arial" w:eastAsia="Arial" w:hAnsi="Arial"/>
                  <w:sz w:val="16"/>
                  <w:szCs w:val="16"/>
                  <w:b w:val="1"/>
                  <w:bCs w:val="1"/>
                  <w:color w:val="0000EE"/>
                </w:rPr>
                <w:t>SIGNATURES</w:t>
              </w:r>
            </w:hyperlink>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3020" w:type="dxa"/>
            <w:vAlign w:val="bottom"/>
            <w:shd w:val="clear" w:color="auto" w:fill="CCEEFF"/>
          </w:tcPr>
          <w:p>
            <w:pPr>
              <w:jc w:val="right"/>
              <w:ind w:right="119"/>
              <w:spacing w:after="0"/>
              <w:rPr>
                <w:rFonts w:ascii="Arial" w:cs="Arial" w:eastAsia="Arial" w:hAnsi="Arial"/>
                <w:sz w:val="16"/>
                <w:szCs w:val="16"/>
                <w:color w:val="auto"/>
              </w:rPr>
            </w:pPr>
            <w:hyperlink w:anchor="page40">
              <w:r>
                <w:rPr>
                  <w:rFonts w:ascii="Arial" w:cs="Arial" w:eastAsia="Arial" w:hAnsi="Arial"/>
                  <w:sz w:val="16"/>
                  <w:szCs w:val="16"/>
                  <w:color w:val="auto"/>
                </w:rPr>
                <w:t>38</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140"/>
          </w:cols>
          <w:pgMar w:left="240" w:top="175" w:right="51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40" w:type="dxa"/>
            <w:vAlign w:val="bottom"/>
          </w:tcPr>
          <w:p>
            <w:pPr>
              <w:jc w:val="center"/>
              <w:ind w:left="2390"/>
              <w:spacing w:after="0"/>
              <w:rPr>
                <w:sz w:val="20"/>
                <w:szCs w:val="20"/>
                <w:color w:val="auto"/>
              </w:rPr>
            </w:pPr>
            <w:r>
              <w:rPr>
                <w:rFonts w:ascii="Arial" w:cs="Arial" w:eastAsia="Arial" w:hAnsi="Arial"/>
                <w:sz w:val="18"/>
                <w:szCs w:val="18"/>
                <w:b w:val="1"/>
                <w:bCs w:val="1"/>
                <w:color w:val="auto"/>
                <w:w w:val="90"/>
              </w:rPr>
              <w:t>Lantheus Holdings, Inc.</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40" w:type="dxa"/>
            <w:vAlign w:val="bottom"/>
          </w:tcPr>
          <w:p>
            <w:pPr>
              <w:jc w:val="center"/>
              <w:ind w:left="23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40" w:type="dxa"/>
            <w:vAlign w:val="bottom"/>
          </w:tcPr>
          <w:p>
            <w:pPr>
              <w:jc w:val="center"/>
              <w:ind w:left="2370"/>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40" w:type="dxa"/>
            <w:vAlign w:val="bottom"/>
          </w:tcPr>
          <w:p>
            <w:pPr>
              <w:jc w:val="center"/>
              <w:ind w:left="2370"/>
              <w:spacing w:after="0"/>
              <w:rPr>
                <w:sz w:val="20"/>
                <w:szCs w:val="20"/>
                <w:color w:val="auto"/>
              </w:rPr>
            </w:pPr>
            <w:r>
              <w:rPr>
                <w:rFonts w:ascii="Arial" w:cs="Arial" w:eastAsia="Arial" w:hAnsi="Arial"/>
                <w:sz w:val="18"/>
                <w:szCs w:val="18"/>
                <w:color w:val="auto"/>
                <w:w w:val="89"/>
              </w:rPr>
              <w:t>(in thousands, except par value)</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76,290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47,135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40,259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26,080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4,669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190,960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147,850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Property, plant &amp; equipment, net</w:t>
            </w: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99,407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92,999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11,798</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15,714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87,010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29,652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28,487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0" w:type="dxa"/>
            <w:vAlign w:val="bottom"/>
          </w:tcPr>
          <w:p>
            <w:pPr>
              <w:spacing w:after="0"/>
              <w:rPr>
                <w:sz w:val="22"/>
                <w:szCs w:val="22"/>
                <w:color w:val="auto"/>
              </w:rPr>
            </w:pPr>
          </w:p>
        </w:tc>
        <w:tc>
          <w:tcPr>
            <w:tcW w:w="6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424,818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383,858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9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6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Revolving line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20,363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17,464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6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26,536</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94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54,577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46,750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Long-term debt, net</w:t>
            </w: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264,130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265,393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38,012</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369,310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360,567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(See Note 13)</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Preferred stock ($0.01 par value, 25,000 shares authorized; no shares issued and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w w:val="91"/>
              </w:rPr>
              <w:t>Common stock ($0.01 par value, 250,000 shares authorized; 38,463 and 37,765 shares issued</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and outstanding, respectively)</w:t>
            </w:r>
          </w:p>
        </w:tc>
        <w:tc>
          <w:tcPr>
            <w:tcW w:w="1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232,960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40" w:type="dxa"/>
            <w:vAlign w:val="bottom"/>
            <w:gridSpan w:val="2"/>
          </w:tcPr>
          <w:p>
            <w:pPr>
              <w:ind w:left="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(181,432)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(209,013)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940" w:type="dxa"/>
            <w:vAlign w:val="bottom"/>
            <w:gridSpan w:val="2"/>
          </w:tcPr>
          <w:p>
            <w:pPr>
              <w:ind w:left="2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55,508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23,291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0" w:type="dxa"/>
            <w:vAlign w:val="bottom"/>
          </w:tcPr>
          <w:p>
            <w:pPr>
              <w:spacing w:after="0"/>
              <w:rPr>
                <w:sz w:val="22"/>
                <w:szCs w:val="22"/>
                <w:color w:val="auto"/>
              </w:rPr>
            </w:pPr>
          </w:p>
        </w:tc>
        <w:tc>
          <w:tcPr>
            <w:tcW w:w="69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424,818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383,858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60"/>
          </w:cols>
          <w:pgMar w:left="240" w:top="162"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3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6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3540" w:type="dxa"/>
            <w:vAlign w:val="bottom"/>
            <w:gridSpan w:val="4"/>
          </w:tcPr>
          <w:p>
            <w:pPr>
              <w:jc w:val="center"/>
              <w:ind w:left="1050"/>
              <w:spacing w:after="0"/>
              <w:rPr>
                <w:sz w:val="20"/>
                <w:szCs w:val="20"/>
                <w:color w:val="auto"/>
              </w:rPr>
            </w:pPr>
            <w:r>
              <w:rPr>
                <w:rFonts w:ascii="Arial" w:cs="Arial" w:eastAsia="Arial" w:hAnsi="Arial"/>
                <w:sz w:val="18"/>
                <w:szCs w:val="18"/>
                <w:b w:val="1"/>
                <w:bCs w:val="1"/>
                <w:color w:val="auto"/>
                <w:w w:val="90"/>
              </w:rPr>
              <w:t>Lantheus Holdings, Inc.</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88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8"/>
              </w:rPr>
              <w:t>Condensed Consolidated Statements of Operations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540" w:type="dxa"/>
            <w:vAlign w:val="bottom"/>
            <w:gridSpan w:val="4"/>
          </w:tcPr>
          <w:p>
            <w:pPr>
              <w:jc w:val="center"/>
              <w:ind w:left="1030"/>
              <w:spacing w:after="0"/>
              <w:rPr>
                <w:sz w:val="20"/>
                <w:szCs w:val="20"/>
                <w:color w:val="auto"/>
              </w:rPr>
            </w:pPr>
            <w:r>
              <w:rPr>
                <w:rFonts w:ascii="Arial" w:cs="Arial" w:eastAsia="Arial" w:hAnsi="Arial"/>
                <w:sz w:val="18"/>
                <w:szCs w:val="18"/>
                <w:color w:val="auto"/>
                <w:w w:val="91"/>
              </w:rPr>
              <w:t>(Unaudited)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20" w:type="dxa"/>
            <w:vAlign w:val="bottom"/>
            <w:gridSpan w:val="5"/>
          </w:tcPr>
          <w:p>
            <w:pPr>
              <w:jc w:val="center"/>
              <w:ind w:left="750"/>
              <w:spacing w:after="0"/>
              <w:rPr>
                <w:sz w:val="20"/>
                <w:szCs w:val="20"/>
                <w:color w:val="auto"/>
              </w:rPr>
            </w:pPr>
            <w:r>
              <w:rPr>
                <w:rFonts w:ascii="Arial" w:cs="Arial" w:eastAsia="Arial" w:hAnsi="Arial"/>
                <w:sz w:val="18"/>
                <w:szCs w:val="18"/>
                <w:color w:val="auto"/>
                <w:w w:val="87"/>
              </w:rPr>
              <w:t>(in thousands, except per share data)</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4"/>
                <w:szCs w:val="24"/>
                <w:color w:val="auto"/>
              </w:rPr>
            </w:pPr>
          </w:p>
        </w:tc>
        <w:tc>
          <w:tcPr>
            <w:tcW w:w="22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2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250,137</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41,414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126,063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125,901</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0" w:type="dxa"/>
            <w:vAlign w:val="bottom"/>
          </w:tcPr>
          <w:p>
            <w:pPr>
              <w:spacing w:after="0"/>
              <w:rPr>
                <w:sz w:val="22"/>
                <w:szCs w:val="22"/>
                <w:color w:val="auto"/>
              </w:rPr>
            </w:pPr>
          </w:p>
        </w:tc>
        <w:tc>
          <w:tcPr>
            <w:tcW w:w="2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131,040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124,236</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2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31,892</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780" w:type="dxa"/>
            <w:vAlign w:val="bottom"/>
            <w:gridSpan w:val="2"/>
          </w:tcPr>
          <w:p>
            <w:pPr>
              <w:ind w:left="280"/>
              <w:spacing w:after="0"/>
              <w:rPr>
                <w:sz w:val="20"/>
                <w:szCs w:val="20"/>
                <w:color w:val="auto"/>
              </w:rPr>
            </w:pPr>
            <w:r>
              <w:rPr>
                <w:rFonts w:ascii="Arial" w:cs="Arial" w:eastAsia="Arial" w:hAnsi="Arial"/>
                <w:sz w:val="18"/>
                <w:szCs w:val="18"/>
                <w:color w:val="auto"/>
              </w:rPr>
              <w:t>General and administrative</w:t>
            </w:r>
          </w:p>
        </w:tc>
        <w:tc>
          <w:tcPr>
            <w:tcW w:w="2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13,609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35,549</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 w:type="dxa"/>
            <w:vAlign w:val="bottom"/>
          </w:tcPr>
          <w:p>
            <w:pPr>
              <w:spacing w:after="0"/>
              <w:rPr>
                <w:sz w:val="23"/>
                <w:szCs w:val="23"/>
                <w:color w:val="auto"/>
              </w:rPr>
            </w:pPr>
          </w:p>
        </w:tc>
        <w:tc>
          <w:tcPr>
            <w:tcW w:w="2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14,149</w:t>
            </w: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2780" w:type="dxa"/>
            <w:vAlign w:val="bottom"/>
            <w:gridSpan w:val="2"/>
          </w:tcPr>
          <w:p>
            <w:pPr>
              <w:ind w:left="480"/>
              <w:spacing w:after="0"/>
              <w:rPr>
                <w:sz w:val="20"/>
                <w:szCs w:val="20"/>
                <w:color w:val="auto"/>
              </w:rPr>
            </w:pPr>
            <w:r>
              <w:rPr>
                <w:rFonts w:ascii="Arial" w:cs="Arial" w:eastAsia="Arial" w:hAnsi="Arial"/>
                <w:sz w:val="18"/>
                <w:szCs w:val="18"/>
                <w:color w:val="auto"/>
              </w:rPr>
              <w:t>Total operating expenses</w:t>
            </w:r>
          </w:p>
        </w:tc>
        <w:tc>
          <w:tcPr>
            <w:tcW w:w="2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83,495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81,590</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Operating income</w:t>
            </w:r>
          </w:p>
        </w:tc>
        <w:tc>
          <w:tcPr>
            <w:tcW w:w="2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42,646</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14,147</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Other income</w:t>
            </w:r>
          </w:p>
        </w:tc>
        <w:tc>
          <w:tcPr>
            <w:tcW w:w="2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0" w:type="dxa"/>
            <w:vAlign w:val="bottom"/>
          </w:tcPr>
          <w:p>
            <w:pPr>
              <w:spacing w:after="0"/>
              <w:rPr>
                <w:sz w:val="22"/>
                <w:szCs w:val="22"/>
                <w:color w:val="auto"/>
              </w:rPr>
            </w:pPr>
          </w:p>
        </w:tc>
        <w:tc>
          <w:tcPr>
            <w:tcW w:w="2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2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28,375</w:t>
            </w: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2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0" w:type="dxa"/>
            <w:vAlign w:val="bottom"/>
          </w:tcPr>
          <w:p>
            <w:pPr>
              <w:spacing w:after="0"/>
              <w:rPr>
                <w:sz w:val="22"/>
                <w:szCs w:val="22"/>
                <w:color w:val="auto"/>
              </w:rPr>
            </w:pPr>
          </w:p>
        </w:tc>
        <w:tc>
          <w:tcPr>
            <w:tcW w:w="2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27,225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7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Net income per common share:</w:t>
            </w:r>
          </w:p>
        </w:tc>
        <w:tc>
          <w:tcPr>
            <w:tcW w:w="2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 w:type="dxa"/>
            <w:vAlign w:val="bottom"/>
          </w:tcPr>
          <w:p>
            <w:pPr>
              <w:spacing w:after="0"/>
              <w:rPr>
                <w:sz w:val="17"/>
                <w:szCs w:val="17"/>
                <w:color w:val="auto"/>
              </w:rPr>
            </w:pPr>
          </w:p>
        </w:tc>
        <w:tc>
          <w:tcPr>
            <w:tcW w:w="2780" w:type="dxa"/>
            <w:vAlign w:val="bottom"/>
            <w:gridSpan w:val="2"/>
            <w:vMerge w:val="continue"/>
          </w:tcPr>
          <w:p>
            <w:pPr>
              <w:spacing w:after="0"/>
              <w:rPr>
                <w:sz w:val="17"/>
                <w:szCs w:val="17"/>
                <w:color w:val="auto"/>
              </w:rPr>
            </w:pPr>
          </w:p>
        </w:tc>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00" w:type="dxa"/>
            <w:vAlign w:val="bottom"/>
          </w:tcPr>
          <w:p>
            <w:pPr>
              <w:spacing w:after="0"/>
              <w:rPr>
                <w:sz w:val="23"/>
                <w:szCs w:val="23"/>
                <w:color w:val="auto"/>
              </w:rPr>
            </w:pPr>
          </w:p>
        </w:tc>
        <w:tc>
          <w:tcPr>
            <w:tcW w:w="2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78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w:t>
            </w:r>
          </w:p>
        </w:tc>
        <w:tc>
          <w:tcPr>
            <w:tcW w:w="2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0" w:type="dxa"/>
            <w:vAlign w:val="bottom"/>
          </w:tcPr>
          <w:p>
            <w:pPr>
              <w:spacing w:after="0"/>
              <w:rPr>
                <w:sz w:val="19"/>
                <w:szCs w:val="19"/>
                <w:color w:val="auto"/>
              </w:rPr>
            </w:pPr>
          </w:p>
        </w:tc>
        <w:tc>
          <w:tcPr>
            <w:tcW w:w="2780" w:type="dxa"/>
            <w:vAlign w:val="bottom"/>
            <w:gridSpan w:val="2"/>
            <w:vMerge w:val="continue"/>
          </w:tcPr>
          <w:p>
            <w:pPr>
              <w:spacing w:after="0"/>
              <w:rPr>
                <w:sz w:val="19"/>
                <w:szCs w:val="19"/>
                <w:color w:val="auto"/>
              </w:rPr>
            </w:pPr>
          </w:p>
        </w:tc>
        <w:tc>
          <w:tcPr>
            <w:tcW w:w="2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67"/>
        </w:trPr>
        <w:tc>
          <w:tcPr>
            <w:tcW w:w="600" w:type="dxa"/>
            <w:vAlign w:val="bottom"/>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220" w:type="dxa"/>
            <w:vAlign w:val="bottom"/>
            <w:tcBorders>
              <w:bottom w:val="single" w:sz="8" w:color="CCEEFF"/>
            </w:tcBorders>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0" w:type="dxa"/>
            <w:vAlign w:val="bottom"/>
          </w:tcPr>
          <w:p>
            <w:pPr>
              <w:spacing w:after="0"/>
              <w:rPr>
                <w:sz w:val="20"/>
                <w:szCs w:val="20"/>
                <w:color w:val="auto"/>
              </w:rPr>
            </w:pPr>
          </w:p>
        </w:tc>
        <w:tc>
          <w:tcPr>
            <w:tcW w:w="4980" w:type="dxa"/>
            <w:vAlign w:val="bottom"/>
            <w:tcBorders>
              <w:bottom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278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2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38,342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37,174</w:t>
            </w:r>
          </w:p>
        </w:tc>
        <w:tc>
          <w:tcPr>
            <w:tcW w:w="0" w:type="dxa"/>
            <w:vAlign w:val="bottom"/>
          </w:tcPr>
          <w:p>
            <w:pPr>
              <w:spacing w:after="0"/>
              <w:rPr>
                <w:sz w:val="1"/>
                <w:szCs w:val="1"/>
                <w:color w:val="auto"/>
              </w:rPr>
            </w:pPr>
          </w:p>
        </w:tc>
      </w:tr>
      <w:tr>
        <w:trPr>
          <w:trHeight w:val="67"/>
        </w:trPr>
        <w:tc>
          <w:tcPr>
            <w:tcW w:w="600" w:type="dxa"/>
            <w:vAlign w:val="bottom"/>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2020" w:type="dxa"/>
            <w:vAlign w:val="bottom"/>
            <w:tcBorders>
              <w:bottom w:val="single" w:sz="8" w:color="CCEEFF"/>
            </w:tcBorders>
          </w:tcPr>
          <w:p>
            <w:pPr>
              <w:spacing w:after="0"/>
              <w:rPr>
                <w:sz w:val="5"/>
                <w:szCs w:val="5"/>
                <w:color w:val="auto"/>
              </w:rPr>
            </w:pPr>
          </w:p>
        </w:tc>
        <w:tc>
          <w:tcPr>
            <w:tcW w:w="22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38,971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240" w:top="162" w:right="8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income</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comprehensive (loss)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center"/>
        <w:ind w:right="2720"/>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right="2720"/>
        <w:spacing w:after="0"/>
        <w:rPr>
          <w:sz w:val="20"/>
          <w:szCs w:val="20"/>
          <w:color w:val="auto"/>
        </w:rPr>
      </w:pPr>
      <w:r>
        <w:rPr>
          <w:rFonts w:ascii="Arial" w:cs="Arial" w:eastAsia="Arial" w:hAnsi="Arial"/>
          <w:sz w:val="15"/>
          <w:szCs w:val="15"/>
          <w:b w:val="1"/>
          <w:bCs w:val="1"/>
          <w:color w:val="auto"/>
        </w:rPr>
        <w:t>Condensed Consolidated Statements of Comprehensive Income</w:t>
      </w:r>
    </w:p>
    <w:p>
      <w:pPr>
        <w:spacing w:after="0" w:line="44" w:lineRule="exact"/>
        <w:rPr>
          <w:sz w:val="20"/>
          <w:szCs w:val="20"/>
          <w:color w:val="auto"/>
        </w:rPr>
      </w:pPr>
    </w:p>
    <w:p>
      <w:pPr>
        <w:jc w:val="center"/>
        <w:ind w:right="27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720"/>
        <w:spacing w:after="0"/>
        <w:rPr>
          <w:sz w:val="20"/>
          <w:szCs w:val="20"/>
          <w:color w:val="auto"/>
        </w:rPr>
      </w:pPr>
      <w:r>
        <w:rPr>
          <w:rFonts w:ascii="Arial" w:cs="Arial" w:eastAsia="Arial" w:hAnsi="Arial"/>
          <w:sz w:val="18"/>
          <w:szCs w:val="18"/>
          <w:color w:val="auto"/>
        </w:rPr>
        <w:t>(in thousands)</w:t>
      </w:r>
    </w:p>
    <w:p>
      <w:pPr>
        <w:spacing w:after="0" w:line="153" w:lineRule="exact"/>
        <w:rPr>
          <w:sz w:val="20"/>
          <w:szCs w:val="20"/>
          <w:color w:val="auto"/>
        </w:rPr>
      </w:pPr>
    </w:p>
    <w:tbl>
      <w:tblPr>
        <w:tblLayout w:type="fixed"/>
        <w:tblInd w:w="272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2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40" w:type="dxa"/>
            <w:vAlign w:val="bottom"/>
          </w:tcPr>
          <w:p>
            <w:pPr>
              <w:spacing w:after="0"/>
              <w:rPr>
                <w:sz w:val="20"/>
                <w:szCs w:val="20"/>
                <w:color w:val="auto"/>
              </w:rPr>
            </w:pPr>
          </w:p>
        </w:tc>
        <w:tc>
          <w:tcPr>
            <w:tcW w:w="224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120" w:type="dxa"/>
            <w:vAlign w:val="bottom"/>
            <w:gridSpan w:val="4"/>
          </w:tcPr>
          <w:p>
            <w:pPr>
              <w:ind w:left="40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400"/>
              <w:spacing w:after="0"/>
              <w:rPr>
                <w:sz w:val="20"/>
                <w:szCs w:val="20"/>
                <w:color w:val="auto"/>
              </w:rPr>
            </w:pPr>
            <w:r>
              <w:rPr>
                <w:rFonts w:ascii="Arial" w:cs="Arial" w:eastAsia="Arial" w:hAnsi="Arial"/>
                <w:sz w:val="18"/>
                <w:szCs w:val="18"/>
                <w:color w:val="auto"/>
              </w:rPr>
              <w:t>9,269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8,526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27,225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26,259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-162560</wp:posOffset>
            </wp:positionV>
            <wp:extent cx="653478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34785" cy="180340"/>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3200" w:space="80"/>
            <w:col w:w="7580"/>
          </w:cols>
          <w:pgMar w:left="240" w:top="175" w:right="799" w:bottom="1440" w:gutter="0" w:footer="0" w:header="0"/>
        </w:sectPr>
      </w:pPr>
    </w:p>
    <w:tbl>
      <w:tblPr>
        <w:tblLayout w:type="fixed"/>
        <w:tblInd w:w="580" w:type="dxa"/>
        <w:tblCellMar>
          <w:top w:w="0" w:type="dxa"/>
          <w:left w:w="0" w:type="dxa"/>
          <w:bottom w:w="0" w:type="dxa"/>
          <w:right w:w="0" w:type="dxa"/>
        </w:tblCellMar>
      </w:tblPr>
      <w:tr>
        <w:trPr>
          <w:trHeight w:val="270"/>
        </w:trPr>
        <w:tc>
          <w:tcPr>
            <w:tcW w:w="5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translation</w:t>
            </w:r>
          </w:p>
        </w:tc>
        <w:tc>
          <w:tcPr>
            <w:tcW w:w="3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7"/>
        </w:trPr>
        <w:tc>
          <w:tcPr>
            <w:tcW w:w="5420" w:type="dxa"/>
            <w:vAlign w:val="bottom"/>
          </w:tcPr>
          <w:p>
            <w:pPr>
              <w:ind w:left="480"/>
              <w:spacing w:after="0"/>
              <w:rPr>
                <w:sz w:val="20"/>
                <w:szCs w:val="20"/>
                <w:color w:val="auto"/>
              </w:rPr>
            </w:pPr>
            <w:r>
              <w:rPr>
                <w:rFonts w:ascii="Arial" w:cs="Arial" w:eastAsia="Arial" w:hAnsi="Arial"/>
                <w:sz w:val="18"/>
                <w:szCs w:val="18"/>
                <w:color w:val="auto"/>
              </w:rPr>
              <w:t>Total other comprehensive (loss) income</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5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26,120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240" w:top="175" w:right="7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5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16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Lantheus Holdings, Inc.</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160" w:type="dxa"/>
            <w:vAlign w:val="bottom"/>
          </w:tcPr>
          <w:p>
            <w:pPr>
              <w:jc w:val="center"/>
              <w:ind w:left="147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160" w:type="dxa"/>
            <w:vAlign w:val="bottom"/>
          </w:tcPr>
          <w:p>
            <w:pPr>
              <w:jc w:val="center"/>
              <w:ind w:left="1450"/>
              <w:spacing w:after="0"/>
              <w:rPr>
                <w:sz w:val="20"/>
                <w:szCs w:val="20"/>
                <w:color w:val="auto"/>
              </w:rPr>
            </w:pPr>
            <w:r>
              <w:rPr>
                <w:rFonts w:ascii="Arial" w:cs="Arial" w:eastAsia="Arial" w:hAnsi="Arial"/>
                <w:sz w:val="18"/>
                <w:szCs w:val="18"/>
                <w:color w:val="auto"/>
                <w:w w:val="91"/>
              </w:rPr>
              <w:t>(Unaudited)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60" w:type="dxa"/>
            <w:vAlign w:val="bottom"/>
          </w:tcPr>
          <w:p>
            <w:pPr>
              <w:jc w:val="center"/>
              <w:ind w:left="1450"/>
              <w:spacing w:after="0"/>
              <w:rPr>
                <w:sz w:val="20"/>
                <w:szCs w:val="20"/>
                <w:color w:val="auto"/>
              </w:rPr>
            </w:pPr>
            <w:r>
              <w:rPr>
                <w:rFonts w:ascii="Arial" w:cs="Arial" w:eastAsia="Arial" w:hAnsi="Arial"/>
                <w:sz w:val="18"/>
                <w:szCs w:val="18"/>
                <w:color w:val="auto"/>
                <w:w w:val="89"/>
              </w:rPr>
              <w:t>(in thousands)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27,225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26,259</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Depreciation, amortization and accretion</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15,019</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debt 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Provision for bad debt</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Provision for excess and obsolete inventory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3,764</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 and debt retirement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Deferred taxes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income tax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Long-term income tax payable and other long-term liabilities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2,120</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Increases (decreases) in cash from operating assets and liabilities: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(4,609)</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(6,361)</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2,237</w:t>
            </w:r>
          </w:p>
        </w:tc>
      </w:tr>
      <w:tr>
        <w:trPr>
          <w:trHeight w:val="237"/>
        </w:trPr>
        <w:tc>
          <w:tcPr>
            <w:tcW w:w="120" w:type="dxa"/>
            <w:vAlign w:val="bottom"/>
          </w:tcPr>
          <w:p>
            <w:pPr>
              <w:spacing w:after="0"/>
              <w:rPr>
                <w:sz w:val="20"/>
                <w:szCs w:val="20"/>
                <w:color w:val="auto"/>
              </w:rPr>
            </w:pPr>
          </w:p>
        </w:tc>
        <w:tc>
          <w:tcPr>
            <w:tcW w:w="8400" w:type="dxa"/>
            <w:vAlign w:val="bottom"/>
            <w:gridSpan w:val="2"/>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43,887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41,691</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(11,589)</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 of assets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r>
      <w:tr>
        <w:trPr>
          <w:trHeight w:val="237"/>
        </w:trPr>
        <w:tc>
          <w:tcPr>
            <w:tcW w:w="120" w:type="dxa"/>
            <w:vAlign w:val="bottom"/>
          </w:tcPr>
          <w:p>
            <w:pPr>
              <w:spacing w:after="0"/>
              <w:rPr>
                <w:sz w:val="20"/>
                <w:szCs w:val="20"/>
                <w:color w:val="auto"/>
              </w:rPr>
            </w:pPr>
          </w:p>
        </w:tc>
        <w:tc>
          <w:tcPr>
            <w:tcW w:w="8400" w:type="dxa"/>
            <w:vAlign w:val="bottom"/>
            <w:gridSpan w:val="2"/>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(10,355)</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274,313</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(285,979)</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Deferred financing costs</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(1,576)</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for public offering costs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Proceeds from stock option exercises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1,210</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Payments for minimum statutory tax withholding related to net share settlement of equity awards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(2,681)</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120" w:type="dxa"/>
            <w:vAlign w:val="bottom"/>
          </w:tcPr>
          <w:p>
            <w:pPr>
              <w:spacing w:after="0"/>
              <w:rPr>
                <w:sz w:val="22"/>
                <w:szCs w:val="22"/>
                <w:color w:val="auto"/>
              </w:rPr>
            </w:pPr>
          </w:p>
        </w:tc>
        <w:tc>
          <w:tcPr>
            <w:tcW w:w="84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(14,600)</w:t>
            </w:r>
          </w:p>
        </w:tc>
      </w:tr>
      <w:tr>
        <w:trPr>
          <w:trHeight w:val="237"/>
        </w:trPr>
        <w:tc>
          <w:tcPr>
            <w:tcW w:w="120" w:type="dxa"/>
            <w:vAlign w:val="bottom"/>
          </w:tcPr>
          <w:p>
            <w:pPr>
              <w:spacing w:after="0"/>
              <w:rPr>
                <w:sz w:val="20"/>
                <w:szCs w:val="20"/>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Effect of foreign exchange rates on cash and cash equivalents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16,899</w:t>
            </w:r>
          </w:p>
        </w:tc>
      </w:tr>
      <w:tr>
        <w:trPr>
          <w:trHeight w:val="243"/>
        </w:trPr>
        <w:tc>
          <w:tcPr>
            <w:tcW w:w="120" w:type="dxa"/>
            <w:vAlign w:val="bottom"/>
          </w:tcPr>
          <w:p>
            <w:pPr>
              <w:spacing w:after="0"/>
              <w:rPr>
                <w:sz w:val="21"/>
                <w:szCs w:val="21"/>
                <w:color w:val="auto"/>
              </w:rPr>
            </w:pPr>
          </w:p>
        </w:tc>
        <w:tc>
          <w:tcPr>
            <w:tcW w:w="84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76,290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51,178</w:t>
            </w:r>
          </w:p>
        </w:tc>
      </w:tr>
      <w:tr>
        <w:trPr>
          <w:trHeight w:val="27"/>
        </w:trPr>
        <w:tc>
          <w:tcPr>
            <w:tcW w:w="1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120" w:type="dxa"/>
            <w:vAlign w:val="bottom"/>
          </w:tcPr>
          <w:p>
            <w:pPr>
              <w:spacing w:after="0"/>
              <w:rPr>
                <w:sz w:val="22"/>
                <w:szCs w:val="22"/>
                <w:color w:val="auto"/>
              </w:rPr>
            </w:pPr>
          </w:p>
        </w:tc>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104,584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68,077</w:t>
            </w:r>
          </w:p>
        </w:tc>
      </w:tr>
      <w:tr>
        <w:trPr>
          <w:trHeight w:val="20"/>
        </w:trPr>
        <w:tc>
          <w:tcPr>
            <w:tcW w:w="1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300"/>
          </w:cols>
          <w:pgMar w:left="240" w:top="162" w:right="359" w:bottom="1440" w:gutter="0" w:footer="0" w:header="0"/>
        </w:sect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00"/>
          </w:cols>
          <w:pgMar w:left="240" w:top="162" w:right="3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Company References and Trademarks</w:t>
      </w:r>
    </w:p>
    <w:p>
      <w:pPr>
        <w:spacing w:after="0" w:line="121" w:lineRule="exact"/>
        <w:rPr>
          <w:sz w:val="20"/>
          <w:szCs w:val="20"/>
          <w:color w:val="auto"/>
        </w:rPr>
      </w:pPr>
    </w:p>
    <w:p>
      <w:pPr>
        <w:ind w:right="140" w:firstLine="405"/>
        <w:spacing w:after="0" w:line="235" w:lineRule="auto"/>
        <w:rPr>
          <w:sz w:val="20"/>
          <w:szCs w:val="20"/>
          <w:color w:val="auto"/>
        </w:rPr>
      </w:pPr>
      <w:r>
        <w:rPr>
          <w:rFonts w:ascii="Arial" w:cs="Arial" w:eastAsia="Arial" w:hAnsi="Arial"/>
          <w:sz w:val="18"/>
          <w:szCs w:val="18"/>
          <w:color w:val="auto"/>
        </w:rPr>
        <w:t xml:space="preserve">Unless the context otherwise requires, references to the “Company” and “Lantheus” refer to Lantheus Holdings, Inc. and its direct and indirect wholly-owned subsidiaries, references to “Holdings” refer to Lantheus Holdings, Inc. and not to any of its subsidiaries, and references to “LMI” refer to Lantheus Medical Imaging, Inc., the direct subsidiary of Holdings. Solely for convenience, the Company refers to trademarks, service marks and trade names without the ™, </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and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symbols. Those references are not intended to indicate, in any way, that the Company will not assert, to the fullest extent permitted under applicable law, its rights to its trademarks, service marks and trade names.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accompanying unaudited condensed consolidated financial statements include the accounts of Lantheus Holdings, Inc. and its direct and indirect wholly-owned subsidiaries and have been prepared in accordance with generally accepted accounting principles for interim financial information and with the instructions to Form 10-Q and Article 10 of Regulation S-X. Accordingly, these condensed consolidated financial statements do not include all of the information and notes required by generally accepted accounting principles in the United States of America (“U.S. GAAP”) for complete financial statements. In the opinion of management, all adjustments (consisting of normal and recurring adjustments) considered necessary for a fair statement have been included. The results of operations for the three and nine months ended September 30, 2018 are not necessarily indicative of the results that may be expected for the year ended December 31, 2018 or any future period.</w:t>
      </w:r>
    </w:p>
    <w:p>
      <w:pPr>
        <w:spacing w:after="0" w:line="178"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The condensed consolidated balance sheet at December 31, 2017 has been derived from the audited consolidated financial statements at that date but does not include all of the information and notes required by U.S. GAAP for complete financial statements. These condensed consolidated financial statements and accompanying notes should be read in conjunction with the consolidated financial statements and notes thereto included in Item 8 of the Company’s most recent Annual Report on Form 10-K for the year ended December 31, 2017 filed with the Securities Exchange Commission (“SEC”) on February 26, 2018. Certain immaterial amounts in the prior period condensed consolidated statement of cash flows have been reclassified to conform to the current period financial statement presentation.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The following table provides a description of recent accounting pronouncements that may have a material effect on the Company’s condensed consolidated financial statements:</w:t>
      </w:r>
    </w:p>
    <w:p>
      <w:pPr>
        <w:spacing w:after="0" w:line="84" w:lineRule="exact"/>
        <w:rPr>
          <w:sz w:val="20"/>
          <w:szCs w:val="20"/>
          <w:color w:val="auto"/>
        </w:rPr>
      </w:pPr>
    </w:p>
    <w:tbl>
      <w:tblPr>
        <w:tblLayout w:type="fixed"/>
        <w:tblInd w:w="450" w:type="dxa"/>
        <w:tblCellMar>
          <w:top w:w="0" w:type="dxa"/>
          <w:left w:w="0" w:type="dxa"/>
          <w:bottom w:w="0" w:type="dxa"/>
          <w:right w:w="0" w:type="dxa"/>
        </w:tblCellMar>
      </w:tblPr>
      <w:tr>
        <w:trPr>
          <w:trHeight w:val="315"/>
        </w:trPr>
        <w:tc>
          <w:tcPr>
            <w:tcW w:w="1800" w:type="dxa"/>
            <w:vAlign w:val="bottom"/>
            <w:tcBorders>
              <w:top w:val="single" w:sz="8" w:color="CCCCCC"/>
              <w:left w:val="single" w:sz="8" w:color="CCCCCC"/>
            </w:tcBorders>
            <w:vMerge w:val="restart"/>
          </w:tcPr>
          <w:p>
            <w:pPr>
              <w:ind w:left="620"/>
              <w:spacing w:after="0"/>
              <w:rPr>
                <w:sz w:val="20"/>
                <w:szCs w:val="20"/>
                <w:color w:val="auto"/>
              </w:rPr>
            </w:pPr>
            <w:r>
              <w:rPr>
                <w:rFonts w:ascii="Arial" w:cs="Arial" w:eastAsia="Arial" w:hAnsi="Arial"/>
                <w:sz w:val="14"/>
                <w:szCs w:val="14"/>
                <w:b w:val="1"/>
                <w:bCs w:val="1"/>
                <w:color w:val="auto"/>
              </w:rPr>
              <w:t>Standard</w:t>
            </w:r>
          </w:p>
        </w:tc>
        <w:tc>
          <w:tcPr>
            <w:tcW w:w="4240" w:type="dxa"/>
            <w:vAlign w:val="bottom"/>
            <w:tcBorders>
              <w:top w:val="single" w:sz="8" w:color="CCCCCC"/>
              <w:right w:val="single" w:sz="8" w:color="CCCCCC"/>
            </w:tcBorders>
            <w:vMerge w:val="restart"/>
          </w:tcPr>
          <w:p>
            <w:pPr>
              <w:ind w:left="174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Borders>
              <w:top w:val="single" w:sz="8" w:color="CCCCCC"/>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3060" w:type="dxa"/>
            <w:vAlign w:val="bottom"/>
            <w:tcBorders>
              <w:top w:val="single" w:sz="8" w:color="CCCCCC"/>
              <w:right w:val="single" w:sz="8" w:color="CCCCCC"/>
            </w:tcBorders>
          </w:tcPr>
          <w:p>
            <w:pPr>
              <w:ind w:left="20"/>
              <w:spacing w:after="0"/>
              <w:rPr>
                <w:sz w:val="20"/>
                <w:szCs w:val="20"/>
                <w:color w:val="auto"/>
              </w:rPr>
            </w:pPr>
            <w:r>
              <w:rPr>
                <w:rFonts w:ascii="Arial" w:cs="Arial" w:eastAsia="Arial" w:hAnsi="Arial"/>
                <w:sz w:val="14"/>
                <w:szCs w:val="14"/>
                <w:b w:val="1"/>
                <w:bCs w:val="1"/>
                <w:color w:val="auto"/>
                <w:w w:val="93"/>
              </w:rPr>
              <w:t>Effect on the Condensed Consolidated Financial</w:t>
            </w:r>
          </w:p>
        </w:tc>
        <w:tc>
          <w:tcPr>
            <w:tcW w:w="0" w:type="dxa"/>
            <w:vAlign w:val="bottom"/>
          </w:tcPr>
          <w:p>
            <w:pPr>
              <w:spacing w:after="0"/>
              <w:rPr>
                <w:sz w:val="1"/>
                <w:szCs w:val="1"/>
                <w:color w:val="auto"/>
              </w:rPr>
            </w:pPr>
          </w:p>
        </w:tc>
      </w:tr>
      <w:tr>
        <w:trPr>
          <w:trHeight w:val="105"/>
        </w:trPr>
        <w:tc>
          <w:tcPr>
            <w:tcW w:w="1800" w:type="dxa"/>
            <w:vAlign w:val="bottom"/>
            <w:tcBorders>
              <w:left w:val="single" w:sz="8" w:color="CCCCCC"/>
            </w:tcBorders>
            <w:vMerge w:val="continue"/>
          </w:tcPr>
          <w:p>
            <w:pPr>
              <w:spacing w:after="0"/>
              <w:rPr>
                <w:sz w:val="9"/>
                <w:szCs w:val="9"/>
                <w:color w:val="auto"/>
              </w:rPr>
            </w:pPr>
          </w:p>
        </w:tc>
        <w:tc>
          <w:tcPr>
            <w:tcW w:w="4240" w:type="dxa"/>
            <w:vAlign w:val="bottom"/>
            <w:tcBorders>
              <w:right w:val="single" w:sz="8" w:color="CCCCCC"/>
            </w:tcBorders>
            <w:vMerge w:val="continue"/>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Company</w:t>
            </w:r>
          </w:p>
        </w:tc>
        <w:tc>
          <w:tcPr>
            <w:tcW w:w="3060" w:type="dxa"/>
            <w:vAlign w:val="bottom"/>
            <w:tcBorders>
              <w:right w:val="single" w:sz="8" w:color="CCCCCC"/>
            </w:tcBorders>
            <w:vMerge w:val="restart"/>
          </w:tcPr>
          <w:p>
            <w:pPr>
              <w:ind w:left="116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81"/>
        </w:trPr>
        <w:tc>
          <w:tcPr>
            <w:tcW w:w="1800" w:type="dxa"/>
            <w:vAlign w:val="bottom"/>
            <w:tcBorders>
              <w:left w:val="single" w:sz="8" w:color="CCCCCC"/>
            </w:tcBorders>
          </w:tcPr>
          <w:p>
            <w:pPr>
              <w:spacing w:after="0"/>
              <w:rPr>
                <w:sz w:val="7"/>
                <w:szCs w:val="7"/>
                <w:color w:val="auto"/>
              </w:rPr>
            </w:pPr>
          </w:p>
        </w:tc>
        <w:tc>
          <w:tcPr>
            <w:tcW w:w="4240" w:type="dxa"/>
            <w:vAlign w:val="bottom"/>
            <w:tcBorders>
              <w:right w:val="single" w:sz="8" w:color="CCCCCC"/>
            </w:tcBorders>
          </w:tcPr>
          <w:p>
            <w:pPr>
              <w:spacing w:after="0"/>
              <w:rPr>
                <w:sz w:val="7"/>
                <w:szCs w:val="7"/>
                <w:color w:val="auto"/>
              </w:rPr>
            </w:pPr>
          </w:p>
        </w:tc>
        <w:tc>
          <w:tcPr>
            <w:tcW w:w="1480" w:type="dxa"/>
            <w:vAlign w:val="bottom"/>
            <w:vMerge w:val="continue"/>
          </w:tcPr>
          <w:p>
            <w:pPr>
              <w:spacing w:after="0"/>
              <w:rPr>
                <w:sz w:val="7"/>
                <w:szCs w:val="7"/>
                <w:color w:val="auto"/>
              </w:rPr>
            </w:pPr>
          </w:p>
        </w:tc>
        <w:tc>
          <w:tcPr>
            <w:tcW w:w="3060" w:type="dxa"/>
            <w:vAlign w:val="bottom"/>
            <w:tcBorders>
              <w:right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040" w:type="dxa"/>
            <w:vAlign w:val="bottom"/>
            <w:tcBorders>
              <w:left w:val="single" w:sz="8" w:color="CCCCCC"/>
              <w:bottom w:val="single" w:sz="8" w:color="7F7F7F"/>
              <w:right w:val="single" w:sz="8" w:color="CCCCCC"/>
            </w:tcBorders>
            <w:gridSpan w:val="2"/>
          </w:tcPr>
          <w:p>
            <w:pPr>
              <w:spacing w:after="0"/>
              <w:rPr>
                <w:sz w:val="14"/>
                <w:szCs w:val="14"/>
                <w:color w:val="auto"/>
              </w:rPr>
            </w:pPr>
          </w:p>
        </w:tc>
        <w:tc>
          <w:tcPr>
            <w:tcW w:w="1480" w:type="dxa"/>
            <w:vAlign w:val="bottom"/>
            <w:tcBorders>
              <w:bottom w:val="single" w:sz="8" w:color="7F7F7F"/>
            </w:tcBorders>
          </w:tcPr>
          <w:p>
            <w:pPr>
              <w:spacing w:after="0"/>
              <w:rPr>
                <w:sz w:val="14"/>
                <w:szCs w:val="14"/>
                <w:color w:val="auto"/>
              </w:rPr>
            </w:pPr>
          </w:p>
        </w:tc>
        <w:tc>
          <w:tcPr>
            <w:tcW w:w="3060" w:type="dxa"/>
            <w:vAlign w:val="bottom"/>
            <w:tcBorders>
              <w:bottom w:val="single" w:sz="8" w:color="7F7F7F"/>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040" w:type="dxa"/>
            <w:vAlign w:val="bottom"/>
            <w:tcBorders>
              <w:left w:val="single" w:sz="8" w:color="CCCCCC"/>
              <w:bottom w:val="single" w:sz="8" w:color="CCCCCC"/>
            </w:tcBorders>
            <w:gridSpan w:val="2"/>
          </w:tcPr>
          <w:p>
            <w:pPr>
              <w:ind w:left="40"/>
              <w:spacing w:after="0"/>
              <w:rPr>
                <w:sz w:val="20"/>
                <w:szCs w:val="20"/>
                <w:color w:val="auto"/>
              </w:rPr>
            </w:pPr>
            <w:r>
              <w:rPr>
                <w:rFonts w:ascii="Arial" w:cs="Arial" w:eastAsia="Arial" w:hAnsi="Arial"/>
                <w:sz w:val="14"/>
                <w:szCs w:val="14"/>
                <w:b w:val="1"/>
                <w:bCs w:val="1"/>
                <w:color w:val="auto"/>
              </w:rPr>
              <w:t>Recently Issued Accounting Standards Not Yet Adopted</w:t>
            </w:r>
          </w:p>
        </w:tc>
        <w:tc>
          <w:tcPr>
            <w:tcW w:w="1480" w:type="dxa"/>
            <w:vAlign w:val="bottom"/>
            <w:tcBorders>
              <w:bottom w:val="single" w:sz="8" w:color="CCCCCC"/>
            </w:tcBorders>
          </w:tcPr>
          <w:p>
            <w:pPr>
              <w:spacing w:after="0"/>
              <w:rPr>
                <w:sz w:val="17"/>
                <w:szCs w:val="17"/>
                <w:color w:val="auto"/>
              </w:rPr>
            </w:pPr>
          </w:p>
        </w:tc>
        <w:tc>
          <w:tcPr>
            <w:tcW w:w="3060" w:type="dxa"/>
            <w:vAlign w:val="bottom"/>
            <w:tcBorders>
              <w:bottom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800" w:type="dxa"/>
            <w:vAlign w:val="bottom"/>
            <w:tcBorders>
              <w:left w:val="single" w:sz="8" w:color="CCCCCC"/>
            </w:tcBorders>
            <w:shd w:val="clear" w:color="auto" w:fill="CCEEFF"/>
          </w:tcPr>
          <w:p>
            <w:pPr>
              <w:ind w:left="40"/>
              <w:spacing w:after="0" w:line="157" w:lineRule="exact"/>
              <w:rPr>
                <w:sz w:val="20"/>
                <w:szCs w:val="20"/>
                <w:color w:val="auto"/>
              </w:rPr>
            </w:pPr>
            <w:r>
              <w:rPr>
                <w:rFonts w:ascii="Arial" w:cs="Arial" w:eastAsia="Arial" w:hAnsi="Arial"/>
                <w:sz w:val="14"/>
                <w:szCs w:val="14"/>
                <w:color w:val="auto"/>
                <w:w w:val="96"/>
              </w:rPr>
              <w:t>ASU 2016-02, Leases (Topic</w:t>
            </w:r>
          </w:p>
        </w:tc>
        <w:tc>
          <w:tcPr>
            <w:tcW w:w="4240" w:type="dxa"/>
            <w:vAlign w:val="bottom"/>
            <w:tcBorders>
              <w:right w:val="single" w:sz="8" w:color="CCCCCC"/>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This ASU supersedes existing guidance on accounting for leases in</w:t>
            </w:r>
          </w:p>
        </w:tc>
        <w:tc>
          <w:tcPr>
            <w:tcW w:w="1480" w:type="dxa"/>
            <w:vAlign w:val="bottom"/>
            <w:tcBorders>
              <w:right w:val="single" w:sz="8" w:color="CCCCCC"/>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January 1, 2019</w:t>
            </w:r>
          </w:p>
        </w:tc>
        <w:tc>
          <w:tcPr>
            <w:tcW w:w="3060" w:type="dxa"/>
            <w:vAlign w:val="bottom"/>
            <w:tcBorders>
              <w:right w:val="single" w:sz="8" w:color="CCCCCC"/>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The Company is currently in the process of</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842)</w:t>
            </w: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“Leases (Topic 840)” and generally requires all leases to be recognized</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performing an assessment on the impact of the</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on the balance sheet. The provisions of ASU 2016-02 are effective for</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standard, including optional practical expedients</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annual reporting periods beginning after December 15, 2018; early</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3"/>
              </w:rPr>
              <w:t>and transition methods that the Company may elect</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adoption is permitted. In July 2018, an amendment was made that</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upon adoption and is progressing with an</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allows companies the option of using the effective date of the new</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implementation plan. The implementation plan</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standard as the initial application date (at the beginning of the period in</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includes identifying the Company’s lease</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which it is adopted, rather than at the beginning of the earliest</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population, assessing significant leases under the</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comparative period).</w:t>
            </w: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3"/>
              </w:rPr>
              <w:t>new guidance and identifying changes to processes</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spacing w:after="0"/>
              <w:rPr>
                <w:sz w:val="12"/>
                <w:szCs w:val="12"/>
                <w:color w:val="auto"/>
              </w:rPr>
            </w:pP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and controls. The Company is more than halfway</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spacing w:after="0"/>
              <w:rPr>
                <w:sz w:val="12"/>
                <w:szCs w:val="12"/>
                <w:color w:val="auto"/>
              </w:rPr>
            </w:pP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3"/>
              </w:rPr>
              <w:t>through its assessment and implementation plan. At</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spacing w:after="0"/>
              <w:rPr>
                <w:sz w:val="12"/>
                <w:szCs w:val="12"/>
                <w:color w:val="auto"/>
              </w:rPr>
            </w:pP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this time, the Company does not anticipate a</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spacing w:after="0"/>
              <w:rPr>
                <w:sz w:val="12"/>
                <w:szCs w:val="12"/>
                <w:color w:val="auto"/>
              </w:rPr>
            </w:pP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significant impact to its balance sheet upon</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spacing w:after="0"/>
              <w:rPr>
                <w:sz w:val="12"/>
                <w:szCs w:val="12"/>
                <w:color w:val="auto"/>
              </w:rPr>
            </w:pP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adoption of this standard. The Company, in part</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spacing w:after="0"/>
              <w:rPr>
                <w:sz w:val="12"/>
                <w:szCs w:val="12"/>
                <w:color w:val="auto"/>
              </w:rPr>
            </w:pP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due to the limited anticipated impact, plans to</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CCEEFF"/>
          </w:tcPr>
          <w:p>
            <w:pPr>
              <w:spacing w:after="0"/>
              <w:rPr>
                <w:sz w:val="12"/>
                <w:szCs w:val="12"/>
                <w:color w:val="auto"/>
              </w:rPr>
            </w:pPr>
          </w:p>
        </w:tc>
        <w:tc>
          <w:tcPr>
            <w:tcW w:w="4240" w:type="dxa"/>
            <w:vAlign w:val="bottom"/>
            <w:tcBorders>
              <w:right w:val="single" w:sz="8" w:color="CCCCCC"/>
            </w:tcBorders>
            <w:shd w:val="clear" w:color="auto" w:fill="CCEEFF"/>
          </w:tcPr>
          <w:p>
            <w:pPr>
              <w:spacing w:after="0"/>
              <w:rPr>
                <w:sz w:val="12"/>
                <w:szCs w:val="12"/>
                <w:color w:val="auto"/>
              </w:rPr>
            </w:pPr>
          </w:p>
        </w:tc>
        <w:tc>
          <w:tcPr>
            <w:tcW w:w="1480" w:type="dxa"/>
            <w:vAlign w:val="bottom"/>
            <w:tcBorders>
              <w:right w:val="single" w:sz="8" w:color="CCCCCC"/>
            </w:tcBorders>
            <w:shd w:val="clear" w:color="auto" w:fill="CCEEFF"/>
          </w:tcPr>
          <w:p>
            <w:pPr>
              <w:spacing w:after="0"/>
              <w:rPr>
                <w:sz w:val="12"/>
                <w:szCs w:val="12"/>
                <w:color w:val="auto"/>
              </w:rPr>
            </w:pPr>
          </w:p>
        </w:tc>
        <w:tc>
          <w:tcPr>
            <w:tcW w:w="3060" w:type="dxa"/>
            <w:vAlign w:val="bottom"/>
            <w:tcBorders>
              <w:right w:val="single" w:sz="8" w:color="CCCCCC"/>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utilize the prospective approach of adopting the</w:t>
            </w:r>
          </w:p>
        </w:tc>
        <w:tc>
          <w:tcPr>
            <w:tcW w:w="0" w:type="dxa"/>
            <w:vAlign w:val="bottom"/>
          </w:tcPr>
          <w:p>
            <w:pPr>
              <w:spacing w:after="0"/>
              <w:rPr>
                <w:sz w:val="1"/>
                <w:szCs w:val="1"/>
                <w:color w:val="auto"/>
              </w:rPr>
            </w:pPr>
          </w:p>
        </w:tc>
      </w:tr>
      <w:tr>
        <w:trPr>
          <w:trHeight w:val="182"/>
        </w:trPr>
        <w:tc>
          <w:tcPr>
            <w:tcW w:w="1800" w:type="dxa"/>
            <w:vAlign w:val="bottom"/>
            <w:tcBorders>
              <w:left w:val="single" w:sz="8" w:color="CCCCCC"/>
            </w:tcBorders>
            <w:shd w:val="clear" w:color="auto" w:fill="CCEEFF"/>
          </w:tcPr>
          <w:p>
            <w:pPr>
              <w:spacing w:after="0"/>
              <w:rPr>
                <w:sz w:val="15"/>
                <w:szCs w:val="15"/>
                <w:color w:val="auto"/>
              </w:rPr>
            </w:pPr>
          </w:p>
        </w:tc>
        <w:tc>
          <w:tcPr>
            <w:tcW w:w="4240" w:type="dxa"/>
            <w:vAlign w:val="bottom"/>
            <w:tcBorders>
              <w:right w:val="single" w:sz="8" w:color="CCCCCC"/>
            </w:tcBorders>
            <w:shd w:val="clear" w:color="auto" w:fill="CCEEFF"/>
          </w:tcPr>
          <w:p>
            <w:pPr>
              <w:spacing w:after="0"/>
              <w:rPr>
                <w:sz w:val="15"/>
                <w:szCs w:val="15"/>
                <w:color w:val="auto"/>
              </w:rPr>
            </w:pPr>
          </w:p>
        </w:tc>
        <w:tc>
          <w:tcPr>
            <w:tcW w:w="1480" w:type="dxa"/>
            <w:vAlign w:val="bottom"/>
            <w:tcBorders>
              <w:right w:val="single" w:sz="8" w:color="CCCCCC"/>
            </w:tcBorders>
            <w:shd w:val="clear" w:color="auto" w:fill="CCEEFF"/>
          </w:tcPr>
          <w:p>
            <w:pPr>
              <w:spacing w:after="0"/>
              <w:rPr>
                <w:sz w:val="15"/>
                <w:szCs w:val="15"/>
                <w:color w:val="auto"/>
              </w:rPr>
            </w:pPr>
          </w:p>
        </w:tc>
        <w:tc>
          <w:tcPr>
            <w:tcW w:w="3060" w:type="dxa"/>
            <w:vAlign w:val="bottom"/>
            <w:tcBorders>
              <w:right w:val="single" w:sz="8" w:color="CCCCCC"/>
            </w:tcBorders>
            <w:shd w:val="clear" w:color="auto" w:fill="CCEEFF"/>
          </w:tcPr>
          <w:p>
            <w:pPr>
              <w:ind w:left="20"/>
              <w:spacing w:after="0"/>
              <w:rPr>
                <w:sz w:val="20"/>
                <w:szCs w:val="20"/>
                <w:color w:val="auto"/>
              </w:rPr>
            </w:pPr>
            <w:r>
              <w:rPr>
                <w:rFonts w:ascii="Arial" w:cs="Arial" w:eastAsia="Arial" w:hAnsi="Arial"/>
                <w:sz w:val="14"/>
                <w:szCs w:val="14"/>
                <w:color w:val="auto"/>
              </w:rPr>
              <w:t>standard.</w:t>
            </w:r>
          </w:p>
        </w:tc>
        <w:tc>
          <w:tcPr>
            <w:tcW w:w="0" w:type="dxa"/>
            <w:vAlign w:val="bottom"/>
          </w:tcPr>
          <w:p>
            <w:pPr>
              <w:spacing w:after="0"/>
              <w:rPr>
                <w:sz w:val="1"/>
                <w:szCs w:val="1"/>
                <w:color w:val="auto"/>
              </w:rPr>
            </w:pPr>
          </w:p>
        </w:tc>
      </w:tr>
      <w:tr>
        <w:trPr>
          <w:trHeight w:val="309"/>
        </w:trPr>
        <w:tc>
          <w:tcPr>
            <w:tcW w:w="1800" w:type="dxa"/>
            <w:vAlign w:val="bottom"/>
            <w:tcBorders>
              <w:left w:val="single" w:sz="8" w:color="CCCCCC"/>
            </w:tcBorders>
            <w:shd w:val="clear" w:color="auto" w:fill="CCEEFF"/>
          </w:tcPr>
          <w:p>
            <w:pPr>
              <w:spacing w:after="0"/>
              <w:rPr>
                <w:sz w:val="24"/>
                <w:szCs w:val="24"/>
                <w:color w:val="auto"/>
              </w:rPr>
            </w:pPr>
          </w:p>
        </w:tc>
        <w:tc>
          <w:tcPr>
            <w:tcW w:w="4240" w:type="dxa"/>
            <w:vAlign w:val="bottom"/>
            <w:tcBorders>
              <w:bottom w:val="single" w:sz="8" w:color="CCCCCC"/>
              <w:right w:val="single" w:sz="8" w:color="CCCCCC"/>
            </w:tcBorders>
            <w:shd w:val="clear" w:color="auto" w:fill="CCEEFF"/>
          </w:tcPr>
          <w:p>
            <w:pPr>
              <w:spacing w:after="0"/>
              <w:rPr>
                <w:sz w:val="24"/>
                <w:szCs w:val="24"/>
                <w:color w:val="auto"/>
              </w:rPr>
            </w:pPr>
          </w:p>
        </w:tc>
        <w:tc>
          <w:tcPr>
            <w:tcW w:w="1480" w:type="dxa"/>
            <w:vAlign w:val="bottom"/>
            <w:tcBorders>
              <w:right w:val="single" w:sz="8" w:color="CCCCCC"/>
            </w:tcBorders>
            <w:shd w:val="clear" w:color="auto" w:fill="CCEEFF"/>
          </w:tcPr>
          <w:p>
            <w:pPr>
              <w:spacing w:after="0"/>
              <w:rPr>
                <w:sz w:val="24"/>
                <w:szCs w:val="24"/>
                <w:color w:val="auto"/>
              </w:rPr>
            </w:pPr>
          </w:p>
        </w:tc>
        <w:tc>
          <w:tcPr>
            <w:tcW w:w="3060" w:type="dxa"/>
            <w:vAlign w:val="bottom"/>
            <w:tcBorders>
              <w:bottom w:val="single" w:sz="8" w:color="CCCCCC"/>
              <w:right w:val="single" w:sz="8" w:color="CCCCCC"/>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75"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450" w:type="dxa"/>
        <w:tblCellMar>
          <w:top w:w="0" w:type="dxa"/>
          <w:left w:w="0" w:type="dxa"/>
          <w:bottom w:w="0" w:type="dxa"/>
          <w:right w:w="0" w:type="dxa"/>
        </w:tblCellMar>
      </w:tblPr>
      <w:tr>
        <w:trPr>
          <w:trHeight w:val="315"/>
        </w:trPr>
        <w:tc>
          <w:tcPr>
            <w:tcW w:w="1800" w:type="dxa"/>
            <w:vAlign w:val="bottom"/>
            <w:tcBorders>
              <w:top w:val="single" w:sz="8" w:color="CCCCCC"/>
              <w:left w:val="single" w:sz="8" w:color="CCCCCC"/>
            </w:tcBorders>
            <w:vMerge w:val="restart"/>
          </w:tcPr>
          <w:p>
            <w:pPr>
              <w:ind w:left="620"/>
              <w:spacing w:after="0"/>
              <w:rPr>
                <w:sz w:val="20"/>
                <w:szCs w:val="20"/>
                <w:color w:val="auto"/>
              </w:rPr>
            </w:pPr>
            <w:r>
              <w:rPr>
                <w:rFonts w:ascii="Arial" w:cs="Arial" w:eastAsia="Arial" w:hAnsi="Arial"/>
                <w:sz w:val="14"/>
                <w:szCs w:val="14"/>
                <w:b w:val="1"/>
                <w:bCs w:val="1"/>
                <w:color w:val="auto"/>
              </w:rPr>
              <w:t>Standard</w:t>
            </w:r>
          </w:p>
        </w:tc>
        <w:tc>
          <w:tcPr>
            <w:tcW w:w="4260" w:type="dxa"/>
            <w:vAlign w:val="bottom"/>
            <w:tcBorders>
              <w:top w:val="single" w:sz="8" w:color="CCCCCC"/>
              <w:right w:val="single" w:sz="8" w:color="CCCCCC"/>
            </w:tcBorders>
            <w:vMerge w:val="restart"/>
          </w:tcPr>
          <w:p>
            <w:pPr>
              <w:ind w:left="1740"/>
              <w:spacing w:after="0"/>
              <w:rPr>
                <w:sz w:val="20"/>
                <w:szCs w:val="20"/>
                <w:color w:val="auto"/>
              </w:rPr>
            </w:pPr>
            <w:r>
              <w:rPr>
                <w:rFonts w:ascii="Arial" w:cs="Arial" w:eastAsia="Arial" w:hAnsi="Arial"/>
                <w:sz w:val="14"/>
                <w:szCs w:val="14"/>
                <w:b w:val="1"/>
                <w:bCs w:val="1"/>
                <w:color w:val="auto"/>
              </w:rPr>
              <w:t>Description</w:t>
            </w:r>
          </w:p>
        </w:tc>
        <w:tc>
          <w:tcPr>
            <w:tcW w:w="1460" w:type="dxa"/>
            <w:vAlign w:val="bottom"/>
            <w:tcBorders>
              <w:top w:val="single" w:sz="8" w:color="CCCCCC"/>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3080" w:type="dxa"/>
            <w:vAlign w:val="bottom"/>
            <w:tcBorders>
              <w:top w:val="single" w:sz="8" w:color="CCCCCC"/>
              <w:right w:val="single" w:sz="8" w:color="CCCCCC"/>
            </w:tcBorders>
          </w:tcPr>
          <w:p>
            <w:pPr>
              <w:ind w:left="20"/>
              <w:spacing w:after="0"/>
              <w:rPr>
                <w:sz w:val="20"/>
                <w:szCs w:val="20"/>
                <w:color w:val="auto"/>
              </w:rPr>
            </w:pPr>
            <w:r>
              <w:rPr>
                <w:rFonts w:ascii="Arial" w:cs="Arial" w:eastAsia="Arial" w:hAnsi="Arial"/>
                <w:sz w:val="14"/>
                <w:szCs w:val="14"/>
                <w:b w:val="1"/>
                <w:bCs w:val="1"/>
                <w:color w:val="auto"/>
                <w:w w:val="93"/>
              </w:rPr>
              <w:t>Effect on the Condensed Consolidated Financial</w:t>
            </w:r>
          </w:p>
        </w:tc>
        <w:tc>
          <w:tcPr>
            <w:tcW w:w="0" w:type="dxa"/>
            <w:vAlign w:val="bottom"/>
          </w:tcPr>
          <w:p>
            <w:pPr>
              <w:spacing w:after="0"/>
              <w:rPr>
                <w:sz w:val="1"/>
                <w:szCs w:val="1"/>
                <w:color w:val="auto"/>
              </w:rPr>
            </w:pPr>
          </w:p>
        </w:tc>
      </w:tr>
      <w:tr>
        <w:trPr>
          <w:trHeight w:val="105"/>
        </w:trPr>
        <w:tc>
          <w:tcPr>
            <w:tcW w:w="1800" w:type="dxa"/>
            <w:vAlign w:val="bottom"/>
            <w:tcBorders>
              <w:left w:val="single" w:sz="8" w:color="CCCCCC"/>
            </w:tcBorders>
            <w:vMerge w:val="continue"/>
          </w:tcPr>
          <w:p>
            <w:pPr>
              <w:spacing w:after="0"/>
              <w:rPr>
                <w:sz w:val="9"/>
                <w:szCs w:val="9"/>
                <w:color w:val="auto"/>
              </w:rPr>
            </w:pPr>
          </w:p>
        </w:tc>
        <w:tc>
          <w:tcPr>
            <w:tcW w:w="4260" w:type="dxa"/>
            <w:vAlign w:val="bottom"/>
            <w:tcBorders>
              <w:right w:val="single" w:sz="8" w:color="CCCCCC"/>
            </w:tcBorders>
            <w:vMerge w:val="continue"/>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Company</w:t>
            </w:r>
          </w:p>
        </w:tc>
        <w:tc>
          <w:tcPr>
            <w:tcW w:w="3080" w:type="dxa"/>
            <w:vAlign w:val="bottom"/>
            <w:tcBorders>
              <w:right w:val="single" w:sz="8" w:color="CCCCCC"/>
            </w:tcBorders>
            <w:vMerge w:val="restart"/>
          </w:tcPr>
          <w:p>
            <w:pPr>
              <w:ind w:left="116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81"/>
        </w:trPr>
        <w:tc>
          <w:tcPr>
            <w:tcW w:w="1800" w:type="dxa"/>
            <w:vAlign w:val="bottom"/>
            <w:tcBorders>
              <w:left w:val="single" w:sz="8" w:color="CCCCCC"/>
            </w:tcBorders>
          </w:tcPr>
          <w:p>
            <w:pPr>
              <w:spacing w:after="0"/>
              <w:rPr>
                <w:sz w:val="7"/>
                <w:szCs w:val="7"/>
                <w:color w:val="auto"/>
              </w:rPr>
            </w:pPr>
          </w:p>
        </w:tc>
        <w:tc>
          <w:tcPr>
            <w:tcW w:w="4260" w:type="dxa"/>
            <w:vAlign w:val="bottom"/>
            <w:tcBorders>
              <w:right w:val="single" w:sz="8" w:color="CCCCCC"/>
            </w:tcBorders>
          </w:tcPr>
          <w:p>
            <w:pPr>
              <w:spacing w:after="0"/>
              <w:rPr>
                <w:sz w:val="7"/>
                <w:szCs w:val="7"/>
                <w:color w:val="auto"/>
              </w:rPr>
            </w:pPr>
          </w:p>
        </w:tc>
        <w:tc>
          <w:tcPr>
            <w:tcW w:w="1460" w:type="dxa"/>
            <w:vAlign w:val="bottom"/>
            <w:vMerge w:val="continue"/>
          </w:tcPr>
          <w:p>
            <w:pPr>
              <w:spacing w:after="0"/>
              <w:rPr>
                <w:sz w:val="7"/>
                <w:szCs w:val="7"/>
                <w:color w:val="auto"/>
              </w:rPr>
            </w:pPr>
          </w:p>
        </w:tc>
        <w:tc>
          <w:tcPr>
            <w:tcW w:w="3080" w:type="dxa"/>
            <w:vAlign w:val="bottom"/>
            <w:tcBorders>
              <w:right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060" w:type="dxa"/>
            <w:vAlign w:val="bottom"/>
            <w:tcBorders>
              <w:left w:val="single" w:sz="8" w:color="CCCCCC"/>
              <w:bottom w:val="single" w:sz="8" w:color="7F7F7F"/>
              <w:right w:val="single" w:sz="8" w:color="CCCCCC"/>
            </w:tcBorders>
            <w:gridSpan w:val="2"/>
          </w:tcPr>
          <w:p>
            <w:pPr>
              <w:spacing w:after="0"/>
              <w:rPr>
                <w:sz w:val="14"/>
                <w:szCs w:val="14"/>
                <w:color w:val="auto"/>
              </w:rPr>
            </w:pPr>
          </w:p>
        </w:tc>
        <w:tc>
          <w:tcPr>
            <w:tcW w:w="1460" w:type="dxa"/>
            <w:vAlign w:val="bottom"/>
            <w:tcBorders>
              <w:bottom w:val="single" w:sz="8" w:color="7F7F7F"/>
            </w:tcBorders>
          </w:tcPr>
          <w:p>
            <w:pPr>
              <w:spacing w:after="0"/>
              <w:rPr>
                <w:sz w:val="14"/>
                <w:szCs w:val="14"/>
                <w:color w:val="auto"/>
              </w:rPr>
            </w:pPr>
          </w:p>
        </w:tc>
        <w:tc>
          <w:tcPr>
            <w:tcW w:w="3080" w:type="dxa"/>
            <w:vAlign w:val="bottom"/>
            <w:tcBorders>
              <w:bottom w:val="single" w:sz="8" w:color="7F7F7F"/>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060" w:type="dxa"/>
            <w:vAlign w:val="bottom"/>
            <w:tcBorders>
              <w:left w:val="single" w:sz="8" w:color="CCCCCC"/>
            </w:tcBorders>
            <w:gridSpan w:val="2"/>
          </w:tcPr>
          <w:p>
            <w:pPr>
              <w:ind w:left="40"/>
              <w:spacing w:after="0"/>
              <w:rPr>
                <w:sz w:val="20"/>
                <w:szCs w:val="20"/>
                <w:color w:val="auto"/>
              </w:rPr>
            </w:pPr>
            <w:r>
              <w:rPr>
                <w:rFonts w:ascii="Arial" w:cs="Arial" w:eastAsia="Arial" w:hAnsi="Arial"/>
                <w:sz w:val="14"/>
                <w:szCs w:val="14"/>
                <w:b w:val="1"/>
                <w:bCs w:val="1"/>
                <w:color w:val="auto"/>
              </w:rPr>
              <w:t>Accounting Standards Adopted During the Nine Months Ended September 30, 2018</w:t>
            </w:r>
          </w:p>
        </w:tc>
        <w:tc>
          <w:tcPr>
            <w:tcW w:w="1460" w:type="dxa"/>
            <w:vAlign w:val="bottom"/>
          </w:tcPr>
          <w:p>
            <w:pPr>
              <w:spacing w:after="0"/>
              <w:rPr>
                <w:sz w:val="17"/>
                <w:szCs w:val="17"/>
                <w:color w:val="auto"/>
              </w:rPr>
            </w:pPr>
          </w:p>
        </w:tc>
        <w:tc>
          <w:tcPr>
            <w:tcW w:w="308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800" w:type="dxa"/>
            <w:vAlign w:val="bottom"/>
            <w:tcBorders>
              <w:left w:val="single" w:sz="8" w:color="CCCCCC"/>
            </w:tcBorders>
            <w:shd w:val="clear" w:color="auto" w:fill="BFE4FF"/>
          </w:tcPr>
          <w:p>
            <w:pPr>
              <w:ind w:left="40"/>
              <w:spacing w:after="0"/>
              <w:rPr>
                <w:sz w:val="20"/>
                <w:szCs w:val="20"/>
                <w:color w:val="auto"/>
              </w:rPr>
            </w:pPr>
            <w:r>
              <w:rPr>
                <w:rFonts w:ascii="Arial" w:cs="Arial" w:eastAsia="Arial" w:hAnsi="Arial"/>
                <w:sz w:val="14"/>
                <w:szCs w:val="14"/>
                <w:color w:val="auto"/>
                <w:w w:val="95"/>
              </w:rPr>
              <w:t>ASU 2017-09, Compensation</w:t>
            </w:r>
          </w:p>
        </w:tc>
        <w:tc>
          <w:tcPr>
            <w:tcW w:w="4260" w:type="dxa"/>
            <w:vAlign w:val="bottom"/>
            <w:tcBorders>
              <w:right w:val="single" w:sz="8" w:color="CCCCCC"/>
            </w:tcBorders>
            <w:shd w:val="clear" w:color="auto" w:fill="BFE4FF"/>
          </w:tcPr>
          <w:p>
            <w:pPr>
              <w:ind w:left="20"/>
              <w:spacing w:after="0"/>
              <w:rPr>
                <w:sz w:val="20"/>
                <w:szCs w:val="20"/>
                <w:color w:val="auto"/>
              </w:rPr>
            </w:pPr>
            <w:r>
              <w:rPr>
                <w:rFonts w:ascii="Arial" w:cs="Arial" w:eastAsia="Arial" w:hAnsi="Arial"/>
                <w:sz w:val="14"/>
                <w:szCs w:val="14"/>
                <w:color w:val="auto"/>
              </w:rPr>
              <w:t>This ASU clarifies when to account for a change to the terms or</w:t>
            </w:r>
          </w:p>
        </w:tc>
        <w:tc>
          <w:tcPr>
            <w:tcW w:w="1460" w:type="dxa"/>
            <w:vAlign w:val="bottom"/>
            <w:tcBorders>
              <w:right w:val="single" w:sz="8" w:color="CCCCCC"/>
            </w:tcBorders>
            <w:shd w:val="clear" w:color="auto" w:fill="BFE4FF"/>
          </w:tcPr>
          <w:p>
            <w:pPr>
              <w:jc w:val="center"/>
              <w:spacing w:after="0"/>
              <w:rPr>
                <w:sz w:val="20"/>
                <w:szCs w:val="20"/>
                <w:color w:val="auto"/>
              </w:rPr>
            </w:pPr>
            <w:r>
              <w:rPr>
                <w:rFonts w:ascii="Arial" w:cs="Arial" w:eastAsia="Arial" w:hAnsi="Arial"/>
                <w:sz w:val="14"/>
                <w:szCs w:val="14"/>
                <w:color w:val="auto"/>
                <w:w w:val="91"/>
              </w:rPr>
              <w:t>January 1, 2018</w:t>
            </w:r>
          </w:p>
        </w:tc>
        <w:tc>
          <w:tcPr>
            <w:tcW w:w="3080" w:type="dxa"/>
            <w:vAlign w:val="bottom"/>
            <w:tcBorders>
              <w:right w:val="single" w:sz="8" w:color="CCCCCC"/>
            </w:tcBorders>
            <w:shd w:val="clear" w:color="auto" w:fill="BFE4FF"/>
          </w:tcPr>
          <w:p>
            <w:pPr>
              <w:ind w:left="20"/>
              <w:spacing w:after="0"/>
              <w:rPr>
                <w:sz w:val="20"/>
                <w:szCs w:val="20"/>
                <w:color w:val="auto"/>
              </w:rPr>
            </w:pPr>
            <w:r>
              <w:rPr>
                <w:rFonts w:ascii="Arial" w:cs="Arial" w:eastAsia="Arial" w:hAnsi="Arial"/>
                <w:sz w:val="14"/>
                <w:szCs w:val="14"/>
                <w:color w:val="auto"/>
              </w:rPr>
              <w:t>The adoption of this standard did not have a</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BFE4FF"/>
          </w:tcPr>
          <w:p>
            <w:pPr>
              <w:ind w:left="40"/>
              <w:spacing w:after="0" w:line="149" w:lineRule="exact"/>
              <w:rPr>
                <w:sz w:val="20"/>
                <w:szCs w:val="20"/>
                <w:color w:val="auto"/>
              </w:rPr>
            </w:pPr>
            <w:r>
              <w:rPr>
                <w:rFonts w:ascii="Arial" w:cs="Arial" w:eastAsia="Arial" w:hAnsi="Arial"/>
                <w:sz w:val="14"/>
                <w:szCs w:val="14"/>
                <w:color w:val="auto"/>
              </w:rPr>
              <w:t>—Stock Compensation</w:t>
            </w:r>
          </w:p>
        </w:tc>
        <w:tc>
          <w:tcPr>
            <w:tcW w:w="4260" w:type="dxa"/>
            <w:vAlign w:val="bottom"/>
            <w:tcBorders>
              <w:right w:val="single" w:sz="8" w:color="CCCCCC"/>
            </w:tcBorders>
            <w:shd w:val="clear" w:color="auto" w:fill="BFE4FF"/>
          </w:tcPr>
          <w:p>
            <w:pPr>
              <w:ind w:left="20"/>
              <w:spacing w:after="0" w:line="149" w:lineRule="exact"/>
              <w:rPr>
                <w:sz w:val="20"/>
                <w:szCs w:val="20"/>
                <w:color w:val="auto"/>
              </w:rPr>
            </w:pPr>
            <w:r>
              <w:rPr>
                <w:rFonts w:ascii="Arial" w:cs="Arial" w:eastAsia="Arial" w:hAnsi="Arial"/>
                <w:sz w:val="14"/>
                <w:szCs w:val="14"/>
                <w:color w:val="auto"/>
                <w:w w:val="97"/>
              </w:rPr>
              <w:t>conditions of a share–based payment award as a modification. Under</w:t>
            </w:r>
          </w:p>
        </w:tc>
        <w:tc>
          <w:tcPr>
            <w:tcW w:w="1460" w:type="dxa"/>
            <w:vAlign w:val="bottom"/>
            <w:tcBorders>
              <w:right w:val="single" w:sz="8" w:color="CCCCCC"/>
            </w:tcBorders>
            <w:shd w:val="clear" w:color="auto" w:fill="BFE4FF"/>
          </w:tcPr>
          <w:p>
            <w:pPr>
              <w:spacing w:after="0"/>
              <w:rPr>
                <w:sz w:val="12"/>
                <w:szCs w:val="12"/>
                <w:color w:val="auto"/>
              </w:rPr>
            </w:pPr>
          </w:p>
        </w:tc>
        <w:tc>
          <w:tcPr>
            <w:tcW w:w="3080" w:type="dxa"/>
            <w:vAlign w:val="bottom"/>
            <w:tcBorders>
              <w:right w:val="single" w:sz="8" w:color="CCCCCC"/>
            </w:tcBorders>
            <w:shd w:val="clear" w:color="auto" w:fill="BFE4FF"/>
          </w:tcPr>
          <w:p>
            <w:pPr>
              <w:ind w:left="20"/>
              <w:spacing w:after="0" w:line="149" w:lineRule="exact"/>
              <w:rPr>
                <w:sz w:val="20"/>
                <w:szCs w:val="20"/>
                <w:color w:val="auto"/>
              </w:rPr>
            </w:pPr>
            <w:r>
              <w:rPr>
                <w:rFonts w:ascii="Arial" w:cs="Arial" w:eastAsia="Arial" w:hAnsi="Arial"/>
                <w:sz w:val="14"/>
                <w:szCs w:val="14"/>
                <w:color w:val="auto"/>
              </w:rPr>
              <w:t>material impact on the Company’s condensed</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BFE4FF"/>
          </w:tcPr>
          <w:p>
            <w:pPr>
              <w:ind w:left="40"/>
              <w:spacing w:after="0" w:line="149" w:lineRule="exact"/>
              <w:rPr>
                <w:sz w:val="20"/>
                <w:szCs w:val="20"/>
                <w:color w:val="auto"/>
              </w:rPr>
            </w:pPr>
            <w:r>
              <w:rPr>
                <w:rFonts w:ascii="Arial" w:cs="Arial" w:eastAsia="Arial" w:hAnsi="Arial"/>
                <w:sz w:val="14"/>
                <w:szCs w:val="14"/>
                <w:color w:val="auto"/>
              </w:rPr>
              <w:t>(Topic 718): Scope of</w:t>
            </w:r>
          </w:p>
        </w:tc>
        <w:tc>
          <w:tcPr>
            <w:tcW w:w="4260" w:type="dxa"/>
            <w:vAlign w:val="bottom"/>
            <w:tcBorders>
              <w:right w:val="single" w:sz="8" w:color="CCCCCC"/>
            </w:tcBorders>
            <w:shd w:val="clear" w:color="auto" w:fill="BFE4FF"/>
          </w:tcPr>
          <w:p>
            <w:pPr>
              <w:ind w:left="20"/>
              <w:spacing w:after="0" w:line="149" w:lineRule="exact"/>
              <w:rPr>
                <w:sz w:val="20"/>
                <w:szCs w:val="20"/>
                <w:color w:val="auto"/>
              </w:rPr>
            </w:pPr>
            <w:r>
              <w:rPr>
                <w:rFonts w:ascii="Arial" w:cs="Arial" w:eastAsia="Arial" w:hAnsi="Arial"/>
                <w:sz w:val="14"/>
                <w:szCs w:val="14"/>
                <w:color w:val="auto"/>
                <w:w w:val="99"/>
              </w:rPr>
              <w:t>the new guidance, modification accounting is required only if the fair</w:t>
            </w:r>
          </w:p>
        </w:tc>
        <w:tc>
          <w:tcPr>
            <w:tcW w:w="1460" w:type="dxa"/>
            <w:vAlign w:val="bottom"/>
            <w:tcBorders>
              <w:right w:val="single" w:sz="8" w:color="CCCCCC"/>
            </w:tcBorders>
            <w:shd w:val="clear" w:color="auto" w:fill="BFE4FF"/>
          </w:tcPr>
          <w:p>
            <w:pPr>
              <w:spacing w:after="0"/>
              <w:rPr>
                <w:sz w:val="12"/>
                <w:szCs w:val="12"/>
                <w:color w:val="auto"/>
              </w:rPr>
            </w:pPr>
          </w:p>
        </w:tc>
        <w:tc>
          <w:tcPr>
            <w:tcW w:w="3080" w:type="dxa"/>
            <w:vAlign w:val="bottom"/>
            <w:tcBorders>
              <w:right w:val="single" w:sz="8" w:color="CCCCCC"/>
            </w:tcBorders>
            <w:shd w:val="clear" w:color="auto" w:fill="BFE4FF"/>
          </w:tcPr>
          <w:p>
            <w:pPr>
              <w:ind w:left="20"/>
              <w:spacing w:after="0" w:line="149"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BFE4FF"/>
          </w:tcPr>
          <w:p>
            <w:pPr>
              <w:ind w:left="40"/>
              <w:spacing w:after="0" w:line="149" w:lineRule="exact"/>
              <w:rPr>
                <w:sz w:val="20"/>
                <w:szCs w:val="20"/>
                <w:color w:val="auto"/>
              </w:rPr>
            </w:pPr>
            <w:r>
              <w:rPr>
                <w:rFonts w:ascii="Arial" w:cs="Arial" w:eastAsia="Arial" w:hAnsi="Arial"/>
                <w:sz w:val="14"/>
                <w:szCs w:val="14"/>
                <w:color w:val="auto"/>
              </w:rPr>
              <w:t>Modification Accounting</w:t>
            </w:r>
          </w:p>
        </w:tc>
        <w:tc>
          <w:tcPr>
            <w:tcW w:w="4260" w:type="dxa"/>
            <w:vAlign w:val="bottom"/>
            <w:tcBorders>
              <w:right w:val="single" w:sz="8" w:color="CCCCCC"/>
            </w:tcBorders>
            <w:shd w:val="clear" w:color="auto" w:fill="BFE4FF"/>
          </w:tcPr>
          <w:p>
            <w:pPr>
              <w:ind w:left="20"/>
              <w:spacing w:after="0" w:line="149" w:lineRule="exact"/>
              <w:rPr>
                <w:sz w:val="20"/>
                <w:szCs w:val="20"/>
                <w:color w:val="auto"/>
              </w:rPr>
            </w:pPr>
            <w:r>
              <w:rPr>
                <w:rFonts w:ascii="Arial" w:cs="Arial" w:eastAsia="Arial" w:hAnsi="Arial"/>
                <w:sz w:val="14"/>
                <w:szCs w:val="14"/>
                <w:color w:val="auto"/>
              </w:rPr>
              <w:t>value, vesting conditions or classification of the award (as equity or</w:t>
            </w:r>
          </w:p>
        </w:tc>
        <w:tc>
          <w:tcPr>
            <w:tcW w:w="1460" w:type="dxa"/>
            <w:vAlign w:val="bottom"/>
            <w:tcBorders>
              <w:right w:val="single" w:sz="8" w:color="CCCCCC"/>
            </w:tcBorders>
            <w:shd w:val="clear" w:color="auto" w:fill="BFE4FF"/>
          </w:tcPr>
          <w:p>
            <w:pPr>
              <w:spacing w:after="0"/>
              <w:rPr>
                <w:sz w:val="12"/>
                <w:szCs w:val="12"/>
                <w:color w:val="auto"/>
              </w:rPr>
            </w:pPr>
          </w:p>
        </w:tc>
        <w:tc>
          <w:tcPr>
            <w:tcW w:w="3080" w:type="dxa"/>
            <w:vAlign w:val="bottom"/>
            <w:tcBorders>
              <w:right w:val="single" w:sz="8" w:color="CCCCCC"/>
            </w:tcBorders>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0" w:type="dxa"/>
            <w:vAlign w:val="bottom"/>
            <w:tcBorders>
              <w:left w:val="single" w:sz="8" w:color="CCCCCC"/>
            </w:tcBorders>
            <w:shd w:val="clear" w:color="auto" w:fill="BFE4FF"/>
          </w:tcPr>
          <w:p>
            <w:pPr>
              <w:spacing w:after="0"/>
              <w:rPr>
                <w:sz w:val="15"/>
                <w:szCs w:val="15"/>
                <w:color w:val="auto"/>
              </w:rPr>
            </w:pPr>
          </w:p>
        </w:tc>
        <w:tc>
          <w:tcPr>
            <w:tcW w:w="4260" w:type="dxa"/>
            <w:vAlign w:val="bottom"/>
            <w:tcBorders>
              <w:right w:val="single" w:sz="8" w:color="CCCCCC"/>
            </w:tcBorders>
            <w:shd w:val="clear" w:color="auto" w:fill="BFE4FF"/>
          </w:tcPr>
          <w:p>
            <w:pPr>
              <w:ind w:left="20"/>
              <w:spacing w:after="0"/>
              <w:rPr>
                <w:sz w:val="20"/>
                <w:szCs w:val="20"/>
                <w:color w:val="auto"/>
              </w:rPr>
            </w:pPr>
            <w:r>
              <w:rPr>
                <w:rFonts w:ascii="Arial" w:cs="Arial" w:eastAsia="Arial" w:hAnsi="Arial"/>
                <w:sz w:val="14"/>
                <w:szCs w:val="14"/>
                <w:color w:val="auto"/>
              </w:rPr>
              <w:t>liability) changes as a result of the change in terms or conditions.</w:t>
            </w:r>
          </w:p>
        </w:tc>
        <w:tc>
          <w:tcPr>
            <w:tcW w:w="1460" w:type="dxa"/>
            <w:vAlign w:val="bottom"/>
            <w:tcBorders>
              <w:right w:val="single" w:sz="8" w:color="CCCCCC"/>
            </w:tcBorders>
            <w:shd w:val="clear" w:color="auto" w:fill="BFE4FF"/>
          </w:tcPr>
          <w:p>
            <w:pPr>
              <w:spacing w:after="0"/>
              <w:rPr>
                <w:sz w:val="15"/>
                <w:szCs w:val="15"/>
                <w:color w:val="auto"/>
              </w:rPr>
            </w:pPr>
          </w:p>
        </w:tc>
        <w:tc>
          <w:tcPr>
            <w:tcW w:w="3080" w:type="dxa"/>
            <w:vAlign w:val="bottom"/>
            <w:tcBorders>
              <w:right w:val="single" w:sz="8" w:color="CCCCCC"/>
            </w:tcBorders>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CCCCCC"/>
            </w:tcBorders>
            <w:shd w:val="clear" w:color="auto" w:fill="BFE4FF"/>
          </w:tcPr>
          <w:p>
            <w:pPr>
              <w:spacing w:after="0"/>
              <w:rPr>
                <w:sz w:val="22"/>
                <w:szCs w:val="22"/>
                <w:color w:val="auto"/>
              </w:rPr>
            </w:pPr>
          </w:p>
        </w:tc>
        <w:tc>
          <w:tcPr>
            <w:tcW w:w="4260" w:type="dxa"/>
            <w:vAlign w:val="bottom"/>
            <w:tcBorders>
              <w:right w:val="single" w:sz="8" w:color="CCCCCC"/>
            </w:tcBorders>
            <w:shd w:val="clear" w:color="auto" w:fill="BFE4FF"/>
          </w:tcPr>
          <w:p>
            <w:pPr>
              <w:ind w:left="20"/>
              <w:spacing w:after="0"/>
              <w:rPr>
                <w:sz w:val="20"/>
                <w:szCs w:val="20"/>
                <w:color w:val="auto"/>
              </w:rPr>
            </w:pPr>
            <w:r>
              <w:rPr>
                <w:rFonts w:ascii="Arial" w:cs="Arial" w:eastAsia="Arial" w:hAnsi="Arial"/>
                <w:sz w:val="14"/>
                <w:szCs w:val="14"/>
                <w:color w:val="auto"/>
                <w:w w:val="97"/>
              </w:rPr>
              <w:t>The new guidance will be applied prospectively to awards modified on</w:t>
            </w:r>
          </w:p>
        </w:tc>
        <w:tc>
          <w:tcPr>
            <w:tcW w:w="1460" w:type="dxa"/>
            <w:vAlign w:val="bottom"/>
            <w:tcBorders>
              <w:right w:val="single" w:sz="8" w:color="CCCCCC"/>
            </w:tcBorders>
            <w:shd w:val="clear" w:color="auto" w:fill="BFE4FF"/>
          </w:tcPr>
          <w:p>
            <w:pPr>
              <w:spacing w:after="0"/>
              <w:rPr>
                <w:sz w:val="22"/>
                <w:szCs w:val="22"/>
                <w:color w:val="auto"/>
              </w:rPr>
            </w:pPr>
          </w:p>
        </w:tc>
        <w:tc>
          <w:tcPr>
            <w:tcW w:w="3080" w:type="dxa"/>
            <w:vAlign w:val="bottom"/>
            <w:tcBorders>
              <w:right w:val="single" w:sz="8" w:color="CCCCCC"/>
            </w:tcBorders>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BFE4FF"/>
          </w:tcPr>
          <w:p>
            <w:pPr>
              <w:spacing w:after="0"/>
              <w:rPr>
                <w:sz w:val="12"/>
                <w:szCs w:val="12"/>
                <w:color w:val="auto"/>
              </w:rPr>
            </w:pPr>
          </w:p>
        </w:tc>
        <w:tc>
          <w:tcPr>
            <w:tcW w:w="4260" w:type="dxa"/>
            <w:vAlign w:val="bottom"/>
            <w:tcBorders>
              <w:right w:val="single" w:sz="8" w:color="CCCCCC"/>
            </w:tcBorders>
            <w:shd w:val="clear" w:color="auto" w:fill="BFE4FF"/>
          </w:tcPr>
          <w:p>
            <w:pPr>
              <w:ind w:left="20"/>
              <w:spacing w:after="0" w:line="149" w:lineRule="exact"/>
              <w:rPr>
                <w:sz w:val="20"/>
                <w:szCs w:val="20"/>
                <w:color w:val="auto"/>
              </w:rPr>
            </w:pPr>
            <w:r>
              <w:rPr>
                <w:rFonts w:ascii="Arial" w:cs="Arial" w:eastAsia="Arial" w:hAnsi="Arial"/>
                <w:sz w:val="14"/>
                <w:szCs w:val="14"/>
                <w:color w:val="auto"/>
                <w:w w:val="95"/>
              </w:rPr>
              <w:t>or after the adoption date. The guidance is effective for annual periods,</w:t>
            </w:r>
          </w:p>
        </w:tc>
        <w:tc>
          <w:tcPr>
            <w:tcW w:w="1460" w:type="dxa"/>
            <w:vAlign w:val="bottom"/>
            <w:tcBorders>
              <w:right w:val="single" w:sz="8" w:color="CCCCCC"/>
            </w:tcBorders>
            <w:shd w:val="clear" w:color="auto" w:fill="BFE4FF"/>
          </w:tcPr>
          <w:p>
            <w:pPr>
              <w:spacing w:after="0"/>
              <w:rPr>
                <w:sz w:val="12"/>
                <w:szCs w:val="12"/>
                <w:color w:val="auto"/>
              </w:rPr>
            </w:pPr>
          </w:p>
        </w:tc>
        <w:tc>
          <w:tcPr>
            <w:tcW w:w="3080" w:type="dxa"/>
            <w:vAlign w:val="bottom"/>
            <w:tcBorders>
              <w:right w:val="single" w:sz="8" w:color="CCCCCC"/>
            </w:tcBorders>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shd w:val="clear" w:color="auto" w:fill="BFE4FF"/>
          </w:tcPr>
          <w:p>
            <w:pPr>
              <w:spacing w:after="0"/>
              <w:rPr>
                <w:sz w:val="12"/>
                <w:szCs w:val="12"/>
                <w:color w:val="auto"/>
              </w:rPr>
            </w:pPr>
          </w:p>
        </w:tc>
        <w:tc>
          <w:tcPr>
            <w:tcW w:w="4260" w:type="dxa"/>
            <w:vAlign w:val="bottom"/>
            <w:tcBorders>
              <w:right w:val="single" w:sz="8" w:color="CCCCCC"/>
            </w:tcBorders>
            <w:shd w:val="clear" w:color="auto" w:fill="BFE4FF"/>
          </w:tcPr>
          <w:p>
            <w:pPr>
              <w:ind w:left="20"/>
              <w:spacing w:after="0" w:line="149" w:lineRule="exact"/>
              <w:rPr>
                <w:sz w:val="20"/>
                <w:szCs w:val="20"/>
                <w:color w:val="auto"/>
              </w:rPr>
            </w:pPr>
            <w:r>
              <w:rPr>
                <w:rFonts w:ascii="Arial" w:cs="Arial" w:eastAsia="Arial" w:hAnsi="Arial"/>
                <w:sz w:val="14"/>
                <w:szCs w:val="14"/>
                <w:color w:val="auto"/>
              </w:rPr>
              <w:t>and interim periods within those annual periods, beginning after</w:t>
            </w:r>
          </w:p>
        </w:tc>
        <w:tc>
          <w:tcPr>
            <w:tcW w:w="1460" w:type="dxa"/>
            <w:vAlign w:val="bottom"/>
            <w:tcBorders>
              <w:right w:val="single" w:sz="8" w:color="CCCCCC"/>
            </w:tcBorders>
            <w:shd w:val="clear" w:color="auto" w:fill="BFE4FF"/>
          </w:tcPr>
          <w:p>
            <w:pPr>
              <w:spacing w:after="0"/>
              <w:rPr>
                <w:sz w:val="12"/>
                <w:szCs w:val="12"/>
                <w:color w:val="auto"/>
              </w:rPr>
            </w:pPr>
          </w:p>
        </w:tc>
        <w:tc>
          <w:tcPr>
            <w:tcW w:w="3080" w:type="dxa"/>
            <w:vAlign w:val="bottom"/>
            <w:tcBorders>
              <w:right w:val="single" w:sz="8" w:color="CCCCCC"/>
            </w:tcBorders>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00" w:type="dxa"/>
            <w:vAlign w:val="bottom"/>
            <w:tcBorders>
              <w:left w:val="single" w:sz="8" w:color="CCCCCC"/>
              <w:bottom w:val="single" w:sz="8" w:color="CCCCCC"/>
            </w:tcBorders>
            <w:shd w:val="clear" w:color="auto" w:fill="BFE4FF"/>
          </w:tcPr>
          <w:p>
            <w:pPr>
              <w:spacing w:after="0"/>
              <w:rPr>
                <w:sz w:val="16"/>
                <w:szCs w:val="16"/>
                <w:color w:val="auto"/>
              </w:rPr>
            </w:pPr>
          </w:p>
        </w:tc>
        <w:tc>
          <w:tcPr>
            <w:tcW w:w="4260" w:type="dxa"/>
            <w:vAlign w:val="bottom"/>
            <w:tcBorders>
              <w:bottom w:val="single" w:sz="8" w:color="CCCCCC"/>
              <w:right w:val="single" w:sz="8" w:color="CCCCCC"/>
            </w:tcBorders>
            <w:shd w:val="clear" w:color="auto" w:fill="BFE4FF"/>
          </w:tcPr>
          <w:p>
            <w:pPr>
              <w:ind w:left="20"/>
              <w:spacing w:after="0"/>
              <w:rPr>
                <w:sz w:val="20"/>
                <w:szCs w:val="20"/>
                <w:color w:val="auto"/>
              </w:rPr>
            </w:pPr>
            <w:r>
              <w:rPr>
                <w:rFonts w:ascii="Arial" w:cs="Arial" w:eastAsia="Arial" w:hAnsi="Arial"/>
                <w:sz w:val="14"/>
                <w:szCs w:val="14"/>
                <w:color w:val="auto"/>
              </w:rPr>
              <w:t>December 15, 2017 for all entities.</w:t>
            </w:r>
          </w:p>
        </w:tc>
        <w:tc>
          <w:tcPr>
            <w:tcW w:w="1460" w:type="dxa"/>
            <w:vAlign w:val="bottom"/>
            <w:tcBorders>
              <w:bottom w:val="single" w:sz="8" w:color="CCCCCC"/>
              <w:right w:val="single" w:sz="8" w:color="CCCCCC"/>
            </w:tcBorders>
            <w:shd w:val="clear" w:color="auto" w:fill="BFE4FF"/>
          </w:tcPr>
          <w:p>
            <w:pPr>
              <w:spacing w:after="0"/>
              <w:rPr>
                <w:sz w:val="16"/>
                <w:szCs w:val="16"/>
                <w:color w:val="auto"/>
              </w:rPr>
            </w:pPr>
          </w:p>
        </w:tc>
        <w:tc>
          <w:tcPr>
            <w:tcW w:w="3080" w:type="dxa"/>
            <w:vAlign w:val="bottom"/>
            <w:tcBorders>
              <w:bottom w:val="single" w:sz="8" w:color="CCCCCC"/>
              <w:right w:val="single" w:sz="8" w:color="CCCCCC"/>
            </w:tcBorders>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800" w:type="dxa"/>
            <w:vAlign w:val="bottom"/>
            <w:tcBorders>
              <w:left w:val="single" w:sz="8" w:color="CCCCCC"/>
            </w:tcBorders>
          </w:tcPr>
          <w:p>
            <w:pPr>
              <w:ind w:left="40"/>
              <w:spacing w:after="0" w:line="157" w:lineRule="exact"/>
              <w:rPr>
                <w:sz w:val="20"/>
                <w:szCs w:val="20"/>
                <w:color w:val="auto"/>
              </w:rPr>
            </w:pPr>
            <w:r>
              <w:rPr>
                <w:rFonts w:ascii="Arial" w:cs="Arial" w:eastAsia="Arial" w:hAnsi="Arial"/>
                <w:sz w:val="14"/>
                <w:szCs w:val="14"/>
                <w:color w:val="auto"/>
                <w:w w:val="96"/>
              </w:rPr>
              <w:t>ASU 2014-09, Revenue from</w:t>
            </w:r>
          </w:p>
        </w:tc>
        <w:tc>
          <w:tcPr>
            <w:tcW w:w="4260" w:type="dxa"/>
            <w:vAlign w:val="bottom"/>
            <w:tcBorders>
              <w:right w:val="single" w:sz="8" w:color="CCCCCC"/>
            </w:tcBorders>
          </w:tcPr>
          <w:p>
            <w:pPr>
              <w:ind w:left="20"/>
              <w:spacing w:after="0" w:line="157" w:lineRule="exact"/>
              <w:rPr>
                <w:sz w:val="20"/>
                <w:szCs w:val="20"/>
                <w:color w:val="auto"/>
              </w:rPr>
            </w:pPr>
            <w:r>
              <w:rPr>
                <w:rFonts w:ascii="Arial" w:cs="Arial" w:eastAsia="Arial" w:hAnsi="Arial"/>
                <w:sz w:val="14"/>
                <w:szCs w:val="14"/>
                <w:color w:val="auto"/>
                <w:w w:val="97"/>
              </w:rPr>
              <w:t>This ASU and related amendments affect any entity that either enters</w:t>
            </w:r>
          </w:p>
        </w:tc>
        <w:tc>
          <w:tcPr>
            <w:tcW w:w="1460" w:type="dxa"/>
            <w:vAlign w:val="bottom"/>
            <w:tcBorders>
              <w:right w:val="single" w:sz="8" w:color="CCCCCC"/>
            </w:tcBorders>
          </w:tcPr>
          <w:p>
            <w:pPr>
              <w:jc w:val="center"/>
              <w:spacing w:after="0" w:line="157" w:lineRule="exact"/>
              <w:rPr>
                <w:sz w:val="20"/>
                <w:szCs w:val="20"/>
                <w:color w:val="auto"/>
              </w:rPr>
            </w:pPr>
            <w:r>
              <w:rPr>
                <w:rFonts w:ascii="Arial" w:cs="Arial" w:eastAsia="Arial" w:hAnsi="Arial"/>
                <w:sz w:val="14"/>
                <w:szCs w:val="14"/>
                <w:color w:val="auto"/>
                <w:w w:val="91"/>
              </w:rPr>
              <w:t>January 1, 2018</w:t>
            </w:r>
          </w:p>
        </w:tc>
        <w:tc>
          <w:tcPr>
            <w:tcW w:w="3080" w:type="dxa"/>
            <w:vAlign w:val="bottom"/>
            <w:tcBorders>
              <w:right w:val="single" w:sz="8" w:color="CCCCCC"/>
            </w:tcBorders>
          </w:tcPr>
          <w:p>
            <w:pPr>
              <w:ind w:left="20"/>
              <w:spacing w:after="0" w:line="157" w:lineRule="exact"/>
              <w:rPr>
                <w:sz w:val="20"/>
                <w:szCs w:val="20"/>
                <w:color w:val="auto"/>
              </w:rPr>
            </w:pPr>
            <w:r>
              <w:rPr>
                <w:rFonts w:ascii="Arial" w:cs="Arial" w:eastAsia="Arial" w:hAnsi="Arial"/>
                <w:sz w:val="14"/>
                <w:szCs w:val="14"/>
                <w:color w:val="auto"/>
              </w:rPr>
              <w:t>See Note 3, "Revenue from Contracts with</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tcPr>
          <w:p>
            <w:pPr>
              <w:ind w:left="40"/>
              <w:spacing w:after="0" w:line="149" w:lineRule="exact"/>
              <w:rPr>
                <w:sz w:val="20"/>
                <w:szCs w:val="20"/>
                <w:color w:val="auto"/>
              </w:rPr>
            </w:pPr>
            <w:r>
              <w:rPr>
                <w:rFonts w:ascii="Arial" w:cs="Arial" w:eastAsia="Arial" w:hAnsi="Arial"/>
                <w:sz w:val="14"/>
                <w:szCs w:val="14"/>
                <w:color w:val="auto"/>
              </w:rPr>
              <w:t>Contracts with Customers</w:t>
            </w:r>
          </w:p>
        </w:tc>
        <w:tc>
          <w:tcPr>
            <w:tcW w:w="426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w w:val="94"/>
              </w:rPr>
              <w:t>into contracts with customers to transfer goods or services or enters into</w:t>
            </w:r>
          </w:p>
        </w:tc>
        <w:tc>
          <w:tcPr>
            <w:tcW w:w="146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w w:val="98"/>
              </w:rPr>
              <w:t>Customers" for the required disclosures related to</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tcPr>
          <w:p>
            <w:pPr>
              <w:ind w:left="40"/>
              <w:spacing w:after="0" w:line="149" w:lineRule="exact"/>
              <w:rPr>
                <w:sz w:val="20"/>
                <w:szCs w:val="20"/>
                <w:color w:val="auto"/>
              </w:rPr>
            </w:pPr>
            <w:r>
              <w:rPr>
                <w:rFonts w:ascii="Arial" w:cs="Arial" w:eastAsia="Arial" w:hAnsi="Arial"/>
                <w:sz w:val="14"/>
                <w:szCs w:val="14"/>
                <w:color w:val="auto"/>
              </w:rPr>
              <w:t>(Topic 606) and related</w:t>
            </w:r>
          </w:p>
        </w:tc>
        <w:tc>
          <w:tcPr>
            <w:tcW w:w="426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w w:val="96"/>
              </w:rPr>
              <w:t>contracts for the transfer of nonfinancial assets, unless those contracts</w:t>
            </w:r>
          </w:p>
        </w:tc>
        <w:tc>
          <w:tcPr>
            <w:tcW w:w="146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rPr>
              <w:t>the impact of adopting this standard.</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tcPr>
          <w:p>
            <w:pPr>
              <w:ind w:left="40"/>
              <w:spacing w:after="0" w:line="149" w:lineRule="exact"/>
              <w:rPr>
                <w:sz w:val="20"/>
                <w:szCs w:val="20"/>
                <w:color w:val="auto"/>
              </w:rPr>
            </w:pPr>
            <w:r>
              <w:rPr>
                <w:rFonts w:ascii="Arial" w:cs="Arial" w:eastAsia="Arial" w:hAnsi="Arial"/>
                <w:sz w:val="14"/>
                <w:szCs w:val="14"/>
                <w:color w:val="auto"/>
              </w:rPr>
              <w:t>amendments</w:t>
            </w:r>
          </w:p>
        </w:tc>
        <w:tc>
          <w:tcPr>
            <w:tcW w:w="426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rPr>
              <w:t>are within the scope of other standards. The guidance in this ASU</w:t>
            </w:r>
          </w:p>
        </w:tc>
        <w:tc>
          <w:tcPr>
            <w:tcW w:w="146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tcPr>
          <w:p>
            <w:pPr>
              <w:spacing w:after="0"/>
              <w:rPr>
                <w:sz w:val="12"/>
                <w:szCs w:val="12"/>
                <w:color w:val="auto"/>
              </w:rPr>
            </w:pPr>
          </w:p>
        </w:tc>
        <w:tc>
          <w:tcPr>
            <w:tcW w:w="426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w w:val="92"/>
              </w:rPr>
              <w:t>supersedes the revenue recognition requirements in Topic 605, Revenue</w:t>
            </w:r>
          </w:p>
        </w:tc>
        <w:tc>
          <w:tcPr>
            <w:tcW w:w="146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rPr>
              <w:t>The adoption of this standard did not have a</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tcPr>
          <w:p>
            <w:pPr>
              <w:spacing w:after="0"/>
              <w:rPr>
                <w:sz w:val="12"/>
                <w:szCs w:val="12"/>
                <w:color w:val="auto"/>
              </w:rPr>
            </w:pPr>
          </w:p>
        </w:tc>
        <w:tc>
          <w:tcPr>
            <w:tcW w:w="426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w w:val="96"/>
              </w:rPr>
              <w:t>Recognition and most industry-specific guidance. The core principle of</w:t>
            </w:r>
          </w:p>
        </w:tc>
        <w:tc>
          <w:tcPr>
            <w:tcW w:w="146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rPr>
              <w:t>material impact on the Company’s condensed</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tcPr>
          <w:p>
            <w:pPr>
              <w:spacing w:after="0"/>
              <w:rPr>
                <w:sz w:val="12"/>
                <w:szCs w:val="12"/>
                <w:color w:val="auto"/>
              </w:rPr>
            </w:pPr>
          </w:p>
        </w:tc>
        <w:tc>
          <w:tcPr>
            <w:tcW w:w="426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w w:val="92"/>
              </w:rPr>
              <w:t>the guidance is that an entity should recognize revenue upon the transfer</w:t>
            </w:r>
          </w:p>
        </w:tc>
        <w:tc>
          <w:tcPr>
            <w:tcW w:w="146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rPr>
              <w:t>consolidated balance sheets and statements of</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tcPr>
          <w:p>
            <w:pPr>
              <w:spacing w:after="0"/>
              <w:rPr>
                <w:sz w:val="12"/>
                <w:szCs w:val="12"/>
                <w:color w:val="auto"/>
              </w:rPr>
            </w:pPr>
          </w:p>
        </w:tc>
        <w:tc>
          <w:tcPr>
            <w:tcW w:w="426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w w:val="97"/>
              </w:rPr>
              <w:t>of promised goods or services to customers in an amount that reflects</w:t>
            </w:r>
          </w:p>
        </w:tc>
        <w:tc>
          <w:tcPr>
            <w:tcW w:w="146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rPr>
              <w:t>operations.</w:t>
            </w:r>
          </w:p>
        </w:tc>
        <w:tc>
          <w:tcPr>
            <w:tcW w:w="0" w:type="dxa"/>
            <w:vAlign w:val="bottom"/>
          </w:tcPr>
          <w:p>
            <w:pPr>
              <w:spacing w:after="0"/>
              <w:rPr>
                <w:sz w:val="1"/>
                <w:szCs w:val="1"/>
                <w:color w:val="auto"/>
              </w:rPr>
            </w:pPr>
          </w:p>
        </w:tc>
      </w:tr>
      <w:tr>
        <w:trPr>
          <w:trHeight w:val="149"/>
        </w:trPr>
        <w:tc>
          <w:tcPr>
            <w:tcW w:w="1800" w:type="dxa"/>
            <w:vAlign w:val="bottom"/>
            <w:tcBorders>
              <w:left w:val="single" w:sz="8" w:color="CCCCCC"/>
            </w:tcBorders>
          </w:tcPr>
          <w:p>
            <w:pPr>
              <w:spacing w:after="0"/>
              <w:rPr>
                <w:sz w:val="12"/>
                <w:szCs w:val="12"/>
                <w:color w:val="auto"/>
              </w:rPr>
            </w:pPr>
          </w:p>
        </w:tc>
        <w:tc>
          <w:tcPr>
            <w:tcW w:w="4260" w:type="dxa"/>
            <w:vAlign w:val="bottom"/>
            <w:tcBorders>
              <w:right w:val="single" w:sz="8" w:color="CCCCCC"/>
            </w:tcBorders>
          </w:tcPr>
          <w:p>
            <w:pPr>
              <w:ind w:left="20"/>
              <w:spacing w:after="0" w:line="149" w:lineRule="exact"/>
              <w:rPr>
                <w:sz w:val="20"/>
                <w:szCs w:val="20"/>
                <w:color w:val="auto"/>
              </w:rPr>
            </w:pPr>
            <w:r>
              <w:rPr>
                <w:rFonts w:ascii="Arial" w:cs="Arial" w:eastAsia="Arial" w:hAnsi="Arial"/>
                <w:sz w:val="14"/>
                <w:szCs w:val="14"/>
                <w:color w:val="auto"/>
                <w:w w:val="95"/>
              </w:rPr>
              <w:t>the consideration to which the entity expects to be entitled in exchange</w:t>
            </w:r>
          </w:p>
        </w:tc>
        <w:tc>
          <w:tcPr>
            <w:tcW w:w="1460" w:type="dxa"/>
            <w:vAlign w:val="bottom"/>
            <w:tcBorders>
              <w:right w:val="single" w:sz="8" w:color="CCCCCC"/>
            </w:tcBorders>
          </w:tcPr>
          <w:p>
            <w:pPr>
              <w:spacing w:after="0"/>
              <w:rPr>
                <w:sz w:val="12"/>
                <w:szCs w:val="12"/>
                <w:color w:val="auto"/>
              </w:rPr>
            </w:pPr>
          </w:p>
        </w:tc>
        <w:tc>
          <w:tcPr>
            <w:tcW w:w="308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00" w:type="dxa"/>
            <w:vAlign w:val="bottom"/>
            <w:tcBorders>
              <w:left w:val="single" w:sz="8" w:color="CCCCCC"/>
            </w:tcBorders>
          </w:tcPr>
          <w:p>
            <w:pPr>
              <w:spacing w:after="0"/>
              <w:rPr>
                <w:sz w:val="16"/>
                <w:szCs w:val="16"/>
                <w:color w:val="auto"/>
              </w:rPr>
            </w:pPr>
          </w:p>
        </w:tc>
        <w:tc>
          <w:tcPr>
            <w:tcW w:w="426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4"/>
                <w:szCs w:val="14"/>
                <w:color w:val="auto"/>
              </w:rPr>
              <w:t>for those goods or services.</w:t>
            </w:r>
          </w:p>
        </w:tc>
        <w:tc>
          <w:tcPr>
            <w:tcW w:w="1460" w:type="dxa"/>
            <w:vAlign w:val="bottom"/>
            <w:tcBorders>
              <w:right w:val="single" w:sz="8" w:color="CCCCCC"/>
            </w:tcBorders>
          </w:tcPr>
          <w:p>
            <w:pPr>
              <w:spacing w:after="0"/>
              <w:rPr>
                <w:sz w:val="16"/>
                <w:szCs w:val="16"/>
                <w:color w:val="auto"/>
              </w:rPr>
            </w:pPr>
          </w:p>
        </w:tc>
        <w:tc>
          <w:tcPr>
            <w:tcW w:w="3080" w:type="dxa"/>
            <w:vAlign w:val="bottom"/>
            <w:tcBorders>
              <w:bottom w:val="single" w:sz="8" w:color="CCCCCC"/>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 “Revenue from Contracts with Customers”</w:t>
      </w:r>
    </w:p>
    <w:p>
      <w:pPr>
        <w:spacing w:after="0" w:line="11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The Company adopted ASC 606 on January 1, 2018 using the modified retrospective method for all contracts not completed as of the date of adoption. The reported results for 2018 reflect the application of ASC 606 guidance while the reported results for 2017 were prepared under the guidance of ASC 605, Revenue Recognition (“ASC 605”). For the Company’s accounting policy for revenue recognition under ASC 605, refer to Item 8 of the Annual Report on Form 10-K for the year ended December 31, 2017. The adoption of ASC 606 did not have a material impact on the Company’s consolidated balance sheet, results of operations, equity or cash flows as of the adoption date or for the periods presented.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accordance with ASC 606, revenue is recognized when a customer obtains control of promised goods or services. The amount of revenue recognized reflects the consideration to which the Company expects to be entitled to receive in exchange for these goods or services. To achieve this core principle, the Company applies the following five steps: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revenue by revenue source and reportable segment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0"/>
              </w:rPr>
              <w:t>Three Months Ended September 30, 2018</w:t>
            </w:r>
          </w:p>
        </w:tc>
        <w:tc>
          <w:tcPr>
            <w:tcW w:w="320" w:type="dxa"/>
            <w:vAlign w:val="bottom"/>
          </w:tcPr>
          <w:p>
            <w:pPr>
              <w:spacing w:after="0"/>
              <w:rPr>
                <w:sz w:val="20"/>
                <w:szCs w:val="20"/>
                <w:color w:val="auto"/>
              </w:rPr>
            </w:pPr>
          </w:p>
        </w:tc>
        <w:tc>
          <w:tcPr>
            <w:tcW w:w="4000" w:type="dxa"/>
            <w:vAlign w:val="bottom"/>
            <w:gridSpan w:val="7"/>
          </w:tcPr>
          <w:p>
            <w:pPr>
              <w:jc w:val="center"/>
              <w:ind w:right="210"/>
              <w:spacing w:after="0"/>
              <w:rPr>
                <w:sz w:val="20"/>
                <w:szCs w:val="20"/>
                <w:color w:val="auto"/>
              </w:rPr>
            </w:pPr>
            <w:r>
              <w:rPr>
                <w:rFonts w:ascii="Arial" w:cs="Arial" w:eastAsia="Arial" w:hAnsi="Arial"/>
                <w:sz w:val="18"/>
                <w:szCs w:val="18"/>
                <w:b w:val="1"/>
                <w:bCs w:val="1"/>
                <w:color w:val="auto"/>
                <w:w w:val="90"/>
              </w:rPr>
              <w:t>Nine Months Ended September 30, 2018</w:t>
            </w:r>
          </w:p>
        </w:tc>
      </w:tr>
      <w:tr>
        <w:trPr>
          <w:trHeight w:val="27"/>
        </w:trPr>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Major Products/Service Lines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International</w:t>
            </w:r>
          </w:p>
        </w:tc>
        <w:tc>
          <w:tcPr>
            <w:tcW w:w="30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International</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262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Product revenue, net</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70,255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18,069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88,324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215,829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39,567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255,396</w:t>
            </w:r>
          </w:p>
        </w:tc>
      </w:tr>
      <w:tr>
        <w:trPr>
          <w:trHeight w:val="243"/>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License and royalty revenues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1,707</w:t>
            </w: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18,645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215,829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257,103</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ind w:left="660"/>
        <w:spacing w:after="0"/>
        <w:rPr>
          <w:sz w:val="20"/>
          <w:szCs w:val="20"/>
          <w:color w:val="auto"/>
        </w:rPr>
      </w:pPr>
      <w:r>
        <w:rPr>
          <w:rFonts w:ascii="Arial" w:cs="Arial" w:eastAsia="Arial" w:hAnsi="Arial"/>
          <w:sz w:val="18"/>
          <w:szCs w:val="18"/>
          <w:color w:val="auto"/>
        </w:rPr>
        <w:t>________________________________</w:t>
      </w:r>
    </w:p>
    <w:p>
      <w:pPr>
        <w:spacing w:after="0" w:line="2" w:lineRule="exact"/>
        <w:rPr>
          <w:sz w:val="20"/>
          <w:szCs w:val="20"/>
          <w:color w:val="auto"/>
        </w:rPr>
      </w:pPr>
    </w:p>
    <w:p>
      <w:pPr>
        <w:ind w:right="1900" w:firstLine="8"/>
        <w:spacing w:after="0" w:line="255" w:lineRule="auto"/>
        <w:tabs>
          <w:tab w:leader="none" w:pos="648"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Company’s principal products include DEFINITY, TechneLite and Xenon and are categorized within product revenue, net. The Company applies the same revenue recognition policies and judgments for all of its principal products.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17" w:lineRule="exact"/>
        <w:rPr>
          <w:sz w:val="20"/>
          <w:szCs w:val="20"/>
          <w:color w:val="auto"/>
        </w:rPr>
      </w:pPr>
    </w:p>
    <w:p>
      <w:pPr>
        <w:ind w:right="420" w:firstLine="405"/>
        <w:spacing w:after="0" w:line="342" w:lineRule="auto"/>
        <w:rPr>
          <w:sz w:val="20"/>
          <w:szCs w:val="20"/>
          <w:color w:val="auto"/>
        </w:rPr>
      </w:pPr>
      <w:r>
        <w:rPr>
          <w:rFonts w:ascii="Arial" w:cs="Arial" w:eastAsia="Arial" w:hAnsi="Arial"/>
          <w:sz w:val="16"/>
          <w:szCs w:val="16"/>
          <w:color w:val="auto"/>
        </w:rPr>
        <w:t>The Company sells its products principally to distributors, radiopharmacies and directly to hospitals and clinics. The Company considers customer purchase orders, which in some cases are governed by master sales or group purchasing organization agreements, to be the contracts with a customer.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75"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For each contract, the Company considers the promise to transfer products, each of which is distinct, to be the identified performance obligations. In determining the transaction price, the Company evaluates whether the price is subject to refund or adjustment to determine the net consideration to which the Company expects to be entitled.</w:t>
      </w:r>
    </w:p>
    <w:p>
      <w:pPr>
        <w:spacing w:after="0" w:line="181"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 Company typically invoices customers upon satisfaction of identified performance obligations. As the Company’s standard payment terms are 30 to 60 days from invoicing, the Company has elected to use the significant financing component practical expedient under ASC 606-10-32-18.</w:t>
      </w:r>
    </w:p>
    <w:p>
      <w:pPr>
        <w:spacing w:after="0" w:line="14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Company allocates the transaction price to each distinct product based on their relative standalone selling price. The product price as specified on the purchase order is considered the standalone selling price as it is an observable input which depicts the price as if sold to a similar customer in similar circumstances.</w:t>
      </w:r>
    </w:p>
    <w:p>
      <w:pPr>
        <w:spacing w:after="0" w:line="18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typically occurs upon delivery to the customer. Further, in determining whether control has transferred, the Company considers if there is a present right to payment and legal title, along with risks and rewards of ownership having transferred to the customer.</w:t>
      </w:r>
    </w:p>
    <w:p>
      <w:pPr>
        <w:spacing w:after="0" w:line="181"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Frequently, the Company receives orders for products to be delivered over multiple dates that may extend across several reporting periods. The</w:t>
      </w:r>
    </w:p>
    <w:p>
      <w:pPr>
        <w:spacing w:after="0" w:line="3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Company invoices for each delivery upon shipment and recognizes revenues for each distinct product delivered, assuming transfer of control has occurred.</w:t>
      </w:r>
    </w:p>
    <w:p>
      <w:pPr>
        <w:spacing w:after="0" w:line="234" w:lineRule="exact"/>
        <w:rPr>
          <w:sz w:val="20"/>
          <w:szCs w:val="20"/>
          <w:color w:val="auto"/>
        </w:rPr>
      </w:pPr>
    </w:p>
    <w:p>
      <w:pPr>
        <w:ind w:right="660" w:firstLine="405"/>
        <w:spacing w:after="0" w:line="264" w:lineRule="auto"/>
        <w:rPr>
          <w:sz w:val="20"/>
          <w:szCs w:val="20"/>
          <w:color w:val="auto"/>
        </w:rPr>
      </w:pPr>
      <w:r>
        <w:rPr>
          <w:rFonts w:ascii="Arial" w:cs="Arial" w:eastAsia="Arial" w:hAnsi="Arial"/>
          <w:sz w:val="18"/>
          <w:szCs w:val="18"/>
          <w:color w:val="auto"/>
        </w:rPr>
        <w:t>The Company generally does not separately charge customers for shipping and handling costs, but any shipping and handling costs charged to customers are included in product revenue, net. Taxes collected from customers relating to product sales and remitted to governmental authorities are excluded from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1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current liability.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product revenue and earnings in the period such variances become known.</w:t>
      </w:r>
    </w:p>
    <w:p>
      <w:pPr>
        <w:spacing w:after="0" w:line="169"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i w:val="1"/>
          <w:iCs w:val="1"/>
          <w:color w:val="auto"/>
        </w:rPr>
        <w:t xml:space="preserve">Rebates and Allowances: </w:t>
      </w:r>
      <w:r>
        <w:rPr>
          <w:rFonts w:ascii="Arial" w:cs="Arial" w:eastAsia="Arial" w:hAnsi="Arial"/>
          <w:sz w:val="17"/>
          <w:szCs w:val="17"/>
          <w:color w:val="auto"/>
        </w:rPr>
        <w:t>The Company provides certain customers with rebates and allowances that are explicitly stated in the Company’s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and are recorded as a reduction of revenue in the period the related product revenue is recognized. The Company establishes a liability for such amounts, which is included in accrued expenses in the accompanying condensed consolidated balance sheets. These rebates and allowances result from performance-based offers that are primarily based on attaining contractually specified sales volumes and administrative fees the Company is required to pay to group purchasing organizations. The Company estimates the amount of rebates and allowances that are explicitly stated in the Company’s contracts based on a combination of actual purchases and an estimate of the customer’s buying patterns.</w:t>
      </w:r>
    </w:p>
    <w:p>
      <w:pPr>
        <w:spacing w:after="0" w:line="178"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The Company generally offers customers a limited right of return due to non-conforming product. The Company estimates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Reserves for product returns are not significant to the Company due to the nature of its products including radiopharmaceutical products with limited half-lives.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75"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summarizes activity for reserves relating to rebate and allowances (including group purchasing organization administrative fees and returns) for the nine months ended September 30, 2018:</w:t>
      </w:r>
    </w:p>
    <w:p>
      <w:pPr>
        <w:spacing w:after="0" w:line="22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jc w:val="right"/>
              <w:ind w:right="430"/>
              <w:spacing w:after="0"/>
              <w:rPr>
                <w:sz w:val="20"/>
                <w:szCs w:val="20"/>
                <w:color w:val="auto"/>
              </w:rPr>
            </w:pPr>
            <w:r>
              <w:rPr>
                <w:rFonts w:ascii="Arial" w:cs="Arial" w:eastAsia="Arial" w:hAnsi="Arial"/>
                <w:sz w:val="18"/>
                <w:szCs w:val="18"/>
                <w:b w:val="1"/>
                <w:bCs w:val="1"/>
                <w:color w:val="auto"/>
              </w:rPr>
              <w:t>Rebates and</w:t>
            </w:r>
          </w:p>
        </w:tc>
      </w:tr>
      <w:tr>
        <w:trPr>
          <w:trHeight w:val="194"/>
        </w:trPr>
        <w:tc>
          <w:tcPr>
            <w:tcW w:w="674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16"/>
                <w:szCs w:val="16"/>
                <w:color w:val="auto"/>
              </w:rPr>
            </w:pPr>
          </w:p>
        </w:tc>
        <w:tc>
          <w:tcPr>
            <w:tcW w:w="1720" w:type="dxa"/>
            <w:vAlign w:val="bottom"/>
          </w:tcPr>
          <w:p>
            <w:pPr>
              <w:jc w:val="right"/>
              <w:ind w:right="470"/>
              <w:spacing w:after="0" w:line="194" w:lineRule="exact"/>
              <w:rPr>
                <w:sz w:val="20"/>
                <w:szCs w:val="20"/>
                <w:color w:val="auto"/>
              </w:rPr>
            </w:pPr>
            <w:r>
              <w:rPr>
                <w:rFonts w:ascii="Arial" w:cs="Arial" w:eastAsia="Arial" w:hAnsi="Arial"/>
                <w:sz w:val="18"/>
                <w:szCs w:val="18"/>
                <w:b w:val="1"/>
                <w:bCs w:val="1"/>
                <w:color w:val="auto"/>
              </w:rPr>
              <w:t>Allowances</w:t>
            </w: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56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Balance, January 1, 2018</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2,860</w:t>
            </w:r>
          </w:p>
        </w:tc>
      </w:tr>
      <w:tr>
        <w:trPr>
          <w:trHeight w:val="243"/>
        </w:trPr>
        <w:tc>
          <w:tcPr>
            <w:tcW w:w="20" w:type="dxa"/>
            <w:vAlign w:val="bottom"/>
          </w:tcPr>
          <w:p>
            <w:pPr>
              <w:spacing w:after="0"/>
              <w:rPr>
                <w:sz w:val="21"/>
                <w:szCs w:val="21"/>
                <w:color w:val="auto"/>
              </w:rPr>
            </w:pPr>
          </w:p>
        </w:tc>
        <w:tc>
          <w:tcPr>
            <w:tcW w:w="6720" w:type="dxa"/>
            <w:vAlign w:val="bottom"/>
            <w:gridSpan w:val="2"/>
          </w:tcPr>
          <w:p>
            <w:pPr>
              <w:ind w:left="460"/>
              <w:spacing w:after="0"/>
              <w:rPr>
                <w:sz w:val="20"/>
                <w:szCs w:val="20"/>
                <w:color w:val="auto"/>
              </w:rPr>
            </w:pPr>
            <w:r>
              <w:rPr>
                <w:rFonts w:ascii="Arial" w:cs="Arial" w:eastAsia="Arial" w:hAnsi="Arial"/>
                <w:sz w:val="18"/>
                <w:szCs w:val="18"/>
                <w:color w:val="auto"/>
              </w:rPr>
              <w:t>Provision related to current period revenues</w:t>
            </w:r>
          </w:p>
        </w:tc>
        <w:tc>
          <w:tcPr>
            <w:tcW w:w="380" w:type="dxa"/>
            <w:vAlign w:val="bottom"/>
          </w:tcPr>
          <w:p>
            <w:pPr>
              <w:spacing w:after="0"/>
              <w:rPr>
                <w:sz w:val="21"/>
                <w:szCs w:val="21"/>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9,609</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Adjustments relating to prior period revenues</w:t>
            </w:r>
          </w:p>
        </w:tc>
        <w:tc>
          <w:tcPr>
            <w:tcW w:w="3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(291)</w:t>
            </w:r>
          </w:p>
        </w:tc>
      </w:tr>
      <w:tr>
        <w:trPr>
          <w:trHeight w:val="243"/>
        </w:trPr>
        <w:tc>
          <w:tcPr>
            <w:tcW w:w="20" w:type="dxa"/>
            <w:vAlign w:val="bottom"/>
          </w:tcPr>
          <w:p>
            <w:pPr>
              <w:spacing w:after="0"/>
              <w:rPr>
                <w:sz w:val="21"/>
                <w:szCs w:val="21"/>
                <w:color w:val="auto"/>
              </w:rPr>
            </w:pPr>
          </w:p>
        </w:tc>
        <w:tc>
          <w:tcPr>
            <w:tcW w:w="6720" w:type="dxa"/>
            <w:vAlign w:val="bottom"/>
            <w:gridSpan w:val="2"/>
          </w:tcPr>
          <w:p>
            <w:pPr>
              <w:ind w:left="460"/>
              <w:spacing w:after="0"/>
              <w:rPr>
                <w:sz w:val="20"/>
                <w:szCs w:val="20"/>
                <w:color w:val="auto"/>
              </w:rPr>
            </w:pPr>
            <w:r>
              <w:rPr>
                <w:rFonts w:ascii="Arial" w:cs="Arial" w:eastAsia="Arial" w:hAnsi="Arial"/>
                <w:sz w:val="18"/>
                <w:szCs w:val="18"/>
                <w:color w:val="auto"/>
              </w:rPr>
              <w:t>Payments or credits made during the period</w:t>
            </w:r>
          </w:p>
        </w:tc>
        <w:tc>
          <w:tcPr>
            <w:tcW w:w="38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(7,885)</w:t>
            </w: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Balance, September 30, 2018</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Revenues</w:t>
      </w:r>
    </w:p>
    <w:p>
      <w:pPr>
        <w:spacing w:after="0" w:line="117" w:lineRule="exact"/>
        <w:rPr>
          <w:sz w:val="20"/>
          <w:szCs w:val="20"/>
          <w:color w:val="auto"/>
        </w:rPr>
      </w:pPr>
    </w:p>
    <w:p>
      <w:pPr>
        <w:jc w:val="both"/>
        <w:ind w:right="60" w:firstLine="405"/>
        <w:spacing w:after="0" w:line="279" w:lineRule="auto"/>
        <w:rPr>
          <w:sz w:val="20"/>
          <w:szCs w:val="20"/>
          <w:color w:val="auto"/>
        </w:rPr>
      </w:pPr>
      <w:r>
        <w:rPr>
          <w:rFonts w:ascii="Arial" w:cs="Arial" w:eastAsia="Arial" w:hAnsi="Arial"/>
          <w:sz w:val="17"/>
          <w:szCs w:val="17"/>
          <w:color w:val="auto"/>
        </w:rPr>
        <w:t>The Company has entered into licensing agreements, which are within the scope of ASC 606, under which it licenses certain rights to third parties. The terms of these arrangements typically include payment to the Company of one or more of the following: non-refundable, up-front license fees; development, regulatory and commercial milestone payments; and royalties on net sales of licensed products. The Company also has distribution licenses which are treated as combined performance obligations with the delivery of its products and are classified as product revenue, net.</w:t>
      </w:r>
    </w:p>
    <w:p>
      <w:pPr>
        <w:spacing w:after="0" w:line="17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In determining the appropriate amount of revenue to be recognized as it fulfills its obligations under each of its agreements, the Company performs the five-step approach stated earlier. The Company uses judgment in determining the number of performance obligations in a license agreement by assessing whether the license is distinct or should be combined with another performance obligation, as well as the nature of the license. As part of the accounting for these arrangements,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178"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Company’s intellectual property is determined to be distinct from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89"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 milestone payments,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and royalty revenues and earnings in the period of adjustment. At September 30, 2018, the Company is constraining variable consideration related to milestone payments requiring regulatory approvals.</w:t>
      </w:r>
    </w:p>
    <w:p>
      <w:pPr>
        <w:spacing w:after="0" w:line="178"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i w:val="1"/>
          <w:iCs w:val="1"/>
          <w:color w:val="auto"/>
        </w:rPr>
        <w:t xml:space="preserve">Royalty Revenues: </w:t>
      </w:r>
      <w:r>
        <w:rPr>
          <w:rFonts w:ascii="Arial" w:cs="Arial" w:eastAsia="Arial" w:hAnsi="Arial"/>
          <w:sz w:val="17"/>
          <w:szCs w:val="17"/>
          <w:color w:val="auto"/>
        </w:rPr>
        <w:t>For arrangements that include sales-based royalties, including milestone payments based on the level of sales, and the license is</w:t>
      </w:r>
      <w:r>
        <w:rPr>
          <w:rFonts w:ascii="Arial" w:cs="Arial" w:eastAsia="Arial" w:hAnsi="Arial"/>
          <w:sz w:val="17"/>
          <w:szCs w:val="17"/>
          <w:i w:val="1"/>
          <w:iCs w:val="1"/>
          <w:color w:val="auto"/>
        </w:rPr>
        <w:t xml:space="preserve"> </w:t>
      </w:r>
      <w:r>
        <w:rPr>
          <w:rFonts w:ascii="Arial" w:cs="Arial" w:eastAsia="Arial" w:hAnsi="Arial"/>
          <w:sz w:val="17"/>
          <w:szCs w:val="17"/>
          <w:color w:val="auto"/>
        </w:rPr>
        <w:t>deemed to be the predominant item to which the royalties relate, the Company recognizes revenue at the later of (i) when the related sales occur, or (ii) when the performance obligation to which some or all of the royalty has been allocated has been satisfied (or partially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75"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recognized certain revenues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7"/>
                <w:szCs w:val="17"/>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Three Months Ended</w:t>
            </w:r>
          </w:p>
        </w:tc>
        <w:tc>
          <w:tcPr>
            <w:tcW w:w="200" w:type="dxa"/>
            <w:vAlign w:val="bottom"/>
          </w:tcPr>
          <w:p>
            <w:pPr>
              <w:spacing w:after="0"/>
              <w:rPr>
                <w:sz w:val="17"/>
                <w:szCs w:val="17"/>
                <w:color w:val="auto"/>
              </w:rPr>
            </w:pPr>
          </w:p>
        </w:tc>
        <w:tc>
          <w:tcPr>
            <w:tcW w:w="174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Nine Months Ended</w:t>
            </w:r>
          </w:p>
        </w:tc>
        <w:tc>
          <w:tcPr>
            <w:tcW w:w="0" w:type="dxa"/>
            <w:vAlign w:val="bottom"/>
          </w:tcPr>
          <w:p>
            <w:pPr>
              <w:spacing w:after="0"/>
              <w:rPr>
                <w:sz w:val="1"/>
                <w:szCs w:val="1"/>
                <w:color w:val="auto"/>
              </w:rPr>
            </w:pPr>
          </w:p>
        </w:tc>
      </w:tr>
      <w:tr>
        <w:trPr>
          <w:trHeight w:val="176"/>
        </w:trPr>
        <w:tc>
          <w:tcPr>
            <w:tcW w:w="7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89"/>
              </w:rPr>
              <w:t>September 30, 2018</w:t>
            </w:r>
          </w:p>
        </w:tc>
        <w:tc>
          <w:tcPr>
            <w:tcW w:w="200" w:type="dxa"/>
            <w:vAlign w:val="bottom"/>
          </w:tcPr>
          <w:p>
            <w:pPr>
              <w:spacing w:after="0"/>
              <w:rPr>
                <w:sz w:val="15"/>
                <w:szCs w:val="15"/>
                <w:color w:val="auto"/>
              </w:rPr>
            </w:pPr>
          </w:p>
        </w:tc>
        <w:tc>
          <w:tcPr>
            <w:tcW w:w="1740" w:type="dxa"/>
            <w:vAlign w:val="bottom"/>
          </w:tcPr>
          <w:p>
            <w:pPr>
              <w:jc w:val="right"/>
              <w:ind w:right="194"/>
              <w:spacing w:after="0" w:line="176" w:lineRule="exact"/>
              <w:rPr>
                <w:sz w:val="20"/>
                <w:szCs w:val="20"/>
                <w:color w:val="auto"/>
              </w:rPr>
            </w:pPr>
            <w:r>
              <w:rPr>
                <w:rFonts w:ascii="Arial" w:cs="Arial" w:eastAsia="Arial" w:hAnsi="Arial"/>
                <w:sz w:val="16"/>
                <w:szCs w:val="16"/>
                <w:b w:val="1"/>
                <w:bCs w:val="1"/>
                <w:color w:val="auto"/>
                <w:w w:val="96"/>
              </w:rPr>
              <w:t>September 30, 2018</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63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Performance obligations satisfied (or partially satisfied) in previous periods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The Company’s performance obligations are typically part of contracts that have an original expected duration of one year or less. As such, under the optional exemption provided by ASC 606-10-50-14, the Company is not disclosing the aggregate amount of the transaction price allocated to performance obligations that are unsatisfied (or partially satisfied) as of the end of the reporting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order to increase consistency and comparability of fair value measurements, financial instruments are categorized based on a hierarchy that prioritizes observable and unobservable inputs used to measure fair value into three broad levels, which are described below:</w:t>
      </w:r>
    </w:p>
    <w:p>
      <w:pPr>
        <w:spacing w:after="0" w:line="147" w:lineRule="exact"/>
        <w:rPr>
          <w:sz w:val="20"/>
          <w:szCs w:val="20"/>
          <w:color w:val="auto"/>
        </w:rPr>
      </w:pPr>
    </w:p>
    <w:p>
      <w:pPr>
        <w:ind w:left="660" w:right="340" w:hanging="16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or liabilities that the Company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rFonts w:ascii="Arial" w:cs="Arial" w:eastAsia="Arial" w:hAnsi="Arial"/>
          <w:sz w:val="18"/>
          <w:szCs w:val="18"/>
          <w:color w:val="auto"/>
        </w:rPr>
      </w:pPr>
    </w:p>
    <w:p>
      <w:pPr>
        <w:ind w:left="660" w:right="100" w:hanging="166"/>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include quoted prices for similar assets and liabilities in active markets, quoted prices for identical or similar assets or liabilities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46" w:lineRule="exact"/>
        <w:rPr>
          <w:rFonts w:ascii="Arial" w:cs="Arial" w:eastAsia="Arial" w:hAnsi="Arial"/>
          <w:sz w:val="16"/>
          <w:szCs w:val="16"/>
          <w:color w:val="auto"/>
        </w:rPr>
      </w:pPr>
    </w:p>
    <w:p>
      <w:pPr>
        <w:ind w:left="660" w:right="200" w:hanging="16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reflect a Company’s estimates about the assumptions that market participants would use in pricing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The Company develops these inputs based on the best information available, including its own data.</w:t>
      </w:r>
    </w:p>
    <w:p>
      <w:pPr>
        <w:spacing w:after="0" w:line="17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Company’s financial assets measured at fair value on a recurring basis consist of money market funds. The Company invests excess cash from its operating cash accounts in overnight investments and reflects these amounts in cash and cash equivalents in the condensed consolidated balance sheets at fair value using quoted prices in active markets for identical assets.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information about the Company’s assets and liabilities measured at fair value on a recurring basis:</w:t>
      </w:r>
    </w:p>
    <w:p>
      <w:pPr>
        <w:spacing w:after="0" w:line="167"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 2018</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Total Fair</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4"/>
        </w:trPr>
        <w:tc>
          <w:tcPr>
            <w:tcW w:w="304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87"/>
              </w:rPr>
              <w:t>Value</w:t>
            </w:r>
          </w:p>
        </w:tc>
        <w:tc>
          <w:tcPr>
            <w:tcW w:w="240" w:type="dxa"/>
            <w:vAlign w:val="bottom"/>
          </w:tcPr>
          <w:p>
            <w:pPr>
              <w:spacing w:after="0"/>
              <w:rPr>
                <w:sz w:val="16"/>
                <w:szCs w:val="16"/>
                <w:color w:val="auto"/>
              </w:rPr>
            </w:pPr>
          </w:p>
        </w:tc>
        <w:tc>
          <w:tcPr>
            <w:tcW w:w="114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6"/>
                <w:szCs w:val="16"/>
                <w:color w:val="auto"/>
              </w:rPr>
            </w:pPr>
          </w:p>
        </w:tc>
        <w:tc>
          <w:tcPr>
            <w:tcW w:w="116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6"/>
                <w:szCs w:val="16"/>
                <w:color w:val="auto"/>
              </w:rPr>
            </w:pPr>
          </w:p>
        </w:tc>
        <w:tc>
          <w:tcPr>
            <w:tcW w:w="1040" w:type="dxa"/>
            <w:vAlign w:val="bottom"/>
          </w:tcPr>
          <w:p>
            <w:pPr>
              <w:ind w:left="120"/>
              <w:spacing w:after="0" w:line="194" w:lineRule="exact"/>
              <w:rPr>
                <w:sz w:val="20"/>
                <w:szCs w:val="20"/>
                <w:color w:val="auto"/>
              </w:rPr>
            </w:pPr>
            <w:r>
              <w:rPr>
                <w:rFonts w:ascii="Arial" w:cs="Arial" w:eastAsia="Arial" w:hAnsi="Arial"/>
                <w:sz w:val="18"/>
                <w:szCs w:val="18"/>
                <w:b w:val="1"/>
                <w:bCs w:val="1"/>
                <w:color w:val="auto"/>
              </w:rPr>
              <w:t>Level 3</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19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64"/>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market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30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December 31, 2017</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Total Fair</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4"/>
        </w:trPr>
        <w:tc>
          <w:tcPr>
            <w:tcW w:w="304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87"/>
              </w:rPr>
              <w:t>Value</w:t>
            </w:r>
          </w:p>
        </w:tc>
        <w:tc>
          <w:tcPr>
            <w:tcW w:w="240" w:type="dxa"/>
            <w:vAlign w:val="bottom"/>
          </w:tcPr>
          <w:p>
            <w:pPr>
              <w:spacing w:after="0"/>
              <w:rPr>
                <w:sz w:val="16"/>
                <w:szCs w:val="16"/>
                <w:color w:val="auto"/>
              </w:rPr>
            </w:pPr>
          </w:p>
        </w:tc>
        <w:tc>
          <w:tcPr>
            <w:tcW w:w="114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6"/>
                <w:szCs w:val="16"/>
                <w:color w:val="auto"/>
              </w:rPr>
            </w:pPr>
          </w:p>
        </w:tc>
        <w:tc>
          <w:tcPr>
            <w:tcW w:w="116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6"/>
                <w:szCs w:val="16"/>
                <w:color w:val="auto"/>
              </w:rPr>
            </w:pPr>
          </w:p>
        </w:tc>
        <w:tc>
          <w:tcPr>
            <w:tcW w:w="1040" w:type="dxa"/>
            <w:vAlign w:val="bottom"/>
          </w:tcPr>
          <w:p>
            <w:pPr>
              <w:ind w:left="120"/>
              <w:spacing w:after="0" w:line="194" w:lineRule="exact"/>
              <w:rPr>
                <w:sz w:val="20"/>
                <w:szCs w:val="20"/>
                <w:color w:val="auto"/>
              </w:rPr>
            </w:pPr>
            <w:r>
              <w:rPr>
                <w:rFonts w:ascii="Arial" w:cs="Arial" w:eastAsia="Arial" w:hAnsi="Arial"/>
                <w:sz w:val="18"/>
                <w:szCs w:val="18"/>
                <w:b w:val="1"/>
                <w:bCs w:val="1"/>
                <w:color w:val="auto"/>
              </w:rPr>
              <w:t>Level 3</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19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64"/>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market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30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7"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As of December 31, 2017, the Company wrote down the value of land held for sale in the U.S. segment to its fair value, less estimated costs to sell, using level 3 inputs. See Note 7, “Property, Plant &amp; Equipment, Net” for further discussion regarding land held for sale.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75"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2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 provides for income taxes at the end of each interim period based on the estimated effective tax rate for the full year, adjusted for any discrete events which are recorded in the period they occur. The Company’s effective tax rate in fiscal 2018 differs from the U.S. federal statutory rate of 21% principally due to the impact of state taxes and the accrual of interest on uncertain tax positions offset by tax benefits arising from stock compensation deductions. The Company’s effective rate in fiscal 2017 was impacted by the valuation allowance the Company had on all its U.S. deferred tax assets until the fourth quarter of fiscal 2017. Cumulative adjustments to the tax provision are recorded in the interim period in which a change in the estimated annual effective tax rate is determined. The Company’s income tax expense is presented below:</w:t>
      </w:r>
    </w:p>
    <w:p>
      <w:pPr>
        <w:spacing w:after="0" w:line="228"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Nine Months Ended</w:t>
            </w:r>
          </w:p>
        </w:tc>
        <w:tc>
          <w:tcPr>
            <w:tcW w:w="5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5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6"/>
        </w:trPr>
        <w:tc>
          <w:tcPr>
            <w:tcW w:w="242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(in thousands)</w:t>
            </w:r>
          </w:p>
        </w:tc>
        <w:tc>
          <w:tcPr>
            <w:tcW w:w="9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17"/>
                <w:szCs w:val="17"/>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132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237"/>
        </w:trPr>
        <w:tc>
          <w:tcPr>
            <w:tcW w:w="2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3,566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9,581</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2,116</w:t>
            </w:r>
          </w:p>
        </w:tc>
      </w:tr>
      <w:tr>
        <w:trPr>
          <w:trHeight w:val="27"/>
        </w:trPr>
        <w:tc>
          <w:tcPr>
            <w:tcW w:w="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December 22, 2017, the United States enacted the Tax Cuts and Jobs Act of 2017 (the “Act”). The Act is significant and has wide-ranging effects.</w:t>
      </w:r>
    </w:p>
    <w:p>
      <w:pPr>
        <w:spacing w:after="0" w:line="248" w:lineRule="exact"/>
        <w:rPr>
          <w:sz w:val="20"/>
          <w:szCs w:val="20"/>
          <w:color w:val="auto"/>
        </w:rPr>
      </w:pPr>
    </w:p>
    <w:p>
      <w:pPr>
        <w:ind w:right="380" w:firstLine="405"/>
        <w:spacing w:after="0" w:line="291" w:lineRule="auto"/>
        <w:rPr>
          <w:sz w:val="20"/>
          <w:szCs w:val="20"/>
          <w:color w:val="auto"/>
        </w:rPr>
      </w:pPr>
      <w:r>
        <w:rPr>
          <w:rFonts w:ascii="Arial" w:cs="Arial" w:eastAsia="Arial" w:hAnsi="Arial"/>
          <w:sz w:val="16"/>
          <w:szCs w:val="16"/>
          <w:color w:val="auto"/>
        </w:rPr>
        <w:t>The Company is still studying all of the ramifications of the Act, but expects the primary material impact of the Act to be the remeasurement of the Company’s deferred tax assets, which was recorded in fiscal 2017 as a result of the reduction in U.S. corporate tax rates from 35% to 21%. As</w:t>
      </w:r>
    </w:p>
    <w:p>
      <w:pPr>
        <w:ind w:right="660"/>
        <w:spacing w:after="0" w:line="261" w:lineRule="auto"/>
        <w:rPr>
          <w:sz w:val="20"/>
          <w:szCs w:val="20"/>
          <w:color w:val="auto"/>
        </w:rPr>
      </w:pPr>
      <w:r>
        <w:rPr>
          <w:rFonts w:ascii="Arial" w:cs="Arial" w:eastAsia="Arial" w:hAnsi="Arial"/>
          <w:sz w:val="18"/>
          <w:szCs w:val="18"/>
          <w:color w:val="auto"/>
        </w:rPr>
        <w:t>of December 31, 2017, the Company determined it had no accumulated unrepatriated foreign earnings, and therefore had recorded no liability for the repatriation transition tax. No changes have been made to these estimates.</w:t>
      </w:r>
    </w:p>
    <w:p>
      <w:pPr>
        <w:spacing w:after="0" w:line="18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Company is continuing to evaluate other changes resulting from the Act, including the impact of Global Intangible Low Tax Income, Base Erosion and Anti-abuse Tax, and revisions to Code Section 162(m). The Company has incorporated estimates of these items in its fiscal 2018 effective tax rate and expects to complete its accounting for these items within the prescribed measurement period.</w:t>
      </w:r>
    </w:p>
    <w:p>
      <w:pPr>
        <w:spacing w:after="0" w:line="18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regularly assesses its ability to realize its deferred tax assets. Assessing the realizability of deferred tax assets requires significant management judgment. In determining whether its deferred tax assets are more-likely-than-not realizable, the Company evaluated all available positive and negative evidence, and weighed the objective evidence and expected impact. The Company released its full valuation allowance recorded against its domestic net deferred tax assets during the year ended December 31, 2017. The Company continues to record a valuation allowance against certain of its foreign net deferred tax assets.</w:t>
      </w:r>
    </w:p>
    <w:p>
      <w:pPr>
        <w:spacing w:after="0" w:line="188"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In connection with the Company’s acquisition of the medical imaging business from Bristol Myers Squibb (“BMS”) in 2008, the Company entered into a tax indemnification agreement with BMS related to certain tax obligations arising prior to the acquisition of the Company, for which the Company has the primary legal obligation. A long-term receivable is recorded to account for the expected value to the Company of future indemnification payments, net of actual U.S. federal tax benefits. The tax indemnification receivable is recognized within other long-term assets. The changes in the tax indemnification asset are recognized within other income in the condensed consolidated statement of operations. In accordance with the Company’s accounting policy, the change in the tax liability and penalties and interest associated with these obligations (net of any offsetting federal or state benefit) is recognized within income tax expense. Accordingly, as these reserves change, adjustments are included in income tax expense while the offsetting adjustment is included in other income. Assuming that the receivable from BMS continues to be considered recoverable by the Company, there will be minimal net effect on earnings and net cash outflows related to these liabilities.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4"/>
          </w:tcPr>
          <w:p>
            <w:pPr>
              <w:spacing w:after="0"/>
              <w:rPr>
                <w:sz w:val="20"/>
                <w:szCs w:val="20"/>
                <w:color w:val="auto"/>
              </w:rPr>
            </w:pPr>
            <w:r>
              <w:rPr>
                <w:rFonts w:ascii="Arial" w:cs="Arial" w:eastAsia="Arial" w:hAnsi="Arial"/>
                <w:sz w:val="18"/>
                <w:szCs w:val="18"/>
                <w:b w:val="1"/>
                <w:bCs w:val="1"/>
                <w:color w:val="auto"/>
              </w:rPr>
              <w:t>6. Inventory</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24"/>
        </w:trPr>
        <w:tc>
          <w:tcPr>
            <w:tcW w:w="5840" w:type="dxa"/>
            <w:vAlign w:val="bottom"/>
            <w:gridSpan w:val="4"/>
          </w:tcPr>
          <w:p>
            <w:pPr>
              <w:ind w:left="420"/>
              <w:spacing w:after="0"/>
              <w:rPr>
                <w:sz w:val="20"/>
                <w:szCs w:val="20"/>
                <w:color w:val="auto"/>
              </w:rPr>
            </w:pPr>
            <w:r>
              <w:rPr>
                <w:rFonts w:ascii="Arial" w:cs="Arial" w:eastAsia="Arial" w:hAnsi="Arial"/>
                <w:sz w:val="18"/>
                <w:szCs w:val="18"/>
                <w:color w:val="auto"/>
              </w:rPr>
              <w:t>Inventory consisted of the following:</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60"/>
        </w:trPr>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w:t>
            </w:r>
          </w:p>
        </w:tc>
      </w:tr>
      <w:tr>
        <w:trPr>
          <w:trHeight w:val="194"/>
        </w:trPr>
        <w:tc>
          <w:tcPr>
            <w:tcW w:w="2060" w:type="dxa"/>
            <w:vAlign w:val="bottom"/>
          </w:tcPr>
          <w:p>
            <w:pPr>
              <w:spacing w:after="0"/>
              <w:rPr>
                <w:sz w:val="16"/>
                <w:szCs w:val="16"/>
                <w:color w:val="auto"/>
              </w:rPr>
            </w:pPr>
          </w:p>
        </w:tc>
        <w:tc>
          <w:tcPr>
            <w:tcW w:w="37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6"/>
                <w:szCs w:val="16"/>
                <w:color w:val="auto"/>
              </w:rPr>
            </w:pPr>
          </w:p>
        </w:tc>
        <w:tc>
          <w:tcPr>
            <w:tcW w:w="1500" w:type="dxa"/>
            <w:vAlign w:val="bottom"/>
          </w:tcPr>
          <w:p>
            <w:pPr>
              <w:jc w:val="right"/>
              <w:ind w:right="57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590"/>
              <w:spacing w:after="0" w:line="194" w:lineRule="exact"/>
              <w:rPr>
                <w:sz w:val="20"/>
                <w:szCs w:val="20"/>
                <w:color w:val="auto"/>
              </w:rPr>
            </w:pPr>
            <w:r>
              <w:rPr>
                <w:rFonts w:ascii="Arial" w:cs="Arial" w:eastAsia="Arial" w:hAnsi="Arial"/>
                <w:sz w:val="18"/>
                <w:szCs w:val="18"/>
                <w:b w:val="1"/>
                <w:bCs w:val="1"/>
                <w:color w:val="auto"/>
              </w:rPr>
              <w:t>2017</w:t>
            </w:r>
          </w:p>
        </w:tc>
      </w:tr>
      <w:tr>
        <w:trPr>
          <w:trHeight w:val="48"/>
        </w:trPr>
        <w:tc>
          <w:tcPr>
            <w:tcW w:w="2060" w:type="dxa"/>
            <w:vAlign w:val="bottom"/>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6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44"/>
        </w:trPr>
        <w:tc>
          <w:tcPr>
            <w:tcW w:w="2060" w:type="dxa"/>
            <w:vAlign w:val="bottom"/>
          </w:tcPr>
          <w:p>
            <w:pPr>
              <w:spacing w:after="0"/>
              <w:rPr>
                <w:sz w:val="21"/>
                <w:szCs w:val="21"/>
                <w:color w:val="auto"/>
              </w:rPr>
            </w:pPr>
          </w:p>
        </w:tc>
        <w:tc>
          <w:tcPr>
            <w:tcW w:w="3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10,447</w:t>
            </w:r>
          </w:p>
        </w:tc>
      </w:tr>
      <w:tr>
        <w:trPr>
          <w:trHeight w:val="243"/>
        </w:trPr>
        <w:tc>
          <w:tcPr>
            <w:tcW w:w="2060" w:type="dxa"/>
            <w:vAlign w:val="bottom"/>
          </w:tcPr>
          <w:p>
            <w:pPr>
              <w:spacing w:after="0"/>
              <w:rPr>
                <w:sz w:val="21"/>
                <w:szCs w:val="21"/>
                <w:color w:val="auto"/>
              </w:rPr>
            </w:pPr>
          </w:p>
        </w:tc>
        <w:tc>
          <w:tcPr>
            <w:tcW w:w="3780" w:type="dxa"/>
            <w:vAlign w:val="bottom"/>
            <w:gridSpan w:val="3"/>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5,509</w:t>
            </w:r>
          </w:p>
        </w:tc>
      </w:tr>
      <w:tr>
        <w:trPr>
          <w:trHeight w:val="27"/>
        </w:trPr>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060" w:type="dxa"/>
            <w:vAlign w:val="bottom"/>
          </w:tcPr>
          <w:p>
            <w:pPr>
              <w:spacing w:after="0"/>
              <w:rPr>
                <w:sz w:val="23"/>
                <w:szCs w:val="23"/>
                <w:color w:val="auto"/>
              </w:rPr>
            </w:pPr>
          </w:p>
        </w:tc>
        <w:tc>
          <w:tcPr>
            <w:tcW w:w="3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10,124</w:t>
            </w:r>
          </w:p>
        </w:tc>
      </w:tr>
      <w:tr>
        <w:trPr>
          <w:trHeight w:val="237"/>
        </w:trPr>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60" w:type="dxa"/>
            <w:vAlign w:val="bottom"/>
            <w:gridSpan w:val="2"/>
          </w:tcPr>
          <w:p>
            <w:pPr>
              <w:ind w:left="360"/>
              <w:spacing w:after="0"/>
              <w:rPr>
                <w:sz w:val="20"/>
                <w:szCs w:val="20"/>
                <w:color w:val="auto"/>
              </w:rPr>
            </w:pPr>
            <w:r>
              <w:rPr>
                <w:rFonts w:ascii="Arial" w:cs="Arial" w:eastAsia="Arial" w:hAnsi="Arial"/>
                <w:sz w:val="18"/>
                <w:szCs w:val="18"/>
                <w:color w:val="auto"/>
              </w:rPr>
              <w:t>Total inventory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34,572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26,080</w:t>
            </w:r>
          </w:p>
        </w:tc>
      </w:tr>
      <w:tr>
        <w:trPr>
          <w:trHeight w:val="27"/>
        </w:trPr>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As of December 31, 2017, the Company had $1.1 million of inventory classified within other long-term assets, which represent raw materials not expected to be used by the Company during the next twelve months. As of September 30, 2018, the Company had no inventory classified within other long-term assets.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75" w:right="2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20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750"/>
        </w:trPr>
        <w:tc>
          <w:tcPr>
            <w:tcW w:w="6200" w:type="dxa"/>
            <w:vAlign w:val="bottom"/>
            <w:gridSpan w:val="4"/>
          </w:tcPr>
          <w:p>
            <w:pPr>
              <w:spacing w:after="0"/>
              <w:rPr>
                <w:sz w:val="20"/>
                <w:szCs w:val="20"/>
                <w:color w:val="auto"/>
              </w:rPr>
            </w:pPr>
            <w:r>
              <w:rPr>
                <w:rFonts w:ascii="Arial" w:cs="Arial" w:eastAsia="Arial" w:hAnsi="Arial"/>
                <w:sz w:val="18"/>
                <w:szCs w:val="18"/>
                <w:b w:val="1"/>
                <w:bCs w:val="1"/>
                <w:color w:val="auto"/>
              </w:rPr>
              <w:t>7. Property, Plant &amp; Equipment, Net</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24"/>
        </w:trPr>
        <w:tc>
          <w:tcPr>
            <w:tcW w:w="6200" w:type="dxa"/>
            <w:vAlign w:val="bottom"/>
            <w:gridSpan w:val="4"/>
          </w:tcPr>
          <w:p>
            <w:pPr>
              <w:jc w:val="right"/>
              <w:ind w:right="1420"/>
              <w:spacing w:after="0"/>
              <w:rPr>
                <w:sz w:val="20"/>
                <w:szCs w:val="20"/>
                <w:color w:val="auto"/>
              </w:rPr>
            </w:pPr>
            <w:r>
              <w:rPr>
                <w:rFonts w:ascii="Arial" w:cs="Arial" w:eastAsia="Arial" w:hAnsi="Arial"/>
                <w:sz w:val="18"/>
                <w:szCs w:val="18"/>
                <w:color w:val="auto"/>
              </w:rPr>
              <w:t>Property, plant &amp; equipment, net, consisted of the following:</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0"/>
        </w:trPr>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4"/>
                <w:szCs w:val="24"/>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December 31,</w:t>
            </w:r>
          </w:p>
        </w:tc>
      </w:tr>
      <w:tr>
        <w:trPr>
          <w:trHeight w:val="194"/>
        </w:trPr>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6"/>
                <w:szCs w:val="16"/>
                <w:color w:val="auto"/>
              </w:rPr>
            </w:pPr>
          </w:p>
        </w:tc>
        <w:tc>
          <w:tcPr>
            <w:tcW w:w="1540" w:type="dxa"/>
            <w:vAlign w:val="bottom"/>
          </w:tcPr>
          <w:p>
            <w:pPr>
              <w:jc w:val="right"/>
              <w:ind w:right="61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ind w:right="610"/>
              <w:spacing w:after="0" w:line="194" w:lineRule="exact"/>
              <w:rPr>
                <w:sz w:val="20"/>
                <w:szCs w:val="20"/>
                <w:color w:val="auto"/>
              </w:rPr>
            </w:pPr>
            <w:r>
              <w:rPr>
                <w:rFonts w:ascii="Arial" w:cs="Arial" w:eastAsia="Arial" w:hAnsi="Arial"/>
                <w:sz w:val="18"/>
                <w:szCs w:val="18"/>
                <w:b w:val="1"/>
                <w:bCs w:val="1"/>
                <w:color w:val="auto"/>
              </w:rPr>
              <w:t>2017</w:t>
            </w:r>
          </w:p>
        </w:tc>
      </w:tr>
      <w:tr>
        <w:trPr>
          <w:trHeight w:val="48"/>
        </w:trPr>
        <w:tc>
          <w:tcPr>
            <w:tcW w:w="1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34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44"/>
        </w:trPr>
        <w:tc>
          <w:tcPr>
            <w:tcW w:w="1360" w:type="dxa"/>
            <w:vAlign w:val="bottom"/>
          </w:tcPr>
          <w:p>
            <w:pPr>
              <w:spacing w:after="0"/>
              <w:rPr>
                <w:sz w:val="21"/>
                <w:szCs w:val="21"/>
                <w:color w:val="auto"/>
              </w:rPr>
            </w:pPr>
          </w:p>
        </w:tc>
        <w:tc>
          <w:tcPr>
            <w:tcW w:w="320" w:type="dxa"/>
            <w:vAlign w:val="bottom"/>
            <w:tcBorders>
              <w:right w:val="single" w:sz="8" w:color="CCEEFF"/>
            </w:tcBorders>
          </w:tcPr>
          <w:p>
            <w:pPr>
              <w:spacing w:after="0"/>
              <w:rPr>
                <w:sz w:val="21"/>
                <w:szCs w:val="21"/>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13,450</w:t>
            </w:r>
          </w:p>
        </w:tc>
      </w:tr>
      <w:tr>
        <w:trPr>
          <w:trHeight w:val="243"/>
        </w:trPr>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63,647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76,059</w:t>
            </w:r>
          </w:p>
        </w:tc>
      </w:tr>
      <w:tr>
        <w:trPr>
          <w:trHeight w:val="27"/>
        </w:trPr>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1360" w:type="dxa"/>
            <w:vAlign w:val="bottom"/>
          </w:tcPr>
          <w:p>
            <w:pPr>
              <w:spacing w:after="0"/>
              <w:rPr>
                <w:sz w:val="21"/>
                <w:szCs w:val="21"/>
                <w:color w:val="auto"/>
              </w:rPr>
            </w:pPr>
          </w:p>
        </w:tc>
        <w:tc>
          <w:tcPr>
            <w:tcW w:w="320" w:type="dxa"/>
            <w:vAlign w:val="bottom"/>
            <w:tcBorders>
              <w:right w:val="single" w:sz="8" w:color="CCEEFF"/>
            </w:tcBorders>
          </w:tcPr>
          <w:p>
            <w:pPr>
              <w:spacing w:after="0"/>
              <w:rPr>
                <w:sz w:val="21"/>
                <w:szCs w:val="21"/>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Machinery, equipment and fixtures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71,870</w:t>
            </w:r>
          </w:p>
        </w:tc>
      </w:tr>
      <w:tr>
        <w:trPr>
          <w:trHeight w:val="243"/>
        </w:trPr>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2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18,365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20,271</w:t>
            </w:r>
          </w:p>
        </w:tc>
      </w:tr>
      <w:tr>
        <w:trPr>
          <w:trHeight w:val="27"/>
        </w:trPr>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1360" w:type="dxa"/>
            <w:vAlign w:val="bottom"/>
          </w:tcPr>
          <w:p>
            <w:pPr>
              <w:spacing w:after="0"/>
              <w:rPr>
                <w:sz w:val="23"/>
                <w:szCs w:val="23"/>
                <w:color w:val="auto"/>
              </w:rPr>
            </w:pPr>
          </w:p>
        </w:tc>
        <w:tc>
          <w:tcPr>
            <w:tcW w:w="320" w:type="dxa"/>
            <w:vAlign w:val="bottom"/>
            <w:tcBorders>
              <w:right w:val="single" w:sz="8" w:color="CCEEFF"/>
            </w:tcBorders>
          </w:tcPr>
          <w:p>
            <w:pPr>
              <w:spacing w:after="0"/>
              <w:rPr>
                <w:sz w:val="23"/>
                <w:szCs w:val="23"/>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7,622</w:t>
            </w:r>
          </w:p>
        </w:tc>
      </w:tr>
      <w:tr>
        <w:trPr>
          <w:trHeight w:val="237"/>
        </w:trPr>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179,713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189,272</w:t>
            </w:r>
          </w:p>
        </w:tc>
      </w:tr>
      <w:tr>
        <w:trPr>
          <w:trHeight w:val="27"/>
        </w:trPr>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1360" w:type="dxa"/>
            <w:vAlign w:val="bottom"/>
          </w:tcPr>
          <w:p>
            <w:pPr>
              <w:spacing w:after="0"/>
              <w:rPr>
                <w:sz w:val="23"/>
                <w:szCs w:val="23"/>
                <w:color w:val="auto"/>
              </w:rPr>
            </w:pPr>
          </w:p>
        </w:tc>
        <w:tc>
          <w:tcPr>
            <w:tcW w:w="320" w:type="dxa"/>
            <w:vAlign w:val="bottom"/>
            <w:tcBorders>
              <w:right w:val="single" w:sz="8" w:color="CCEEFF"/>
            </w:tcBorders>
          </w:tcPr>
          <w:p>
            <w:pPr>
              <w:spacing w:after="0"/>
              <w:rPr>
                <w:sz w:val="23"/>
                <w:szCs w:val="23"/>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(96,273)</w:t>
            </w:r>
          </w:p>
        </w:tc>
      </w:tr>
      <w:tr>
        <w:trPr>
          <w:trHeight w:val="237"/>
        </w:trPr>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gridSpan w:val="2"/>
          </w:tcPr>
          <w:p>
            <w:pPr>
              <w:jc w:val="right"/>
              <w:ind w:right="1420"/>
              <w:spacing w:after="0"/>
              <w:rPr>
                <w:sz w:val="20"/>
                <w:szCs w:val="20"/>
                <w:color w:val="auto"/>
              </w:rPr>
            </w:pPr>
            <w:r>
              <w:rPr>
                <w:rFonts w:ascii="Arial" w:cs="Arial" w:eastAsia="Arial" w:hAnsi="Arial"/>
                <w:sz w:val="18"/>
                <w:szCs w:val="18"/>
                <w:color w:val="auto"/>
              </w:rPr>
              <w:t>Total property, plant &amp; equipment, net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99,407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92,999</w:t>
            </w:r>
          </w:p>
        </w:tc>
      </w:tr>
      <w:tr>
        <w:trPr>
          <w:trHeight w:val="27"/>
        </w:trPr>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560" w:firstLine="405"/>
        <w:spacing w:after="0" w:line="342" w:lineRule="auto"/>
        <w:rPr>
          <w:sz w:val="20"/>
          <w:szCs w:val="20"/>
          <w:color w:val="auto"/>
        </w:rPr>
      </w:pPr>
      <w:r>
        <w:rPr>
          <w:rFonts w:ascii="Arial" w:cs="Arial" w:eastAsia="Arial" w:hAnsi="Arial"/>
          <w:sz w:val="16"/>
          <w:szCs w:val="16"/>
          <w:color w:val="auto"/>
        </w:rPr>
        <w:t>Depreciation and amortization expense related to property, plant &amp; equipment, net, was $2.5 million and $2.7 million for the three months ended September 30, 2018 and 2017, respectively, and $7.6 million and $11.7 million for the nine months ended September 30, 2018 and 2017,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Held for Sale</w:t>
      </w:r>
    </w:p>
    <w:p>
      <w:pPr>
        <w:spacing w:after="0" w:line="117"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During the fourth quarter of 2017, the Company committed to a plan to sell a portion of its land in the U.S. segment. This event qualified for held for sale accounting and the land was written down to its fair value, less estimated costs to sell, which is classified in other current assets at December 31, 2017. During the first quarter of 2018, the Company completed the sale of the land for proceeds of $1.0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Asset Retirement Obligations</w:t>
      </w:r>
    </w:p>
    <w:p>
      <w:pPr>
        <w:spacing w:after="0" w:line="12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 considers its legal obligation to remediate its facilities upon a decommissioning of its radioactive-related operations as an asset retirement obligation. The Company has production facilities which manufacture and process radioactive materials at its North Billerica, Massachusetts and San Juan, Puerto Rico sites.</w:t>
      </w:r>
    </w:p>
    <w:p>
      <w:pPr>
        <w:spacing w:after="0" w:line="181" w:lineRule="exact"/>
        <w:rPr>
          <w:sz w:val="20"/>
          <w:szCs w:val="20"/>
          <w:color w:val="auto"/>
        </w:rPr>
      </w:pPr>
    </w:p>
    <w:p>
      <w:pPr>
        <w:ind w:right="400" w:firstLine="405"/>
        <w:spacing w:after="0" w:line="312" w:lineRule="auto"/>
        <w:rPr>
          <w:sz w:val="20"/>
          <w:szCs w:val="20"/>
          <w:color w:val="auto"/>
        </w:rPr>
      </w:pPr>
      <w:r>
        <w:rPr>
          <w:rFonts w:ascii="Arial" w:cs="Arial" w:eastAsia="Arial" w:hAnsi="Arial"/>
          <w:sz w:val="16"/>
          <w:szCs w:val="16"/>
          <w:color w:val="auto"/>
        </w:rPr>
        <w:t>The Company is required to provide the U.S. Nuclear Regulatory Commission and Massachusetts Department of Public Health financial assurance demonstrating the Company’s ability to fund the decommissioning of its North Billerica, Massachusetts production facility upon closure, although the Company does not intend to close the facility. The Company has provided this financial assurance in the form of a $28.2 million surety bond.</w:t>
      </w:r>
    </w:p>
    <w:p>
      <w:pPr>
        <w:spacing w:after="0" w:line="14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fair value of a liability for asset retirement obligations is recognized in the period in which the liability is incurred. As of September 30, 2018, the liability is measured at the present value of the obligation expected to be incurred, of approximately $26.9 million, and is adjusted in subsequent periods as accretion expense is recorded. The corresponding asset retirement costs are capitalized as part of the carrying values of the related long-lived assets and depreciated over the assets’ useful lives.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 summary of the changes in the Company’s asset retirement obligations:</w:t>
      </w:r>
    </w:p>
    <w:p>
      <w:pPr>
        <w:spacing w:after="0" w:line="154" w:lineRule="exact"/>
        <w:rPr>
          <w:sz w:val="20"/>
          <w:szCs w:val="20"/>
          <w:color w:val="auto"/>
        </w:rPr>
      </w:pPr>
    </w:p>
    <w:tbl>
      <w:tblPr>
        <w:tblLayout w:type="fixed"/>
        <w:tblInd w:w="2840" w:type="dxa"/>
        <w:tblCellMar>
          <w:top w:w="0" w:type="dxa"/>
          <w:left w:w="0" w:type="dxa"/>
          <w:bottom w:w="0" w:type="dxa"/>
          <w:right w:w="0" w:type="dxa"/>
        </w:tblCellMar>
      </w:tblPr>
      <w:tr>
        <w:trPr>
          <w:trHeight w:val="207"/>
        </w:trPr>
        <w:tc>
          <w:tcPr>
            <w:tcW w:w="2520" w:type="dxa"/>
            <w:vAlign w:val="bottom"/>
            <w:gridSpan w:val="3"/>
          </w:tcPr>
          <w:p>
            <w:pPr>
              <w:ind w:left="20"/>
              <w:spacing w:after="0"/>
              <w:rPr>
                <w:sz w:val="20"/>
                <w:szCs w:val="20"/>
                <w:color w:val="auto"/>
              </w:rPr>
            </w:pPr>
            <w:r>
              <w:rPr>
                <w:rFonts w:ascii="Arial" w:cs="Arial" w:eastAsia="Arial" w:hAnsi="Arial"/>
                <w:sz w:val="18"/>
                <w:szCs w:val="18"/>
                <w:b w:val="1"/>
                <w:bCs w:val="1"/>
                <w:color w:val="auto"/>
              </w:rPr>
              <w:t>(in thousands)</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6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Accretion expense</w:t>
            </w: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7"/>
              </w:rPr>
              <w:t>Balance at September 30, 2018</w:t>
            </w: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1110"/>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62"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Financing Arrangements</w:t>
      </w:r>
    </w:p>
    <w:p>
      <w:pPr>
        <w:spacing w:after="0" w:line="121"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On March 30, 2017, the Company refinanced its previous $365 million seven-year term loan agreement (the facility thereunder, the “2015 Term Facility”) with a new five-year $275 million term loan facility (the “2017 Term Facility” and the loans thereunder, the “Term Loans”). In addition, the Company replaced its previous $50 million five-year asset based loan facility (the “ABL Facility”) with a new $75 million five-year revolving credit facility (the “2017 Revolving Facility” and, together with the 2017 Term Facility, the “2017 Facility”). The terms of the 2017 Facility are set forth in that certain Amended and Restated Credit Agreement, dated as of March 30, 2017 (the “Credit Agreement”), by and among Holdings, the Company, the lenders from time to time party thereto and JPMorgan Chase Bank, N.A., as administrative agent and collateral agent. The 2017 Term Facility was issued net of a $0.7 million discount. The Company has the right to request an increase to the 2017 Term Facility or request the establishment of one or more new incremental term loan facilities, in an aggregate principal amount of up to $75.0 million, plus additional amounts, in certain circumstances.</w:t>
      </w:r>
    </w:p>
    <w:p>
      <w:pPr>
        <w:spacing w:after="0" w:line="166"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The net proceeds of the 2017 Term Facility, together with approximately $15.3 million of cash on hand, were used to refinance in full the aggregate remaining principal amount of the loans outstanding under the 2015 Term Facility and pay related interest, transaction fees and expenses. No amounts were outstanding under the ABL Facility at that time. The Company accounted for the refinancing as both a debt extinguishment and debt modification by evaluating the refinancing on a creditor by creditor basis. The Company recorded a loss on extinguishment of debt of $2.2 million related to the write-off of unamortized debt issuance costs and incurred general and administrative expenses of $1.7 million related to third-party costs associated with the modified debt. In addition, the Company incurred and capitalized $1.6 million of new debt issuance costs related to the refinancing.</w:t>
      </w:r>
    </w:p>
    <w:p>
      <w:pPr>
        <w:spacing w:after="0" w:line="165"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On November 29, 2017, the Company entered into Amendment No. 1 (the “Repricing Amendment”) to the 2017 Facility to, among other things, (i) reduce the applicable interest rate margins with respect to the LIBOR and Base Rate Term Loans (as defined in the Credit Agreement) and (ii) reduce the applicable interest rate margins with respect to the LIBOR and Base Rate Revolving Loans (as defined in the Credit Agreement). The Company accounted for the Repricing Amendment as both a debt extinguishment and debt modification by evaluating the refinancing on a creditor by creditor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Term Facility</w:t>
      </w:r>
    </w:p>
    <w:p>
      <w:pPr>
        <w:spacing w:after="0" w:line="117"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Term Loans under the 2017 Term Facility bear interest, with pricing based from time to time at the Company’s election at (i) LIBOR plus a spread of 3.75% or (ii) the Base Rate (as defined in the Credit Agreement) plus a spread of 2.75%. Interest is payable (i) with respect to LIBOR Term Loans, at the end of each Interest Period (as defined in the Credit Agreement) and (ii) with respect to Base Rate Term Loans, at the end of each quarter. At September 30, 2018, the Company’s interest rate under the 2017 Term Facility was 6.0%.</w:t>
      </w:r>
    </w:p>
    <w:p>
      <w:pPr>
        <w:spacing w:after="0" w:line="18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Company is permitted to voluntarily prepay the Term Loans, in whole or in part. The 2017 Term Facility requires the Company to make mandatory prepayments of the outstanding Term Loans in certain circumstances. The 2017 Term Facility amortizes at 1.00% per year until its June 30, 2022 maturity date.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maturities of principal obligations under the 2017 Term Facility are as follows as of September 30, 2018:</w:t>
      </w:r>
    </w:p>
    <w:p>
      <w:pPr>
        <w:spacing w:after="0" w:line="154" w:lineRule="exact"/>
        <w:rPr>
          <w:sz w:val="20"/>
          <w:szCs w:val="20"/>
          <w:color w:val="auto"/>
        </w:rPr>
      </w:pPr>
    </w:p>
    <w:tbl>
      <w:tblPr>
        <w:tblLayout w:type="fixed"/>
        <w:tblInd w:w="270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(in thousands)</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c>
          <w:tcPr>
            <w:tcW w:w="17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15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5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15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5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261,937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Total principal outstanding</w:t>
            </w:r>
          </w:p>
        </w:tc>
        <w:tc>
          <w:tcPr>
            <w:tcW w:w="17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270,875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1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w w:val="98"/>
              </w:rPr>
              <w:t>Unamortized debt issuance costs</w:t>
            </w: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266,880</w:t>
            </w:r>
          </w:p>
        </w:tc>
        <w:tc>
          <w:tcPr>
            <w:tcW w:w="0" w:type="dxa"/>
            <w:vAlign w:val="bottom"/>
          </w:tcPr>
          <w:p>
            <w:pPr>
              <w:spacing w:after="0"/>
              <w:rPr>
                <w:sz w:val="1"/>
                <w:szCs w:val="1"/>
                <w:color w:val="auto"/>
              </w:rPr>
            </w:pP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Less: current portion</w:t>
            </w: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long-term debt</w:t>
            </w: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264,130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12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75"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Revolving Facility</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Under the terms of the 2017 Revolving Facility, the lenders thereunder agreed to extend credit to the Company from time to time until March 30, 2022 (the “Revolving Termination Date”) consisting of revolving loans (the “Revolving Loans” and, together with the Term Loans, the “Loans”) in an aggregate principal amount not to exceed $75 million (the “Revolving Commitment”) at any time outstanding. The 2017 Revolving Facility includes a $20 million sub-facility for the issuance of letters of credit (the “Letters of Credit”). The Letters of Credit and the borrowings under the 2017 Revolving Facility are expected to be used for working capital and other general corporate purposes.</w:t>
      </w:r>
    </w:p>
    <w:p>
      <w:pPr>
        <w:spacing w:after="0" w:line="18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Revolving Loans under the 2017 Revolving Facility bear interest, with pricing based from time to time at the Company’s election at (i) LIBOR plus a spread of 3.00% or (ii) the Base Rate (as defined in the Credit Agreement) plus a spread of 2.00%. The 2017 Revolving Facility also includes an unused line fee, which is set at 0.38% while the Company’s secured leverage ratio (as defined in the Credit Agreement) is greater than 3.00 to 1.00 and 0.25% when the Company’s secured leverage ratio is less than or equal to 3.00 to 1.00.</w:t>
      </w:r>
    </w:p>
    <w:p>
      <w:pPr>
        <w:spacing w:after="0" w:line="18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Company is permitted to voluntarily prepay the Revolving Loans, in whole or in part, or reduce or terminate the Revolving Commitment, in each case, without premium or penalty. On any business day on which the total amount of outstanding Revolving Loans and Letters of Credit exceeds the total Revolving Commitment, the Company must prepay the Revolving Loans in an amount equal to such excess. As of September 30, 2018, there were no outstanding borrowings under the 2017 Revolving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Facility Covenants</w:t>
      </w:r>
    </w:p>
    <w:p>
      <w:pPr>
        <w:spacing w:after="0" w:line="117" w:lineRule="exact"/>
        <w:rPr>
          <w:sz w:val="20"/>
          <w:szCs w:val="20"/>
          <w:color w:val="auto"/>
        </w:rPr>
      </w:pPr>
    </w:p>
    <w:p>
      <w:pPr>
        <w:ind w:right="460" w:firstLine="405"/>
        <w:spacing w:after="0" w:line="286" w:lineRule="auto"/>
        <w:rPr>
          <w:sz w:val="20"/>
          <w:szCs w:val="20"/>
          <w:color w:val="auto"/>
        </w:rPr>
      </w:pPr>
      <w:r>
        <w:rPr>
          <w:rFonts w:ascii="Arial" w:cs="Arial" w:eastAsia="Arial" w:hAnsi="Arial"/>
          <w:sz w:val="17"/>
          <w:szCs w:val="17"/>
          <w:color w:val="auto"/>
        </w:rPr>
        <w:t>The 2017 Facility contains a number of affirmative, negative, reporting and financial covenants, in each case subject to certain exceptions and materiality thresholds. The 2017 Facility requires the Company to be in quarterly compliance, measured on a trailing four quarter basis, with a financial covenant. The maximum consolidated leverage ratio permitted by the financial covenant is displayed in the table below:</w:t>
      </w:r>
    </w:p>
    <w:p>
      <w:pPr>
        <w:spacing w:after="0" w:line="107" w:lineRule="exact"/>
        <w:rPr>
          <w:sz w:val="20"/>
          <w:szCs w:val="20"/>
          <w:color w:val="auto"/>
        </w:rPr>
      </w:pPr>
    </w:p>
    <w:tbl>
      <w:tblPr>
        <w:tblLayout w:type="fixed"/>
        <w:tblInd w:w="356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800" w:type="dxa"/>
            <w:vAlign w:val="bottom"/>
          </w:tcPr>
          <w:p>
            <w:pPr>
              <w:jc w:val="center"/>
              <w:ind w:left="25"/>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2500" w:type="dxa"/>
            <w:vAlign w:val="bottom"/>
          </w:tcPr>
          <w:p>
            <w:pPr>
              <w:ind w:left="1060"/>
              <w:spacing w:after="0"/>
              <w:rPr>
                <w:sz w:val="20"/>
                <w:szCs w:val="20"/>
                <w:color w:val="auto"/>
              </w:rPr>
            </w:pPr>
            <w:r>
              <w:rPr>
                <w:rFonts w:ascii="Arial" w:cs="Arial" w:eastAsia="Arial" w:hAnsi="Arial"/>
                <w:sz w:val="18"/>
                <w:szCs w:val="18"/>
                <w:b w:val="1"/>
                <w:bCs w:val="1"/>
                <w:color w:val="auto"/>
              </w:rPr>
              <w:t>Period</w:t>
            </w:r>
          </w:p>
        </w:tc>
        <w:tc>
          <w:tcPr>
            <w:tcW w:w="1800" w:type="dxa"/>
            <w:vAlign w:val="bottom"/>
          </w:tcPr>
          <w:p>
            <w:pPr>
              <w:jc w:val="center"/>
              <w:ind w:left="45"/>
              <w:spacing w:after="0"/>
              <w:rPr>
                <w:sz w:val="20"/>
                <w:szCs w:val="20"/>
                <w:color w:val="auto"/>
              </w:rPr>
            </w:pPr>
            <w:r>
              <w:rPr>
                <w:rFonts w:ascii="Arial" w:cs="Arial" w:eastAsia="Arial" w:hAnsi="Arial"/>
                <w:sz w:val="18"/>
                <w:szCs w:val="18"/>
                <w:b w:val="1"/>
                <w:bCs w:val="1"/>
                <w:color w:val="auto"/>
                <w:w w:val="91"/>
              </w:rPr>
              <w:t>Leverage Ratio</w:t>
            </w:r>
          </w:p>
        </w:tc>
      </w:tr>
      <w:tr>
        <w:trPr>
          <w:trHeight w:val="27"/>
        </w:trPr>
        <w:tc>
          <w:tcPr>
            <w:tcW w:w="2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Q4 2018 through Q1 2019</w:t>
            </w:r>
          </w:p>
        </w:tc>
        <w:tc>
          <w:tcPr>
            <w:tcW w:w="1800" w:type="dxa"/>
            <w:vAlign w:val="bottom"/>
            <w:tcBorders>
              <w:bottom w:val="single" w:sz="8" w:color="CCEEFF"/>
            </w:tcBorders>
            <w:shd w:val="clear" w:color="auto" w:fill="CCEEFF"/>
          </w:tcPr>
          <w:p>
            <w:pPr>
              <w:jc w:val="center"/>
              <w:ind w:left="45"/>
              <w:spacing w:after="0"/>
              <w:rPr>
                <w:sz w:val="20"/>
                <w:szCs w:val="20"/>
                <w:color w:val="auto"/>
              </w:rPr>
            </w:pPr>
            <w:r>
              <w:rPr>
                <w:rFonts w:ascii="Arial" w:cs="Arial" w:eastAsia="Arial" w:hAnsi="Arial"/>
                <w:sz w:val="20"/>
                <w:szCs w:val="20"/>
                <w:color w:val="auto"/>
                <w:w w:val="88"/>
              </w:rPr>
              <w:t>4.75 to 1.00</w:t>
            </w:r>
          </w:p>
        </w:tc>
      </w:tr>
      <w:tr>
        <w:trPr>
          <w:trHeight w:val="261"/>
        </w:trPr>
        <w:tc>
          <w:tcPr>
            <w:tcW w:w="2500" w:type="dxa"/>
            <w:vAlign w:val="bottom"/>
          </w:tcPr>
          <w:p>
            <w:pPr>
              <w:ind w:left="20"/>
              <w:spacing w:after="0"/>
              <w:rPr>
                <w:sz w:val="20"/>
                <w:szCs w:val="20"/>
                <w:color w:val="auto"/>
              </w:rPr>
            </w:pPr>
            <w:r>
              <w:rPr>
                <w:rFonts w:ascii="Arial" w:cs="Arial" w:eastAsia="Arial" w:hAnsi="Arial"/>
                <w:sz w:val="20"/>
                <w:szCs w:val="20"/>
                <w:color w:val="auto"/>
              </w:rPr>
              <w:t>Thereafter</w:t>
            </w:r>
          </w:p>
        </w:tc>
        <w:tc>
          <w:tcPr>
            <w:tcW w:w="1800" w:type="dxa"/>
            <w:vAlign w:val="bottom"/>
          </w:tcPr>
          <w:p>
            <w:pPr>
              <w:jc w:val="center"/>
              <w:ind w:left="45"/>
              <w:spacing w:after="0"/>
              <w:rPr>
                <w:sz w:val="20"/>
                <w:szCs w:val="20"/>
                <w:color w:val="auto"/>
              </w:rPr>
            </w:pPr>
            <w:r>
              <w:rPr>
                <w:rFonts w:ascii="Arial" w:cs="Arial" w:eastAsia="Arial" w:hAnsi="Arial"/>
                <w:sz w:val="20"/>
                <w:szCs w:val="20"/>
                <w:color w:val="auto"/>
                <w:w w:val="88"/>
              </w:rPr>
              <w:t>4.50 to 1.00</w:t>
            </w:r>
          </w:p>
        </w:tc>
      </w:tr>
    </w:tbl>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2017 Facility contains usual and customary restrictions on the ability of the Company and its subsidiaries to: (i) incur additional indebtedness</w:t>
      </w:r>
    </w:p>
    <w:p>
      <w:pPr>
        <w:spacing w:after="0" w:line="35" w:lineRule="exact"/>
        <w:rPr>
          <w:sz w:val="20"/>
          <w:szCs w:val="20"/>
          <w:color w:val="auto"/>
        </w:rPr>
      </w:pPr>
    </w:p>
    <w:p>
      <w:pPr>
        <w:ind w:right="600" w:firstLine="8"/>
        <w:spacing w:after="0" w:line="255"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1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Upon an event of default, the administrative agent under the Credit Agreement will have the right to declare the Loans and other obligations outstanding immediately due and payable and all commitments immediately terminated or reduced.</w:t>
      </w:r>
    </w:p>
    <w:p>
      <w:pPr>
        <w:spacing w:after="0" w:line="170"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The 2017 Facility is guaranteed by Holdings and Lantheus MI Real Estate, LLC (“LMI-RE”), and obligations under the 2017 Facility are generally secured by first priority liens over substantially all of the assets of each of LMI, Holdings and LMI-RE (subject to customary exclusions set forth in the transaction documents) owned as of March 30, 2017 or thereafter acquired.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presents stock-based compensation expense recognized in the Company’s accompanying condensed consolidated statements of operations:</w:t>
      </w: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8"/>
                <w:szCs w:val="18"/>
                <w:color w:val="auto"/>
              </w:rPr>
            </w:pPr>
          </w:p>
        </w:tc>
        <w:tc>
          <w:tcPr>
            <w:tcW w:w="24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4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5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7"/>
                <w:szCs w:val="17"/>
                <w:color w:val="auto"/>
              </w:rPr>
            </w:pPr>
          </w:p>
        </w:tc>
        <w:tc>
          <w:tcPr>
            <w:tcW w:w="10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34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43"/>
        </w:trPr>
        <w:tc>
          <w:tcPr>
            <w:tcW w:w="2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r>
      <w:tr>
        <w:trPr>
          <w:trHeight w:val="243"/>
        </w:trPr>
        <w:tc>
          <w:tcPr>
            <w:tcW w:w="2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6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00"/>
          </w:cols>
          <w:pgMar w:left="240" w:top="175"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During the first quarter of 2018, the Company granted approximately 207,000 total stockholder return restricted stock awards (“TSR Awards”) that include a three-year market condition where the performance measurement period is three years. Vesting of the TSR Awards is based on the Company’s level of attainment of specified TSR targets relative to a specified index of companies for the respective three-year period and is also subject to the continued employment of the grantees. The number of shares that can be earned over the performance period ranges from 0% to 200% of the initial award. The fair value of these awards are based on a Monte Carlo simulation valuation model.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Common Share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net income per common share is presented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160" w:type="dxa"/>
            <w:vAlign w:val="bottom"/>
            <w:gridSpan w:val="6"/>
          </w:tcPr>
          <w:p>
            <w:pPr>
              <w:ind w:left="40"/>
              <w:spacing w:after="0" w:line="196" w:lineRule="exact"/>
              <w:rPr>
                <w:sz w:val="20"/>
                <w:szCs w:val="20"/>
                <w:color w:val="auto"/>
              </w:rPr>
            </w:pPr>
            <w:r>
              <w:rPr>
                <w:rFonts w:ascii="Arial" w:cs="Arial" w:eastAsia="Arial" w:hAnsi="Arial"/>
                <w:sz w:val="18"/>
                <w:szCs w:val="18"/>
                <w:b w:val="1"/>
                <w:bCs w:val="1"/>
                <w:color w:val="auto"/>
              </w:rPr>
              <w:t>(in thousands, except per share amounts)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920" w:type="dxa"/>
            <w:vAlign w:val="bottom"/>
            <w:tcBorders>
              <w:top w:val="single" w:sz="8" w:color="auto"/>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8,526</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Basic weighted-average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38,342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37,393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5"/>
          </w:tcPr>
          <w:p>
            <w:pPr>
              <w:ind w:left="140"/>
              <w:spacing w:after="0"/>
              <w:rPr>
                <w:sz w:val="20"/>
                <w:szCs w:val="20"/>
                <w:color w:val="auto"/>
              </w:rPr>
            </w:pPr>
            <w:r>
              <w:rPr>
                <w:rFonts w:ascii="Arial" w:cs="Arial" w:eastAsia="Arial" w:hAnsi="Arial"/>
                <w:sz w:val="18"/>
                <w:szCs w:val="18"/>
                <w:color w:val="auto"/>
              </w:rPr>
              <w:t>Effect of dilutive stock options</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Effect of dilutive restricted stock</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7"/>
        </w:trPr>
        <w:tc>
          <w:tcPr>
            <w:tcW w:w="5160" w:type="dxa"/>
            <w:vAlign w:val="bottom"/>
            <w:gridSpan w:val="6"/>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39,402</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39,121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39,467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38,971</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198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6"/>
          </w:tcPr>
          <w:p>
            <w:pPr>
              <w:ind w:left="40"/>
              <w:spacing w:after="0"/>
              <w:rPr>
                <w:sz w:val="20"/>
                <w:szCs w:val="20"/>
                <w:color w:val="auto"/>
              </w:rPr>
            </w:pPr>
            <w:r>
              <w:rPr>
                <w:rFonts w:ascii="Arial" w:cs="Arial" w:eastAsia="Arial" w:hAnsi="Arial"/>
                <w:sz w:val="18"/>
                <w:szCs w:val="18"/>
                <w:color w:val="auto"/>
              </w:rPr>
              <w:t>Basic income per common share</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0.24</w:t>
            </w:r>
          </w:p>
        </w:tc>
        <w:tc>
          <w:tcPr>
            <w:tcW w:w="40" w:type="dxa"/>
            <w:vAlign w:val="bottom"/>
          </w:tcPr>
          <w:p>
            <w:pPr>
              <w:spacing w:after="0"/>
              <w:rPr>
                <w:sz w:val="21"/>
                <w:szCs w:val="21"/>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198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6"/>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income per common share</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5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w w:val="92"/>
              </w:rPr>
              <w:t>Antidilutive securities excluded from diluted net income per common share</w:t>
            </w: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6"/>
            <w:vMerge w:val="restart"/>
          </w:tcPr>
          <w:p>
            <w:pPr>
              <w:spacing w:after="0"/>
              <w:rPr>
                <w:sz w:val="20"/>
                <w:szCs w:val="20"/>
                <w:color w:val="auto"/>
              </w:rPr>
            </w:pPr>
            <w:r>
              <w:rPr>
                <w:rFonts w:ascii="Arial" w:cs="Arial" w:eastAsia="Arial" w:hAnsi="Arial"/>
                <w:sz w:val="18"/>
                <w:szCs w:val="18"/>
                <w:b w:val="1"/>
                <w:bCs w:val="1"/>
                <w:color w:val="auto"/>
              </w:rPr>
              <w:t>12. Other Income</w:t>
            </w: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gridSpan w:val="6"/>
            <w:vMerge w:val="continue"/>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120" w:type="dxa"/>
            <w:vAlign w:val="bottom"/>
            <w:gridSpan w:val="5"/>
          </w:tcPr>
          <w:p>
            <w:pPr>
              <w:ind w:left="380"/>
              <w:spacing w:after="0"/>
              <w:rPr>
                <w:sz w:val="20"/>
                <w:szCs w:val="20"/>
                <w:color w:val="auto"/>
              </w:rPr>
            </w:pPr>
            <w:r>
              <w:rPr>
                <w:rFonts w:ascii="Arial" w:cs="Arial" w:eastAsia="Arial" w:hAnsi="Arial"/>
                <w:sz w:val="18"/>
                <w:szCs w:val="18"/>
                <w:color w:val="auto"/>
              </w:rPr>
              <w:t>Other income consisted of the following:</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80" w:type="dxa"/>
            <w:vAlign w:val="bottom"/>
            <w:gridSpan w:val="6"/>
          </w:tcPr>
          <w:p>
            <w:pPr>
              <w:ind w:left="36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2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17"/>
                <w:szCs w:val="17"/>
                <w:color w:val="auto"/>
              </w:rPr>
            </w:pPr>
          </w:p>
        </w:tc>
        <w:tc>
          <w:tcPr>
            <w:tcW w:w="840" w:type="dxa"/>
            <w:vAlign w:val="bottom"/>
          </w:tcPr>
          <w:p>
            <w:pPr>
              <w:ind w:left="6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Foreign currency gains (losses)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20" w:type="dxa"/>
            <w:vAlign w:val="bottom"/>
            <w:gridSpan w:val="4"/>
          </w:tcPr>
          <w:p>
            <w:pPr>
              <w:ind w:left="20"/>
              <w:spacing w:after="0"/>
              <w:rPr>
                <w:sz w:val="20"/>
                <w:szCs w:val="20"/>
                <w:color w:val="auto"/>
              </w:rPr>
            </w:pPr>
            <w:r>
              <w:rPr>
                <w:rFonts w:ascii="Arial" w:cs="Arial" w:eastAsia="Arial" w:hAnsi="Arial"/>
                <w:sz w:val="18"/>
                <w:szCs w:val="18"/>
                <w:color w:val="auto"/>
              </w:rPr>
              <w:t>Tax indemnification income</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1,469</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0" w:type="dxa"/>
            <w:vAlign w:val="bottom"/>
            <w:gridSpan w:val="3"/>
          </w:tcPr>
          <w:p>
            <w:pPr>
              <w:ind w:left="360"/>
              <w:spacing w:after="0"/>
              <w:rPr>
                <w:sz w:val="20"/>
                <w:szCs w:val="20"/>
                <w:color w:val="auto"/>
              </w:rPr>
            </w:pPr>
            <w:r>
              <w:rPr>
                <w:rFonts w:ascii="Arial" w:cs="Arial" w:eastAsia="Arial" w:hAnsi="Arial"/>
                <w:sz w:val="18"/>
                <w:szCs w:val="18"/>
                <w:color w:val="auto"/>
              </w:rPr>
              <w:t>Total other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c>
          <w:tcPr>
            <w:tcW w:w="3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2,055</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2,037</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Proceedings and Contingencies</w:t>
      </w:r>
    </w:p>
    <w:p>
      <w:pPr>
        <w:spacing w:after="0" w:line="12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costs and outcome of litigation, regulatory or other proceedings cannot be predicted with certainty, and some lawsuits, claims, actions or proceedings may be disposed of unfavorably to the Company. In addition, intellectual property disputes often have a risk of injunctive relief which, if imposed against the Company, could materially and adversely affect its financial condition or results of operations.</w:t>
      </w:r>
    </w:p>
    <w:p>
      <w:pPr>
        <w:spacing w:after="0" w:line="178"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The Company is currently in arbitration with Pharmalucence in connection with a Manufacturing and Supply Agreement, dated November 12, 2013, under which Pharmalucence agreed to manufacture and supply DEFINITY for the Company. The commercial arrangement contemplated by that agreement was repeatedly delayed and ultimately never successfully realized. After extended settlement discussions between Sun Pharma, the ultimate parent of Pharmalucence, and the Company, which did not lead to a mutually acceptable outcome, on November 10, 2017, the Company filed an arbitration demand (and later an amended arbitration demand) with the American Arbitration Association against Pharmalucence, alleging breach of contract, breach of the covenant of good faith and fair dealing, tortious misrepresentation and violation of the Massachusetts Consumer Protection Law, also known as Chapter 93A. The Company is seeking monetary damages but cannot predict the outcome of this dispute resolution proceeding and whether the Company will be able to obtain any financial recovery as a result of this proceeding.</w:t>
      </w:r>
    </w:p>
    <w:p>
      <w:pPr>
        <w:sectPr>
          <w:pgSz w:w="11900" w:h="16838" w:orient="portrait"/>
          <w:cols w:equalWidth="0" w:num="1">
            <w:col w:w="11420"/>
          </w:cols>
          <w:pgMar w:left="240" w:top="175"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75"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As of September 30, 2018, except as disclosed above the Company had no material ongoing litigation in which the Company was a party. In addition, the Company had no material ongoing regulatory or other proceedings and no knowledge of any investigations by government or regulatory authorities in which the Company is a target, in either case that the Company believes could have a material and adverse effect on its current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2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Company reports two operating segments, U.S. and International, based on geographic customer base. The results of these operating segments are regularly reviewed by the Company’s chief operating decision maker, the President and Chief Executive Officer. The Company’s segments derive revenues through the manufacture, marketing, selling and distribution of medical imaging products, focused primarily on cardiovascular diagnostic imaging. All goodwill has been allocated to the U.S. operating segment. The Company does not identify or allocate assets to its segments.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Selected information regarding the Company’s segments is provided as follows:</w:t>
      </w:r>
    </w:p>
    <w:p>
      <w:pPr>
        <w:spacing w:after="0" w:line="167"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8"/>
                <w:szCs w:val="18"/>
                <w:color w:val="auto"/>
              </w:rPr>
            </w:pPr>
          </w:p>
        </w:tc>
        <w:tc>
          <w:tcPr>
            <w:tcW w:w="24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24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44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7"/>
                <w:szCs w:val="17"/>
                <w:color w:val="auto"/>
              </w:rPr>
            </w:pPr>
          </w:p>
        </w:tc>
        <w:tc>
          <w:tcPr>
            <w:tcW w:w="102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33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4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 from external customers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70,255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69,579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215,829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218,706</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31,431</w:t>
            </w:r>
          </w:p>
        </w:tc>
      </w:tr>
      <w:tr>
        <w:trPr>
          <w:trHeight w:val="237"/>
        </w:trPr>
        <w:tc>
          <w:tcPr>
            <w:tcW w:w="20" w:type="dxa"/>
            <w:vAlign w:val="bottom"/>
          </w:tcPr>
          <w:p>
            <w:pPr>
              <w:spacing w:after="0"/>
              <w:rPr>
                <w:sz w:val="20"/>
                <w:szCs w:val="20"/>
                <w:color w:val="auto"/>
              </w:rPr>
            </w:pPr>
          </w:p>
        </w:tc>
        <w:tc>
          <w:tcPr>
            <w:tcW w:w="4420" w:type="dxa"/>
            <w:vAlign w:val="bottom"/>
            <w:gridSpan w:val="2"/>
          </w:tcPr>
          <w:p>
            <w:pPr>
              <w:ind w:left="360"/>
              <w:spacing w:after="0"/>
              <w:rPr>
                <w:sz w:val="20"/>
                <w:szCs w:val="20"/>
                <w:color w:val="auto"/>
              </w:rPr>
            </w:pPr>
            <w:r>
              <w:rPr>
                <w:rFonts w:ascii="Arial" w:cs="Arial" w:eastAsia="Arial" w:hAnsi="Arial"/>
                <w:sz w:val="18"/>
                <w:szCs w:val="18"/>
                <w:color w:val="auto"/>
              </w:rPr>
              <w:t>Total revenues from external customers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88,900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79,941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257,103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250,137</w:t>
            </w:r>
          </w:p>
        </w:tc>
      </w:tr>
      <w:tr>
        <w:trPr>
          <w:trHeight w:val="67"/>
        </w:trPr>
        <w:tc>
          <w:tcPr>
            <w:tcW w:w="2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33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4440" w:type="dxa"/>
            <w:vAlign w:val="bottom"/>
            <w:tcBorders>
              <w:bottom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12,897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41,345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40,306</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w:t>
            </w:r>
          </w:p>
        </w:tc>
      </w:tr>
      <w:tr>
        <w:trPr>
          <w:trHeight w:val="237"/>
        </w:trPr>
        <w:tc>
          <w:tcPr>
            <w:tcW w:w="20" w:type="dxa"/>
            <w:vAlign w:val="bottom"/>
          </w:tcPr>
          <w:p>
            <w:pPr>
              <w:spacing w:after="0"/>
              <w:rPr>
                <w:sz w:val="20"/>
                <w:szCs w:val="20"/>
                <w:color w:val="auto"/>
              </w:rPr>
            </w:pPr>
          </w:p>
        </w:tc>
        <w:tc>
          <w:tcPr>
            <w:tcW w:w="4420" w:type="dxa"/>
            <w:vAlign w:val="bottom"/>
            <w:gridSpan w:val="2"/>
          </w:tcPr>
          <w:p>
            <w:pPr>
              <w:ind w:left="360"/>
              <w:spacing w:after="0"/>
              <w:rPr>
                <w:sz w:val="20"/>
                <w:szCs w:val="20"/>
                <w:color w:val="auto"/>
              </w:rPr>
            </w:pPr>
            <w:r>
              <w:rPr>
                <w:rFonts w:ascii="Arial" w:cs="Arial" w:eastAsia="Arial" w:hAnsi="Arial"/>
                <w:sz w:val="18"/>
                <w:szCs w:val="18"/>
                <w:color w:val="auto"/>
              </w:rPr>
              <w:t>Total operating income</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16,482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42,646</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14,147</w:t>
            </w:r>
          </w:p>
        </w:tc>
      </w:tr>
      <w:tr>
        <w:trPr>
          <w:trHeight w:val="243"/>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2,161</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r>
      <w:tr>
        <w:trPr>
          <w:trHeight w:val="237"/>
        </w:trPr>
        <w:tc>
          <w:tcPr>
            <w:tcW w:w="20" w:type="dxa"/>
            <w:vAlign w:val="bottom"/>
          </w:tcPr>
          <w:p>
            <w:pPr>
              <w:spacing w:after="0"/>
              <w:rPr>
                <w:sz w:val="20"/>
                <w:szCs w:val="20"/>
                <w:color w:val="auto"/>
              </w:rPr>
            </w:pPr>
          </w:p>
        </w:tc>
        <w:tc>
          <w:tcPr>
            <w:tcW w:w="4420" w:type="dxa"/>
            <w:vAlign w:val="bottom"/>
            <w:gridSpan w:val="2"/>
          </w:tcPr>
          <w:p>
            <w:pPr>
              <w:ind w:left="36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12,835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9,288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36,806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28,375</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260"/>
          </w:cols>
          <w:pgMar w:left="240" w:top="175"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Some of the statements contained in this Quarterly Report on Form 10-Q are forward-looking statements within the meaning of Section 27A of the Securities Act of 1933, as amended, and Section 21E of the Securities Exchange Act of 1934, as amended (the “Exchange Act”). These forward-looking statements, including, in particular, statements about our plans, strategies, prospects and industry estimates are subject to risks and uncertainties. These statements identify prospective information and include words such as “anticipates,” “intends,” “plans,” “seeks,” “believes,” “estimates,” “expects,” “should,” “could,” “predicts,” “hopes” and similar expressions. Examples of forward-looking statements include, but are not limited to, statements we make regarding:</w:t>
      </w:r>
    </w:p>
    <w:p>
      <w:pPr>
        <w:spacing w:after="0" w:line="2" w:lineRule="exact"/>
        <w:rPr>
          <w:sz w:val="20"/>
          <w:szCs w:val="20"/>
          <w:color w:val="auto"/>
        </w:rPr>
      </w:pPr>
    </w:p>
    <w:p>
      <w:pPr>
        <w:ind w:right="40" w:firstLine="8"/>
        <w:spacing w:after="0" w:line="267" w:lineRule="auto"/>
        <w:tabs>
          <w:tab w:leader="none" w:pos="21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outlook and expectations including, without limitation, in connection with continued market expansion and penetration for our commercial products, particularly DEFINITY in the face of segment competition and potential generic competition as a result of future patent and regulatory exclusivity expirations; (ii) our outlook and expectations related to the global Molybdenum-99 (“Moly”) supply; (iii) our outlook and expectations in connection with future performance of Xenon in the face of increased competition; and (iv) our outlook and expectations related to products manufactured at Jubilant HollisterStier (“JHS”). Forward-looking statements are based on our current expectations and assumptions regarding our business, the economy and other future conditions. Because forward-looking statements relate to the future, such statements are subject to inherent uncertainties, risks and changes in circumstances that are difficult to predict. Our actual results may differ materially from those contemplated by the forward-looking statements. Such statements are neither statements of historical fact nor guarantees or assurances of future performance. The matters referred to in the forward-looking statements contained in this Quarterly Report on Form 10-Q may not in fact occur. We caution you, therefore, against relying on any of these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78" w:lineRule="exact"/>
        <w:rPr>
          <w:rFonts w:ascii="Arial" w:cs="Arial" w:eastAsia="Arial" w:hAnsi="Arial"/>
          <w:sz w:val="17"/>
          <w:szCs w:val="17"/>
          <w:color w:val="auto"/>
        </w:rPr>
      </w:pPr>
    </w:p>
    <w:p>
      <w:pPr>
        <w:ind w:left="660" w:right="280" w:hanging="166"/>
        <w:spacing w:after="0" w:line="286"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Our ability to continue to grow the appropriate use of DEFINITY in suboptimal echocardiograms in the face of segment competition from other echocardiography contrast agents, including Optison from GE Healthcare Limited (“GE Healthcare”) and Lumason from Bracco Diagnostics Inc. (“Bracco”), and potential generic competition as a result of future patent and regulatory exclusivity expirations;</w:t>
      </w:r>
    </w:p>
    <w:p>
      <w:pPr>
        <w:spacing w:after="0" w:line="57" w:lineRule="exact"/>
        <w:rPr>
          <w:rFonts w:ascii="Arial" w:cs="Arial" w:eastAsia="Arial" w:hAnsi="Arial"/>
          <w:sz w:val="17"/>
          <w:szCs w:val="17"/>
          <w:color w:val="auto"/>
        </w:rPr>
      </w:pPr>
    </w:p>
    <w:p>
      <w:pPr>
        <w:ind w:left="660" w:right="200" w:hanging="166"/>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instability of the global Moly supply, including outages at the NTP Radioisotopes (“NTP”) processing facility in South Africa from late November 2017 until mid-February 2018 and again from early June 2018 through the present, resulting in our inability to fill all of the demand for our TechneLite generators on certain manufacturing days during those periods;</w:t>
      </w:r>
    </w:p>
    <w:p>
      <w:pPr>
        <w:spacing w:after="0" w:line="73" w:lineRule="exact"/>
        <w:rPr>
          <w:rFonts w:ascii="Arial" w:cs="Arial" w:eastAsia="Arial" w:hAnsi="Arial"/>
          <w:sz w:val="18"/>
          <w:szCs w:val="18"/>
          <w:color w:val="auto"/>
        </w:rPr>
      </w:pPr>
    </w:p>
    <w:p>
      <w:pPr>
        <w:ind w:left="660" w:hanging="166"/>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associated with revenues and unit volumes for Xenon in pulmonary studies as a result of increased competition from Curium;</w:t>
      </w:r>
    </w:p>
    <w:p>
      <w:pPr>
        <w:spacing w:after="0" w:line="117" w:lineRule="exact"/>
        <w:rPr>
          <w:rFonts w:ascii="Arial" w:cs="Arial" w:eastAsia="Arial" w:hAnsi="Arial"/>
          <w:sz w:val="18"/>
          <w:szCs w:val="18"/>
          <w:color w:val="auto"/>
        </w:rPr>
      </w:pPr>
    </w:p>
    <w:p>
      <w:pPr>
        <w:ind w:left="660" w:right="80" w:hanging="166"/>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dependence upon third parties for the manufacture and supply of a substantial portion of our products, raw materials and components, including DEFINITY at JHS;</w:t>
      </w:r>
    </w:p>
    <w:p>
      <w:pPr>
        <w:spacing w:after="0" w:line="62" w:lineRule="exact"/>
        <w:rPr>
          <w:rFonts w:ascii="Arial" w:cs="Arial" w:eastAsia="Arial" w:hAnsi="Arial"/>
          <w:sz w:val="18"/>
          <w:szCs w:val="18"/>
          <w:color w:val="auto"/>
        </w:rPr>
      </w:pPr>
    </w:p>
    <w:p>
      <w:pPr>
        <w:ind w:left="660" w:right="220" w:hanging="166"/>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dependence on key customers for our medical imaging products, and our ability to maintain and profitably renew our contracts with those key customers, including Cardinal Health (“Cardinal”), United Pharmacy Partners (“UPPI”), GE Healthcare and Jubilant Drax Image Radiopharmaceuticals (“JDI”) d/b/a Triad Isotopes, Inc. (“Triad”);</w:t>
      </w:r>
    </w:p>
    <w:p>
      <w:pPr>
        <w:spacing w:after="0" w:line="73" w:lineRule="exact"/>
        <w:rPr>
          <w:rFonts w:ascii="Arial" w:cs="Arial" w:eastAsia="Arial" w:hAnsi="Arial"/>
          <w:sz w:val="18"/>
          <w:szCs w:val="18"/>
          <w:color w:val="auto"/>
        </w:rPr>
      </w:pPr>
    </w:p>
    <w:p>
      <w:pPr>
        <w:ind w:left="660" w:right="200" w:hanging="166"/>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associated with the technology transfer programs to secure production of our products at additional contract manufacturer sites, including an alternative microbubble formulation at Samsung BioLogics (“SBL”) in South Korea;</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associated with our lead agent in development, flurpiridaz F 18, including:</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ability of GE Healthcare to successfully complete the Phase 3 development program;</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ability to obtain Food and Drug Administration (“FDA”) approval; and</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ability to gain post-approval market acceptance and adequate reimbursement;</w:t>
      </w:r>
    </w:p>
    <w:p>
      <w:pPr>
        <w:spacing w:after="0" w:line="117" w:lineRule="exact"/>
        <w:rPr>
          <w:rFonts w:ascii="Arial" w:cs="Arial" w:eastAsia="Arial" w:hAnsi="Arial"/>
          <w:sz w:val="18"/>
          <w:szCs w:val="18"/>
          <w:color w:val="auto"/>
        </w:rPr>
      </w:pPr>
    </w:p>
    <w:p>
      <w:pPr>
        <w:jc w:val="both"/>
        <w:ind w:left="660" w:right="740" w:hanging="166"/>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associated with our two current internal clinical development programs - DEFINITY for a left ventricular ejection fraction (“LVEF”) indication, and LMI 1195 for patient populations that would benefit from molecular imaging of the norepinephrine pathway, including risk stratification of ischemic heart failure patients;</w:t>
      </w:r>
    </w:p>
    <w:p>
      <w:pPr>
        <w:spacing w:after="0" w:line="73" w:lineRule="exact"/>
        <w:rPr>
          <w:rFonts w:ascii="Arial" w:cs="Arial" w:eastAsia="Arial" w:hAnsi="Arial"/>
          <w:sz w:val="18"/>
          <w:szCs w:val="18"/>
          <w:color w:val="auto"/>
        </w:rPr>
      </w:pPr>
    </w:p>
    <w:p>
      <w:pPr>
        <w:ind w:left="660" w:hanging="166"/>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associated with the manufacturing and distribution of our products and the regulatory requirements related thereto;</w:t>
      </w:r>
    </w:p>
    <w:p>
      <w:pPr>
        <w:spacing w:after="0" w:line="117" w:lineRule="exact"/>
        <w:rPr>
          <w:rFonts w:ascii="Arial" w:cs="Arial" w:eastAsia="Arial" w:hAnsi="Arial"/>
          <w:sz w:val="18"/>
          <w:szCs w:val="18"/>
          <w:color w:val="auto"/>
        </w:rPr>
      </w:pPr>
    </w:p>
    <w:p>
      <w:pPr>
        <w:ind w:left="660" w:right="100" w:hanging="166"/>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associated with our investment in, and construction of, additional specialized manufacturing capabilities at our North Billerica, Massachusetts facility;</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dependence of certain of our customers upon third-party healthcare payors and the uncertainty of third-party coverage and reimbursement rates;</w:t>
      </w:r>
    </w:p>
    <w:p>
      <w:pPr>
        <w:spacing w:after="0" w:line="140" w:lineRule="exact"/>
        <w:rPr>
          <w:rFonts w:ascii="Arial" w:cs="Arial" w:eastAsia="Arial" w:hAnsi="Arial"/>
          <w:sz w:val="16"/>
          <w:szCs w:val="16"/>
          <w:color w:val="auto"/>
        </w:rPr>
      </w:pPr>
    </w:p>
    <w:p>
      <w:pPr>
        <w:ind w:left="660" w:right="200" w:hanging="166"/>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Uncertainties regarding the impact of on-going U.S. healthcare reform proposals on our business, including related reimbursements for our current and potential future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75"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being subject to extensive government regulation and our potential inability to comply with those regulations;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associated with our marketing and sales practices;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occurrence of any serious or unanticipated side effects with our products;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potential product liability claims and environmental liability;</w:t>
      </w:r>
    </w:p>
    <w:p>
      <w:pPr>
        <w:spacing w:after="0" w:line="117" w:lineRule="exact"/>
        <w:rPr>
          <w:rFonts w:ascii="Arial" w:cs="Arial" w:eastAsia="Arial" w:hAnsi="Arial"/>
          <w:sz w:val="18"/>
          <w:szCs w:val="18"/>
          <w:color w:val="auto"/>
        </w:rPr>
      </w:pPr>
    </w:p>
    <w:p>
      <w:pPr>
        <w:ind w:left="660" w:right="440" w:hanging="16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extensive costs, time and uncertainty associated with new product development, including further product development relying on external development partners or potentially developed internally;</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introduce new products and adapt to an evolving technology and diagnostic landscape;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identify and in-license or acquire additional products to grow our business;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and the risk of claims that we have infringed on the intellectual property of others;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prevailing economic or political conditions and events and financial, business and other factors beyond our control;</w:t>
      </w:r>
    </w:p>
    <w:p>
      <w:pPr>
        <w:spacing w:after="0" w:line="128" w:lineRule="exact"/>
        <w:rPr>
          <w:rFonts w:ascii="Arial" w:cs="Arial" w:eastAsia="Arial" w:hAnsi="Arial"/>
          <w:sz w:val="17"/>
          <w:szCs w:val="17"/>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our international operations;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adequately operate, maintain and protect our facilities, equipment and technology infrastructure;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hire or retain skilled employees and key personnel;</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utilize, or limitations in our ability to utilize, net operating loss carryforwards to reduce our future tax liability;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our outstanding indebtedness and our ability to satisfy those obligations;</w:t>
      </w:r>
    </w:p>
    <w:p>
      <w:pPr>
        <w:spacing w:after="0" w:line="117" w:lineRule="exact"/>
        <w:rPr>
          <w:rFonts w:ascii="Arial" w:cs="Arial" w:eastAsia="Arial" w:hAnsi="Arial"/>
          <w:sz w:val="18"/>
          <w:szCs w:val="18"/>
          <w:color w:val="auto"/>
        </w:rPr>
      </w:pPr>
    </w:p>
    <w:p>
      <w:pPr>
        <w:ind w:left="660" w:right="300" w:hanging="16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other risks associated with the Sarbanes-Oxley Act and the Dodd-Frank Act, including in connection with potentially becoming a large accelerated filer;</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the ownership of our common stock;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factors that are described in Part I, Item 1A. “Risk Factors” in our Annual Report on Form 10-K for the year ended December 31, 2017.</w:t>
      </w:r>
    </w:p>
    <w:p>
      <w:pPr>
        <w:spacing w:after="0" w:line="23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Factors that could cause or contribute to such differences include, but are not limited to, those that are discussed in other documents we file with the Securities and Exchange Commission (“SEC”). Any forward-looking statement made by us in this Quarterly Report on Form 10-Q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global Internet site is www.lantheus.com. We routinely make available important information, including copies of our Annual Reports on Form 10-K, Quarterly Reports on Form 10-Q, Current Reports on Form 8-K and amendments to those reports filed or furnished pursuant to Section 13(a) or 15(d) of the Securities Exchange Act of 1934, as soon as reasonably practicable after such reports are electronically filed with, or furnished to, the SEC, free of charge on our website at www.investor.lantheus.com.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Quarterly Report on Form 10-Q, and any website references are not intended to be made through active hyperlinks.</w:t>
      </w:r>
    </w:p>
    <w:p>
      <w:pPr>
        <w:spacing w:after="0" w:line="189"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public may read and copy any materials we file with the SEC at the SEC’s Public Reference Room at 100 F Street, N.E., Washington, D.C. 20549. The public may obtain information on the operation of the Public Reference Room by calling the SEC at 1-800-SEC-0330. Our reports filed with, or furnished to, the SEC are also available on the SEC’s website at www.sec.gov, and for Annual Reports on Form 10-K and Quarterly Reports on Form 10-Q, in an XBRL (Extensible Business Reporting Language) format. XBRL is an electronic coding language used to create interactive financial statement data over the Internet. The information on our website is neither part of nor incorporated by reference into this Quarterly Report on Form 10-Q.</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75"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the condensed consolidated financial statements and the related notes included in Item 1 of this Quarterly Report on Form 10-Q as well as the other factors described in Part I, Item 1A. “Risk Factors” in our Annual Report on Form 10-K for the year ended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global leader in the development, manufacture and commercialization of innovative diagnostic medical imaging agents and products that assist clinicians in the diagnosis and treatment of cardiovascular and other diseases. Clinicians use our imaging agents and products across a range of imaging modalities, including echocardiography and nuclear imaging.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w:t>
      </w:r>
    </w:p>
    <w:p>
      <w:pPr>
        <w:spacing w:after="0" w:line="188"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auto"/>
        </w:rPr>
        <w:t>Our commercial products are used by cardiologists, nuclear physicians, radiologists, internal medicine physicians, technologists and sonographers working in a variety of clinical settings. We sell our products to radiopharmacies, integrated delivery networks, hospitals, clinics and group practices.</w:t>
      </w:r>
    </w:p>
    <w:p>
      <w:pPr>
        <w:spacing w:after="0" w:line="124"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We sell our products globally and have operations in the U.S., Puerto Rico and Canada and third party distribution relationships in Europe, Canada, Australia, Asia-Pacific and Latin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Portfolio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product portfolio includes an ultrasound contrast agent and nuclear imaging products. Our principal products include the following:</w:t>
      </w:r>
    </w:p>
    <w:p>
      <w:pPr>
        <w:spacing w:after="0" w:line="117" w:lineRule="exact"/>
        <w:rPr>
          <w:sz w:val="20"/>
          <w:szCs w:val="20"/>
          <w:color w:val="auto"/>
        </w:rPr>
      </w:pPr>
    </w:p>
    <w:p>
      <w:pPr>
        <w:ind w:left="660" w:right="20" w:hanging="166"/>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DEFINITY is a microbubble contrast agent used in ultrasound exams of the heart, also known as echocardiography exams. DEFINITY contains perflutren-containing lipid microspheres and is indicated in the U.S. for use in patients with suboptimal echocardiograms to assist in imaging the left ventricular chamber and left endocardial border of the heart in ultrasound procedures.</w:t>
      </w:r>
    </w:p>
    <w:p>
      <w:pPr>
        <w:spacing w:after="0" w:line="181" w:lineRule="exact"/>
        <w:rPr>
          <w:rFonts w:ascii="Arial" w:cs="Arial" w:eastAsia="Arial" w:hAnsi="Arial"/>
          <w:sz w:val="18"/>
          <w:szCs w:val="18"/>
          <w:color w:val="auto"/>
        </w:rPr>
      </w:pPr>
    </w:p>
    <w:p>
      <w:pPr>
        <w:ind w:left="660" w:right="260" w:hanging="166"/>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TechneLite is a Technetium generator that provides the essential nuclear material used by radiopharmacies to radiolabel Cardiolite, Neurolite and other Technetium-based radiopharmaceuticals used in nuclear medicine procedures. TechneLite uses Moly as its active ingredient.</w:t>
      </w:r>
    </w:p>
    <w:p>
      <w:pPr>
        <w:spacing w:after="0" w:line="123" w:lineRule="exact"/>
        <w:rPr>
          <w:rFonts w:ascii="Arial" w:cs="Arial" w:eastAsia="Arial" w:hAnsi="Arial"/>
          <w:sz w:val="16"/>
          <w:szCs w:val="16"/>
          <w:color w:val="auto"/>
        </w:rPr>
      </w:pPr>
    </w:p>
    <w:p>
      <w:pPr>
        <w:ind w:left="660" w:right="580" w:hanging="16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Xenon is a radiopharmaceutical gas that is inhaled and used to assess pulmonary function and also for imaging cerebral blood flow. Xenon is manufactured by a third party and is processed and finished by us.</w:t>
      </w:r>
    </w:p>
    <w:p>
      <w:pPr>
        <w:spacing w:after="0" w:line="170"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Sales of our microbubble contrast agent, DEFINITY, are made in the U.S. and Canada through a DEFINITY direct sales team. In the U.S., our nuclear imaging products, including TechneLite, Xenon, Neurolite and Cardiolite, are primarily distributed through commercial radiopharmacies, the majority of which are controlled by or associated with Cardinal, UPPI, GE Healthcare and Triad. A small portion of our nuclear imaging product sales in the U.S. are made through our direct sales force to hospitals and clinics that maintain their own in-house radiopharmaceutical preparation capabilities. We own one radiopharmacy in Puerto Rico where we sell our own products as well as products of third parties to end-users.</w:t>
      </w:r>
    </w:p>
    <w:p>
      <w:pPr>
        <w:spacing w:after="0" w:line="173"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We also maintain our own direct sales force in Canada for certain customers so that we can control the importation, marketing, distribution and sale of our imaging agents in Canada in this sales channel. In Europe, Australia, Asia-Pacific and Latin America, we rely on third-party distributors to market, sell and distribute our nuclear imaging and contrast agent products, either on a country-by-country basis or on a multi-country regional basis.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75"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revenues derived from our principal products: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1"/>
              </w:rPr>
              <w:t>Nine Months Ended</w:t>
            </w:r>
          </w:p>
        </w:tc>
        <w:tc>
          <w:tcPr>
            <w:tcW w:w="12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5"/>
          </w:tcPr>
          <w:p>
            <w:pPr>
              <w:ind w:left="720"/>
              <w:spacing w:after="0"/>
              <w:rPr>
                <w:sz w:val="20"/>
                <w:szCs w:val="20"/>
                <w:color w:val="auto"/>
              </w:rPr>
            </w:pPr>
            <w:r>
              <w:rPr>
                <w:rFonts w:ascii="Arial" w:cs="Arial" w:eastAsia="Arial" w:hAnsi="Arial"/>
                <w:sz w:val="18"/>
                <w:szCs w:val="18"/>
                <w:b w:val="1"/>
                <w:bCs w:val="1"/>
                <w:color w:val="auto"/>
              </w:rPr>
              <w:t>September 30,</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Arial" w:cs="Arial" w:eastAsia="Arial" w:hAnsi="Arial"/>
                <w:sz w:val="18"/>
                <w:szCs w:val="18"/>
                <w:b w:val="1"/>
                <w:bCs w:val="1"/>
                <w:color w:val="auto"/>
              </w:rPr>
              <w:t>%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 of</w:t>
            </w:r>
          </w:p>
        </w:tc>
      </w:tr>
      <w:tr>
        <w:trPr>
          <w:trHeight w:val="194"/>
        </w:trPr>
        <w:tc>
          <w:tcPr>
            <w:tcW w:w="1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6"/>
                <w:szCs w:val="16"/>
                <w:color w:val="auto"/>
              </w:rPr>
            </w:pPr>
          </w:p>
        </w:tc>
        <w:tc>
          <w:tcPr>
            <w:tcW w:w="86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1300" w:type="dxa"/>
            <w:vAlign w:val="bottom"/>
            <w:gridSpan w:val="2"/>
          </w:tcPr>
          <w:p>
            <w:pPr>
              <w:ind w:left="240"/>
              <w:spacing w:after="0" w:line="194" w:lineRule="exact"/>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6"/>
                <w:szCs w:val="16"/>
                <w:color w:val="auto"/>
              </w:rPr>
            </w:pPr>
          </w:p>
        </w:tc>
        <w:tc>
          <w:tcPr>
            <w:tcW w:w="88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32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4"/>
              </w:rPr>
              <w:t>Revenues</w:t>
            </w:r>
          </w:p>
        </w:tc>
        <w:tc>
          <w:tcPr>
            <w:tcW w:w="240" w:type="dxa"/>
            <w:vAlign w:val="bottom"/>
          </w:tcPr>
          <w:p>
            <w:pPr>
              <w:spacing w:after="0"/>
              <w:rPr>
                <w:sz w:val="16"/>
                <w:szCs w:val="16"/>
                <w:color w:val="auto"/>
              </w:rPr>
            </w:pPr>
          </w:p>
        </w:tc>
        <w:tc>
          <w:tcPr>
            <w:tcW w:w="88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13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4"/>
              </w:rPr>
              <w:t>Revenues</w:t>
            </w:r>
          </w:p>
        </w:tc>
        <w:tc>
          <w:tcPr>
            <w:tcW w:w="260" w:type="dxa"/>
            <w:vAlign w:val="bottom"/>
          </w:tcPr>
          <w:p>
            <w:pPr>
              <w:spacing w:after="0"/>
              <w:rPr>
                <w:sz w:val="16"/>
                <w:szCs w:val="16"/>
                <w:color w:val="auto"/>
              </w:rPr>
            </w:pPr>
          </w:p>
        </w:tc>
        <w:tc>
          <w:tcPr>
            <w:tcW w:w="86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6"/>
                <w:szCs w:val="16"/>
                <w:color w:val="auto"/>
              </w:rPr>
            </w:pPr>
          </w:p>
        </w:tc>
        <w:tc>
          <w:tcPr>
            <w:tcW w:w="120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rPr>
              <w:t>Revenues</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43,755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37,729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134,508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115,569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TechneLite</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30,618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26,356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75,491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79,900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Xenon</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22,805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23,713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7,288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8,130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24,299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30,955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4"/>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88,900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79,941</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257,103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250,137</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business and financial performance have been, and continue to be, affected by the following: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Anticipated Continued Growth of DEFINITY and Expansion of Our Ultrasound Microbubble Franchise</w:t>
      </w:r>
    </w:p>
    <w:p>
      <w:pPr>
        <w:spacing w:after="0" w:line="11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We believe the market opportunity for our ultrasound microbubble contrast agent, DEFINITY, continues to be significant. DEFINITY is our fastest growing and highest margin commercial product. We believe DEFINITY sales will continue to grow and that DEFINITY will constitute a greater share of our overall product mix in 2019 as compared to prior years. As we continue to educate the physician and healthcare provider community about the benefits and risks of DEFINITY, we believe we will be able to continue to grow the appropriate use of DEFINITY in suboptimal echocardiograms. In a U.S. market with three echocardiography contrast agents approved by the FDA, we estimate that DEFINITY had over 80% of the market as of June 30, 2018.</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we continue to pursue expanding our microbubble franchise, our activities include:</w:t>
      </w:r>
    </w:p>
    <w:p>
      <w:pPr>
        <w:spacing w:after="0" w:line="117" w:lineRule="exact"/>
        <w:rPr>
          <w:sz w:val="20"/>
          <w:szCs w:val="20"/>
          <w:color w:val="auto"/>
        </w:rPr>
      </w:pPr>
    </w:p>
    <w:p>
      <w:pPr>
        <w:ind w:left="660" w:right="20" w:hanging="166"/>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Patents - </w:t>
      </w:r>
      <w:r>
        <w:rPr>
          <w:rFonts w:ascii="Arial" w:cs="Arial" w:eastAsia="Arial" w:hAnsi="Arial"/>
          <w:sz w:val="17"/>
          <w:szCs w:val="17"/>
          <w:color w:val="auto"/>
        </w:rPr>
        <w:t>We continue to actively pursue additional patents in connection with DEFINITY, both in the U.S. and internationally. In the U.S., we now</w:t>
      </w:r>
      <w:r>
        <w:rPr>
          <w:rFonts w:ascii="Arial" w:cs="Arial" w:eastAsia="Arial" w:hAnsi="Arial"/>
          <w:sz w:val="17"/>
          <w:szCs w:val="17"/>
          <w:i w:val="1"/>
          <w:iCs w:val="1"/>
          <w:color w:val="auto"/>
        </w:rPr>
        <w:t xml:space="preserve"> </w:t>
      </w:r>
      <w:r>
        <w:rPr>
          <w:rFonts w:ascii="Arial" w:cs="Arial" w:eastAsia="Arial" w:hAnsi="Arial"/>
          <w:sz w:val="17"/>
          <w:szCs w:val="17"/>
          <w:color w:val="auto"/>
        </w:rPr>
        <w:t>have an Orange Book-listed method of use patent expiring in March 2037. This patent augments an Orange Book-listed composition of matter patent expiring in June 2019, and additional manufacturing patents that are not Orange Book-listed expiring in 2021, 2023 and most recently 2037. Outside of the U.S., our DEFINITY patent protection or regulatory exclusivity currently expires in 2019.</w:t>
      </w:r>
    </w:p>
    <w:p>
      <w:pPr>
        <w:spacing w:after="0" w:line="63" w:lineRule="exact"/>
        <w:rPr>
          <w:rFonts w:ascii="Arial" w:cs="Arial" w:eastAsia="Arial" w:hAnsi="Arial"/>
          <w:sz w:val="17"/>
          <w:szCs w:val="17"/>
          <w:color w:val="auto"/>
        </w:rPr>
      </w:pPr>
    </w:p>
    <w:p>
      <w:pPr>
        <w:ind w:left="660" w:right="40"/>
        <w:spacing w:after="0" w:line="269" w:lineRule="auto"/>
        <w:rPr>
          <w:rFonts w:ascii="Arial" w:cs="Arial" w:eastAsia="Arial" w:hAnsi="Arial"/>
          <w:sz w:val="17"/>
          <w:szCs w:val="17"/>
          <w:color w:val="auto"/>
        </w:rPr>
      </w:pPr>
      <w:r>
        <w:rPr>
          <w:rFonts w:ascii="Arial" w:cs="Arial" w:eastAsia="Arial" w:hAnsi="Arial"/>
          <w:sz w:val="17"/>
          <w:szCs w:val="17"/>
          <w:i w:val="1"/>
          <w:iCs w:val="1"/>
          <w:color w:val="auto"/>
        </w:rPr>
        <w:t xml:space="preserve">Hatch-Waxman Act - </w:t>
      </w:r>
      <w:r>
        <w:rPr>
          <w:rFonts w:ascii="Arial" w:cs="Arial" w:eastAsia="Arial" w:hAnsi="Arial"/>
          <w:sz w:val="17"/>
          <w:szCs w:val="17"/>
          <w:color w:val="auto"/>
        </w:rPr>
        <w:t>Even though our longest duration Orange Book-listed patent expires in March 2037, because our Orange Book-listed</w:t>
      </w:r>
      <w:r>
        <w:rPr>
          <w:rFonts w:ascii="Arial" w:cs="Arial" w:eastAsia="Arial" w:hAnsi="Arial"/>
          <w:sz w:val="17"/>
          <w:szCs w:val="17"/>
          <w:i w:val="1"/>
          <w:iCs w:val="1"/>
          <w:color w:val="auto"/>
        </w:rPr>
        <w:t xml:space="preserve"> </w:t>
      </w:r>
      <w:r>
        <w:rPr>
          <w:rFonts w:ascii="Arial" w:cs="Arial" w:eastAsia="Arial" w:hAnsi="Arial"/>
          <w:sz w:val="17"/>
          <w:szCs w:val="17"/>
          <w:color w:val="auto"/>
        </w:rPr>
        <w:t>composition of matter patent expires in June 2019, we may face generic DEFINITY challengers in the near to intermediate term. Under the Drug Price Competition and Patent Term Restoration Act of 1984, known as the Hatch-Waxman Act, the FDA can approve Abbreviated New Drug Applications (“ANDAs”) for generic versions of drugs if the ANDA applicant demonstrates, among other things, that (i) its generic candidate is the same as the innovator product by documenting bioequivalence and providing relevant chemistry, manufacturing and product data, and (ii) the marketing of that generic candidate does not infringe an Orange Book-listed patent. With respect to any Orange Book-listed patent covering the innovator product, the ANDA applicant must give notice to the innovator (a “Notice”) that the ANDA applicant certifies that its generic candidate will not infringe the innovator’s Orange Book-listed patent or that the Orange Book-listed patent is invalid. The innovator can then challenge the ANDA applicant in court within 45 days of receiving such Notice, and FDA approval to commercialize the generic candidate will be stayed (that is, delayed) for up to 30 months while the patent dispute between the innovator and the ANDA applicant is resolved in court. The 30 month stay could potentially expire sooner if the courts determine that no infringement occurs or that the challenged Orange Book-listed patent is invalid or the parties otherwise settle their dispute.</w:t>
      </w:r>
    </w:p>
    <w:p>
      <w:pPr>
        <w:spacing w:after="0" w:line="71" w:lineRule="exact"/>
        <w:rPr>
          <w:rFonts w:ascii="Arial" w:cs="Arial" w:eastAsia="Arial" w:hAnsi="Arial"/>
          <w:sz w:val="17"/>
          <w:szCs w:val="17"/>
          <w:color w:val="auto"/>
        </w:rPr>
      </w:pPr>
    </w:p>
    <w:p>
      <w:pPr>
        <w:ind w:left="660" w:right="120"/>
        <w:spacing w:after="0" w:line="291" w:lineRule="auto"/>
        <w:rPr>
          <w:rFonts w:ascii="Arial" w:cs="Arial" w:eastAsia="Arial" w:hAnsi="Arial"/>
          <w:sz w:val="17"/>
          <w:szCs w:val="17"/>
          <w:color w:val="auto"/>
        </w:rPr>
      </w:pPr>
      <w:r>
        <w:rPr>
          <w:rFonts w:ascii="Arial" w:cs="Arial" w:eastAsia="Arial" w:hAnsi="Arial"/>
          <w:sz w:val="16"/>
          <w:szCs w:val="16"/>
          <w:color w:val="auto"/>
        </w:rPr>
        <w:t>As of the date of filing of this Quarterly Report on Form 10-Q, we have not received any Notice from an ANDA applicant. If we were to (i) receive any such Notice in the future, (ii) bring a patent infringement suit against the ANDA applicant within 45 days of receiving such Notice, and (iii) successfully obtain the full 30 month stay, then the ANDA applicant would be precluded from commercializing a generic candidate prior to the expiration of such 30 month stay period and potentially thereafter depending on how a patent dispute is resolved. Solely by way of example and not based on any knowledge we currently have, if we received a Notice from an ANDA applicant in November 2018 and the full 30 month stay was obtained, then the ANDA applicant would be precluded from commercialization until at least May 2021. If we received a Notice some number of months in the future and the full 30 month stay was obtained, the commercialization date would roll forward in the future by the same calculation.</w:t>
      </w:r>
    </w:p>
    <w:p>
      <w:pPr>
        <w:spacing w:after="0" w:line="59" w:lineRule="exact"/>
        <w:rPr>
          <w:rFonts w:ascii="Arial" w:cs="Arial" w:eastAsia="Arial" w:hAnsi="Arial"/>
          <w:sz w:val="17"/>
          <w:szCs w:val="17"/>
          <w:color w:val="auto"/>
        </w:rPr>
      </w:pPr>
    </w:p>
    <w:p>
      <w:pPr>
        <w:ind w:left="660" w:right="280" w:hanging="166"/>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LVEF Indication - </w:t>
      </w:r>
      <w:r>
        <w:rPr>
          <w:rFonts w:ascii="Arial" w:cs="Arial" w:eastAsia="Arial" w:hAnsi="Arial"/>
          <w:sz w:val="18"/>
          <w:szCs w:val="18"/>
          <w:color w:val="auto"/>
        </w:rPr>
        <w:t>We have reached agreement with the FDA on a special protocol assessment, or SPA, for our Phase 3 LVEF clinical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demonstrate improved accuracy of LVEF measurements with DEFINITY-enhanced echocardiography. We are conducting two well-controlled studies powered to prove superiority in LVEF measurement accuracy with DEFINITY-enhanced versus unenhanced echocardiography. The truth standard in these studies is cardiac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75"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left="660" w:right="320"/>
        <w:spacing w:after="0" w:line="306" w:lineRule="auto"/>
        <w:rPr>
          <w:sz w:val="20"/>
          <w:szCs w:val="20"/>
          <w:color w:val="auto"/>
        </w:rPr>
      </w:pPr>
      <w:r>
        <w:rPr>
          <w:rFonts w:ascii="Arial" w:cs="Arial" w:eastAsia="Arial" w:hAnsi="Arial"/>
          <w:sz w:val="18"/>
          <w:szCs w:val="18"/>
          <w:color w:val="auto"/>
        </w:rPr>
        <w:t>magnetic resonance imaging. The studies will be at 20 U.S. sites, will include approximately 300 subjects, and enrollment has commenced. We believe DEFINITY could improve the accuracy of LVEF calculations, giving clinicians greater confidence in patient management decisions. An LVEF indication could substantially increase the addressable market for contrast-enhanced echocardiography. We believe that DEFINITY, as the market leader, would benefit from the expanded addressable market.</w:t>
      </w:r>
    </w:p>
    <w:p>
      <w:pPr>
        <w:spacing w:after="0" w:line="52" w:lineRule="exact"/>
        <w:rPr>
          <w:sz w:val="20"/>
          <w:szCs w:val="20"/>
          <w:color w:val="auto"/>
        </w:rPr>
      </w:pPr>
    </w:p>
    <w:p>
      <w:pPr>
        <w:ind w:left="660" w:hanging="166"/>
        <w:spacing w:after="0" w:line="272" w:lineRule="auto"/>
        <w:tabs>
          <w:tab w:leader="none" w:pos="66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Modified Formulation - </w:t>
      </w:r>
      <w:r>
        <w:rPr>
          <w:rFonts w:ascii="Arial" w:cs="Arial" w:eastAsia="Arial" w:hAnsi="Arial"/>
          <w:sz w:val="17"/>
          <w:szCs w:val="17"/>
          <w:color w:val="auto"/>
        </w:rPr>
        <w:t>We are developing at SBL a modified formulation of DEFINITY. We believe this modified formulation will provide an</w:t>
      </w:r>
      <w:r>
        <w:rPr>
          <w:rFonts w:ascii="Arial" w:cs="Arial" w:eastAsia="Arial" w:hAnsi="Arial"/>
          <w:sz w:val="17"/>
          <w:szCs w:val="17"/>
          <w:i w:val="1"/>
          <w:iCs w:val="1"/>
          <w:color w:val="auto"/>
        </w:rPr>
        <w:t xml:space="preserve"> </w:t>
      </w:r>
      <w:r>
        <w:rPr>
          <w:rFonts w:ascii="Arial" w:cs="Arial" w:eastAsia="Arial" w:hAnsi="Arial"/>
          <w:sz w:val="17"/>
          <w:szCs w:val="17"/>
          <w:color w:val="auto"/>
        </w:rPr>
        <w:t>enhanced product profile enabling shipment and storage at room temperature (DEFINITY’s current formulation requires refrigerated storage), will give clinicians additional choice, and will allow for greater utility of this formulation in alternative clinical settings. We were recently granted a composition of matter patent on the modified formulation which runs through December 2035. If the modified formulation is approved by the FDA, then this patent would be eligible to be listed in the Orange Book. We currently believe that, if approved by the FDA, the modified formulation could become commercially available in 2020. Given its physical characteristics, the modified formulation may also be better suited for inclusion in kits requiring microbubbles for other indications and applications.</w:t>
      </w:r>
    </w:p>
    <w:p>
      <w:pPr>
        <w:spacing w:after="0" w:line="69" w:lineRule="exact"/>
        <w:rPr>
          <w:rFonts w:ascii="Arial" w:cs="Arial" w:eastAsia="Arial" w:hAnsi="Arial"/>
          <w:sz w:val="17"/>
          <w:szCs w:val="17"/>
          <w:i w:val="1"/>
          <w:iCs w:val="1"/>
          <w:color w:val="auto"/>
        </w:rPr>
      </w:pPr>
    </w:p>
    <w:p>
      <w:pPr>
        <w:ind w:left="660" w:right="440" w:hanging="166"/>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New Applications </w:t>
      </w:r>
      <w:r>
        <w:rPr>
          <w:rFonts w:ascii="Arial" w:cs="Arial" w:eastAsia="Arial" w:hAnsi="Arial"/>
          <w:sz w:val="18"/>
          <w:szCs w:val="18"/>
          <w:color w:val="auto"/>
        </w:rPr>
        <w:t>- As we continue to look for other opportunities to expand our microbubble franchise, we are evaluating new indications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beyond echocardiography and contrast imaging generally.</w:t>
      </w:r>
    </w:p>
    <w:p>
      <w:pPr>
        <w:spacing w:after="0" w:line="62" w:lineRule="exact"/>
        <w:rPr>
          <w:rFonts w:ascii="Arial" w:cs="Arial" w:eastAsia="Arial" w:hAnsi="Arial"/>
          <w:sz w:val="18"/>
          <w:szCs w:val="18"/>
          <w:color w:val="auto"/>
        </w:rPr>
      </w:pPr>
    </w:p>
    <w:p>
      <w:pPr>
        <w:ind w:left="660" w:right="120" w:hanging="166"/>
        <w:spacing w:after="0" w:line="30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In-House Manufacturing - </w:t>
      </w:r>
      <w:r>
        <w:rPr>
          <w:rFonts w:ascii="Arial" w:cs="Arial" w:eastAsia="Arial" w:hAnsi="Arial"/>
          <w:sz w:val="16"/>
          <w:szCs w:val="16"/>
          <w:color w:val="auto"/>
        </w:rPr>
        <w:t>We are currently building specialized in-house manufacturing capabilities at our North Billerica, Massachusetts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for DEFINITY and, potentially, other sterile vial products. We believe these efforts will allow us to better control DEFINITY manufacturing and inventory, reduce our costs in a potentially more price competitive environment, and provide us with supply chain redundancy. We currently expect to be in a position to use this in-house manufacturing capability by early 2021, although that timing cannot be assured.</w:t>
      </w:r>
    </w:p>
    <w:p>
      <w:pPr>
        <w:spacing w:after="0" w:line="154" w:lineRule="exact"/>
        <w:rPr>
          <w:sz w:val="20"/>
          <w:szCs w:val="20"/>
          <w:color w:val="auto"/>
        </w:rPr>
      </w:pPr>
    </w:p>
    <w:p>
      <w:pPr>
        <w:ind w:right="140" w:firstLine="405"/>
        <w:spacing w:after="0" w:line="290" w:lineRule="auto"/>
        <w:rPr>
          <w:sz w:val="20"/>
          <w:szCs w:val="20"/>
          <w:color w:val="auto"/>
        </w:rPr>
      </w:pPr>
      <w:r>
        <w:rPr>
          <w:rFonts w:ascii="Arial" w:cs="Arial" w:eastAsia="Arial" w:hAnsi="Arial"/>
          <w:sz w:val="16"/>
          <w:szCs w:val="16"/>
          <w:color w:val="auto"/>
        </w:rPr>
        <w:t>See Part I, Item 1A. “Risk Factors—The growth of our business is substantially dependent on our ability to continue to grow the appropriate use of DEFINITY in suboptimal echocardiograms in the face of increased segment competition from other existing echocardiography agents and potential generic competitors as a result of future patent and regulatory exclusivity expirations,” and “—If we are unable to protect our intellectual property, our competitors could develop and market products with features similar to our products, and demand for our products may decline,” both in our Quarterly Report on Form 10-Q for the quarter ended September 30, 2018. See also Part I, Item 1A. “Risk Factors—Our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 and “—Item 1. Business—Our Product Portfolio—DEFINITY and Our Microbubble Franchise Strategy,” both in our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Moly Supply</w:t>
      </w:r>
    </w:p>
    <w:p>
      <w:pPr>
        <w:spacing w:after="0" w:line="117"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We currently have Moly supply agreements with NTP of South Africa, for itself and on behalf of its subcontractor ANSTO of Australia, running through December 31, 2020, and with IRE running through December 31, 2018, renewable by us on a year-to-year basis thereafter. We also have a Xenon supply agreement with IRE which runs through June 30, 2019, also subject to extensions.</w:t>
      </w:r>
    </w:p>
    <w:p>
      <w:pPr>
        <w:spacing w:after="0" w:line="181"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We believe we are generally well-positioned with ANSTO, IRE and NTP to have a diverse, global Moly supply, including low-enriched uranium-based Moly produced from targets containing less than 20% of Uranium-235. However, we still face challenges in our Moly supply chain. The NTP processing facility was off-line from late November 2017 until mid-February 2018 and again from early June 2018 through the present. During these periods, we have relied on Moly supply from both IRE and ANSTO to limit the impact of the NTP outage. However, we have been unable to fill all of the demand for our TechneLite generators on certain manufacturing days. We can give no assurances as to when the NTP processing facility will be back on line.</w:t>
      </w:r>
    </w:p>
    <w:p>
      <w:pPr>
        <w:spacing w:after="0" w:line="158"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To expand its current Moly production capacity, ANSTO is currently commissioning a new Mo-99 production facility that also will expand its production capacity from 2,000 to 3,500 curies per week which is expected to be in commercial operation in the first half of 2019. We also have a strategic arrangement with SHINE Medical Technologies, Inc. (“SHINE”), a Wisconsin-based company, for the future supply of Moly. Under the terms of that agreement, SHINE will provide us Moly once SHINE’s facility becomes operational and receives all necessary approvals, which SHINE now estimates will occur in 2021.</w:t>
      </w:r>
    </w:p>
    <w:p>
      <w:pPr>
        <w:spacing w:after="0" w:line="18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See Part II, Item 1A. “Risk Factors—The global supply of Moly is fragile and not stable. Our dependence on a limited number of third party suppliers for Moly could prevent us from delivering some of our products to our customers in the required quantities, within the required timeframe, or at all, which could result in order cancellations and decreased revenues” of this Quarterly Report on Form 10-Q and Part I, Item 1A. “Risk Factors—Our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 of our Annual Report on Form 10-K for the year ended December 31, 2017.</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75"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Xenon</w:t>
      </w:r>
    </w:p>
    <w:p>
      <w:pPr>
        <w:spacing w:after="0" w:line="117"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Xenon gas for lung ventilation diagnosis is our third largest product by revenues. In order to increase the predictability of our Xenon business, we have entered into Xenon supply agreements with customers at committed volumes and reduced prices. These steps have resulted in more predictable Xenon unit volumes. Historically, several companies, including Curium, sold packaged Xenon as a pulmonary imaging agent in the U.S., but from 2010 through the first quarter of 2016 (when Curium received regulatory approval from FDA to again sell packaged Xenon in the U.S.) we were the only supplier of this imaging agent in the U.S. Curium sold packaged Xenon in the U.S. during parts of 2016 and again began selling packaged Xenon in the U.S. in May 2018. Depending upon the pricing, extent of availability and market penetration of Curium’s offering, we believe we are at risk for volume loss and price erosion from those customers that are not subject to price or volume commitments with us. In addition to competition from Curium, other imaging agents and modalities could potentially compete with, or displace, packaged Xenon in pulmonary studies. If there is an increase in the use of other imaging agents or modalities in place of packaged Xenon, our current sales volumes would decrease, which could have a negative effect on our business, results of operations, financial condition and cash flows. See Part I, Item 1A. “Risk Factors—We face revenue and unit volume risk for Xenon in pulmonary studies as a result of competition from Curium and potentially others” of our Annual Report on Form 10-K for the year ended December 31,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Supply</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obtain a substantial portion of our imaging agents from third-party suppliers. JHS is currently our sole source manufacturer of DEFINITY, Neurolite, Cardiolite and evacuation vials, the latter being an ancillary component for our TechneLite generators. We are currently seeking approval from certain foreign regulatory authorities for JHS to manufacture certain of our products. Until we receive these approvals, we will face continued limitations on where we can sell those products outside of the U.S.</w:t>
      </w:r>
    </w:p>
    <w:p>
      <w:pPr>
        <w:spacing w:after="0" w:line="18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addition to JHS, we are also currently working to secure additional alternative suppliers for our key products as part of our ongoing supply chain diversification strategy. We have ongoing development and technology transfer activities for an alternative microbubble formulation with SBL, which is located in South Korea, but we cannot give any assurances as to if and when those technology transfer activities will be completed and when we will begin to receive supply of an alternative microbubble formulation from SBL. As described above, we have also commenced an extensive, multi-year effort to add in-house specialized manufacturing capabilities at our North Billerica, Massachusetts facility. This project is part of a larger strategy to create a competitive advantage in specialized manufacturing, which will also allow us to optimize our costs and reduce our supply chain risk. We can give no assurance as to when or if we will be successful in these efforts or that we will be able to successfully manufacture any additional commercial products at our North Billerica, Massachusetts facility. See Part I, Item 1A. “Risk Factors—Our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 of our Annual Report on Form 10-K for the year ended December 31, 2017.</w:t>
      </w:r>
    </w:p>
    <w:p>
      <w:pPr>
        <w:spacing w:after="0" w:line="16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Radiopharmaceuticals are decaying radioisotopes with half-lives ranging from a few hours to several days. These products cannot be kept in inventory because of their limited shelf lives and are subject to just-in-time manufacturing, processing and distribution, which takes place at our North Billerica, Massachusetts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80" w:firstLine="405"/>
        <w:spacing w:after="0" w:line="271" w:lineRule="auto"/>
        <w:rPr>
          <w:sz w:val="20"/>
          <w:szCs w:val="20"/>
          <w:color w:val="auto"/>
        </w:rPr>
      </w:pPr>
      <w:r>
        <w:rPr>
          <w:rFonts w:ascii="Arial" w:cs="Arial" w:eastAsia="Arial" w:hAnsi="Arial"/>
          <w:sz w:val="17"/>
          <w:szCs w:val="17"/>
          <w:color w:val="auto"/>
        </w:rPr>
        <w:t>To remain a leader in the marketplace, we have historically made substantial investments in new product development. As a result, the positive contributions of those internally funded research and development programs have been a key factor in our historical results and success. On April 25, 2017, we announced entering into a definitive, exclusive Collaboration and License Agreement with GE Healthcare for the continued Phase 3 development and worldwide commercialization of flurpiridaz F 18. As part of our microbubble franchise strategy, for our proposed LVEF indication for DEFINITY, we have reached agreement with the FDA on an SPA and have commenced enrollment in our additional clinical trials. For LMI 1195, our PET-based molecular imaging agent for the norepinephrine pathway, we are working with the FDA on a Special Protocol Assessment for a single Phase 3 clinical trial for LMI 1195 to demonstrate improved risk stratification of ischemic heart failure patients. Our investments in these additional clinical activities will increase our operating expenses and impact our results of operations and cash flow.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Activities</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To further expand and diversify our business, we are pursuing external opportunities that fit our growth and profitability objectives. Our current focus is on the broader imaging agent space and therapeutic adjacencies.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We report our results of operations in two operating segments: U.S. and International. We generate a greater proportion of our revenues and net income in the U.S. segment, which consists of all regions of the U.S. with the exception of Puerto Rico.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75"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results for the three and nine months ended September 30, 2018 as compared to the corresponding periods in 2017 reflect the following:</w:t>
      </w:r>
    </w:p>
    <w:p>
      <w:pPr>
        <w:spacing w:after="0" w:line="129" w:lineRule="exact"/>
        <w:rPr>
          <w:sz w:val="20"/>
          <w:szCs w:val="20"/>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revenues for DEFINITY in the suboptimal echocardiogram segment as a result of our continued focused sales efforts;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revenues for TechneLite in the U.S. segment primarily as a result of a temporary supplier disruption;</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revenues for TechneLite in the International segment primarily driven by increased volume as a result of temporary incremental demand;</w:t>
      </w:r>
    </w:p>
    <w:p>
      <w:pPr>
        <w:spacing w:after="0" w:line="140" w:lineRule="exact"/>
        <w:rPr>
          <w:rFonts w:ascii="Arial" w:cs="Arial" w:eastAsia="Arial" w:hAnsi="Arial"/>
          <w:sz w:val="16"/>
          <w:szCs w:val="16"/>
          <w:color w:val="auto"/>
        </w:rPr>
      </w:pPr>
    </w:p>
    <w:p>
      <w:pPr>
        <w:ind w:left="660" w:right="260" w:hanging="16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revenues in other revenue due to the recognition of $5.0 million during the prior year from GE Healthcare in exchange for rights to the continued Phase 3 development and worldwide commercialization of flurpiridaz F 18;</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depreciation expense as a result of the decommissioning of certain long-lived assets during the prior year period;</w:t>
      </w:r>
    </w:p>
    <w:p>
      <w:pPr>
        <w:spacing w:after="0" w:line="117" w:lineRule="exact"/>
        <w:rPr>
          <w:rFonts w:ascii="Arial" w:cs="Arial" w:eastAsia="Arial" w:hAnsi="Arial"/>
          <w:sz w:val="18"/>
          <w:szCs w:val="18"/>
          <w:color w:val="auto"/>
        </w:rPr>
      </w:pPr>
    </w:p>
    <w:p>
      <w:pPr>
        <w:ind w:left="660" w:right="320" w:hanging="16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decreases in general and administrative expense of $1.7 million incurred in connection with the refinancing of our debt, as well as a related $2.2 million loss on the extinguishment of debt during the prior year period; and</w:t>
      </w:r>
    </w:p>
    <w:p>
      <w:pPr>
        <w:spacing w:after="0" w:line="62"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tax expense due to the profit generated during the three and nine months ended September 30, 2018 and the fact that we no longer record a valuation allowance against our domestic deferred tax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our consolidated results of operations:</w:t>
      </w:r>
    </w:p>
    <w:p>
      <w:pPr>
        <w:spacing w:after="0" w:line="167"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8"/>
                <w:szCs w:val="18"/>
                <w:color w:val="auto"/>
              </w:rPr>
            </w:pPr>
          </w:p>
        </w:tc>
        <w:tc>
          <w:tcPr>
            <w:tcW w:w="22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22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9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7"/>
                <w:szCs w:val="17"/>
                <w:color w:val="auto"/>
              </w:rPr>
            </w:pPr>
          </w:p>
        </w:tc>
        <w:tc>
          <w:tcPr>
            <w:tcW w:w="9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8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257,103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250,137</w:t>
            </w:r>
          </w:p>
        </w:tc>
      </w:tr>
      <w:tr>
        <w:trPr>
          <w:trHeight w:val="243"/>
        </w:trPr>
        <w:tc>
          <w:tcPr>
            <w:tcW w:w="20" w:type="dxa"/>
            <w:vAlign w:val="bottom"/>
          </w:tcPr>
          <w:p>
            <w:pPr>
              <w:spacing w:after="0"/>
              <w:rPr>
                <w:sz w:val="21"/>
                <w:szCs w:val="21"/>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44,015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41,414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126,063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125,901</w:t>
            </w: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124,236</w:t>
            </w:r>
          </w:p>
        </w:tc>
      </w:tr>
      <w:tr>
        <w:trPr>
          <w:trHeight w:val="223"/>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41"/>
        </w:trPr>
        <w:tc>
          <w:tcPr>
            <w:tcW w:w="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31,892</w:t>
            </w:r>
          </w:p>
        </w:tc>
      </w:tr>
      <w:tr>
        <w:trPr>
          <w:trHeight w:val="243"/>
        </w:trPr>
        <w:tc>
          <w:tcPr>
            <w:tcW w:w="20" w:type="dxa"/>
            <w:vAlign w:val="bottom"/>
          </w:tcPr>
          <w:p>
            <w:pPr>
              <w:spacing w:after="0"/>
              <w:rPr>
                <w:sz w:val="21"/>
                <w:szCs w:val="21"/>
                <w:color w:val="auto"/>
              </w:rPr>
            </w:pPr>
          </w:p>
        </w:tc>
        <w:tc>
          <w:tcPr>
            <w:tcW w:w="396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13,609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12,076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37,727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35,549</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14,149</w:t>
            </w:r>
          </w:p>
        </w:tc>
      </w:tr>
      <w:tr>
        <w:trPr>
          <w:trHeight w:val="237"/>
        </w:trPr>
        <w:tc>
          <w:tcPr>
            <w:tcW w:w="20" w:type="dxa"/>
            <w:vAlign w:val="bottom"/>
          </w:tcPr>
          <w:p>
            <w:pPr>
              <w:spacing w:after="0"/>
              <w:rPr>
                <w:sz w:val="20"/>
                <w:szCs w:val="20"/>
                <w:color w:val="auto"/>
              </w:rPr>
            </w:pPr>
          </w:p>
        </w:tc>
        <w:tc>
          <w:tcPr>
            <w:tcW w:w="3960" w:type="dxa"/>
            <w:vAlign w:val="bottom"/>
            <w:gridSpan w:val="2"/>
          </w:tcPr>
          <w:p>
            <w:pPr>
              <w:ind w:left="6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28,403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83,495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81,590</w:t>
            </w: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42,646</w:t>
            </w:r>
          </w:p>
        </w:tc>
      </w:tr>
      <w:tr>
        <w:trPr>
          <w:trHeight w:val="243"/>
        </w:trPr>
        <w:tc>
          <w:tcPr>
            <w:tcW w:w="20" w:type="dxa"/>
            <w:vAlign w:val="bottom"/>
          </w:tcPr>
          <w:p>
            <w:pPr>
              <w:spacing w:after="0"/>
              <w:rPr>
                <w:sz w:val="21"/>
                <w:szCs w:val="21"/>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12,794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14,147</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r>
      <w:tr>
        <w:trPr>
          <w:trHeight w:val="243"/>
        </w:trPr>
        <w:tc>
          <w:tcPr>
            <w:tcW w:w="20" w:type="dxa"/>
            <w:vAlign w:val="bottom"/>
          </w:tcPr>
          <w:p>
            <w:pPr>
              <w:spacing w:after="0"/>
              <w:rPr>
                <w:sz w:val="21"/>
                <w:szCs w:val="21"/>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(2,037)</w:t>
            </w: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28,375</w:t>
            </w:r>
          </w:p>
        </w:tc>
      </w:tr>
      <w:tr>
        <w:trPr>
          <w:trHeight w:val="243"/>
        </w:trPr>
        <w:tc>
          <w:tcPr>
            <w:tcW w:w="20" w:type="dxa"/>
            <w:vAlign w:val="bottom"/>
          </w:tcPr>
          <w:p>
            <w:pPr>
              <w:spacing w:after="0"/>
              <w:rPr>
                <w:sz w:val="21"/>
                <w:szCs w:val="21"/>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2,116</w:t>
            </w: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360"/>
          </w:cols>
          <w:pgMar w:left="240" w:top="175"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Periods Ended September 30, 2018 and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Segment revenues are summarized by product as follows:</w:t>
      </w:r>
    </w:p>
    <w:p>
      <w:pPr>
        <w:spacing w:after="0" w:line="167"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2"/>
              </w:rPr>
              <w:t>Three Months Ended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6"/>
              </w:rPr>
              <w:t>Nine Months Ended</w:t>
            </w:r>
          </w:p>
        </w:tc>
        <w:tc>
          <w:tcPr>
            <w:tcW w:w="10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5"/>
          </w:tcPr>
          <w:p>
            <w:pPr>
              <w:ind w:left="340"/>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Change</w:t>
            </w: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Change</w:t>
            </w:r>
          </w:p>
        </w:tc>
      </w:tr>
      <w:tr>
        <w:trPr>
          <w:trHeight w:val="194"/>
        </w:trPr>
        <w:tc>
          <w:tcPr>
            <w:tcW w:w="21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6"/>
                <w:szCs w:val="16"/>
                <w:color w:val="auto"/>
              </w:rPr>
            </w:pPr>
          </w:p>
        </w:tc>
        <w:tc>
          <w:tcPr>
            <w:tcW w:w="74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08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w:t>
            </w: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2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160" w:type="dxa"/>
            <w:vAlign w:val="bottom"/>
            <w:gridSpan w:val="2"/>
          </w:tcPr>
          <w:p>
            <w:pPr>
              <w:ind w:left="360"/>
              <w:spacing w:after="0"/>
              <w:rPr>
                <w:sz w:val="20"/>
                <w:szCs w:val="20"/>
                <w:color w:val="auto"/>
              </w:rPr>
            </w:pPr>
            <w:r>
              <w:rPr>
                <w:rFonts w:ascii="Arial" w:cs="Arial" w:eastAsia="Arial" w:hAnsi="Arial"/>
                <w:sz w:val="18"/>
                <w:szCs w:val="18"/>
                <w:color w:val="auto"/>
              </w:rPr>
              <w:t>DEFINITY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42,472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36,901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5,571</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131,081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113,035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18,046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16.0 %</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TechneLite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20" w:type="dxa"/>
            <w:vAlign w:val="bottom"/>
          </w:tcPr>
          <w:p>
            <w:pPr>
              <w:spacing w:after="0"/>
              <w:rPr>
                <w:sz w:val="21"/>
                <w:szCs w:val="21"/>
                <w:color w:val="auto"/>
              </w:rPr>
            </w:pPr>
          </w:p>
        </w:tc>
        <w:tc>
          <w:tcPr>
            <w:tcW w:w="2160" w:type="dxa"/>
            <w:vAlign w:val="bottom"/>
            <w:gridSpan w:val="2"/>
          </w:tcPr>
          <w:p>
            <w:pPr>
              <w:ind w:left="360"/>
              <w:spacing w:after="0"/>
              <w:rPr>
                <w:sz w:val="20"/>
                <w:szCs w:val="20"/>
                <w:color w:val="auto"/>
              </w:rPr>
            </w:pPr>
            <w:r>
              <w:rPr>
                <w:rFonts w:ascii="Arial" w:cs="Arial" w:eastAsia="Arial" w:hAnsi="Arial"/>
                <w:sz w:val="18"/>
                <w:szCs w:val="18"/>
                <w:color w:val="auto"/>
              </w:rPr>
              <w:t>Xenon</w:t>
            </w:r>
          </w:p>
        </w:tc>
        <w:tc>
          <w:tcPr>
            <w:tcW w:w="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7,239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7,726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23,709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(7,649)</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37"/>
        </w:trPr>
        <w:tc>
          <w:tcPr>
            <w:tcW w:w="2180" w:type="dxa"/>
            <w:vAlign w:val="bottom"/>
            <w:gridSpan w:val="3"/>
          </w:tcPr>
          <w:p>
            <w:pPr>
              <w:ind w:left="20"/>
              <w:spacing w:after="0"/>
              <w:rPr>
                <w:sz w:val="20"/>
                <w:szCs w:val="20"/>
                <w:color w:val="auto"/>
              </w:rPr>
            </w:pPr>
            <w:r>
              <w:rPr>
                <w:rFonts w:ascii="Arial" w:cs="Arial" w:eastAsia="Arial" w:hAnsi="Arial"/>
                <w:sz w:val="18"/>
                <w:szCs w:val="18"/>
                <w:color w:val="auto"/>
              </w:rPr>
              <w:t>Total U.S. revenues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70,255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69,579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215,829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218,706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160" w:type="dxa"/>
            <w:vAlign w:val="bottom"/>
            <w:gridSpan w:val="2"/>
          </w:tcPr>
          <w:p>
            <w:pPr>
              <w:ind w:left="360"/>
              <w:spacing w:after="0"/>
              <w:rPr>
                <w:sz w:val="20"/>
                <w:szCs w:val="20"/>
                <w:color w:val="auto"/>
              </w:rPr>
            </w:pPr>
            <w:r>
              <w:rPr>
                <w:rFonts w:ascii="Arial" w:cs="Arial" w:eastAsia="Arial" w:hAnsi="Arial"/>
                <w:sz w:val="18"/>
                <w:szCs w:val="18"/>
                <w:color w:val="auto"/>
              </w:rPr>
              <w:t>DEFINITY</w:t>
            </w:r>
          </w:p>
        </w:tc>
        <w:tc>
          <w:tcPr>
            <w:tcW w:w="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35.2 %</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TechneLite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74.1 %</w:t>
            </w:r>
          </w:p>
        </w:tc>
      </w:tr>
      <w:tr>
        <w:trPr>
          <w:trHeight w:val="243"/>
        </w:trPr>
        <w:tc>
          <w:tcPr>
            <w:tcW w:w="20" w:type="dxa"/>
            <w:vAlign w:val="bottom"/>
          </w:tcPr>
          <w:p>
            <w:pPr>
              <w:spacing w:after="0"/>
              <w:rPr>
                <w:sz w:val="21"/>
                <w:szCs w:val="21"/>
                <w:color w:val="auto"/>
              </w:rPr>
            </w:pPr>
          </w:p>
        </w:tc>
        <w:tc>
          <w:tcPr>
            <w:tcW w:w="2160" w:type="dxa"/>
            <w:vAlign w:val="bottom"/>
            <w:gridSpan w:val="2"/>
          </w:tcPr>
          <w:p>
            <w:pPr>
              <w:ind w:left="360"/>
              <w:spacing w:after="0"/>
              <w:rPr>
                <w:sz w:val="20"/>
                <w:szCs w:val="20"/>
                <w:color w:val="auto"/>
              </w:rPr>
            </w:pPr>
            <w:r>
              <w:rPr>
                <w:rFonts w:ascii="Arial" w:cs="Arial" w:eastAsia="Arial" w:hAnsi="Arial"/>
                <w:sz w:val="18"/>
                <w:szCs w:val="18"/>
                <w:color w:val="auto"/>
              </w:rPr>
              <w:t>Xenon</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09"/>
        </w:trPr>
        <w:tc>
          <w:tcPr>
            <w:tcW w:w="2180" w:type="dxa"/>
            <w:vAlign w:val="bottom"/>
            <w:gridSpan w:val="3"/>
          </w:tcPr>
          <w:p>
            <w:pPr>
              <w:ind w:left="20"/>
              <w:spacing w:after="0"/>
              <w:rPr>
                <w:sz w:val="20"/>
                <w:szCs w:val="20"/>
                <w:color w:val="auto"/>
              </w:rPr>
            </w:pPr>
            <w:r>
              <w:rPr>
                <w:rFonts w:ascii="Arial" w:cs="Arial" w:eastAsia="Arial" w:hAnsi="Arial"/>
                <w:sz w:val="18"/>
                <w:szCs w:val="18"/>
                <w:color w:val="auto"/>
              </w:rPr>
              <w:t>Total International</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0"/>
        </w:trPr>
        <w:tc>
          <w:tcPr>
            <w:tcW w:w="2180" w:type="dxa"/>
            <w:vAlign w:val="bottom"/>
            <w:gridSpan w:val="3"/>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18,645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10,362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8,283</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31,431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9,843</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31.3 %</w:t>
            </w: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8,959</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250,137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increase in the U.S. segment revenues for the three months ended September 30, 2018, as compared to the prior year period is primarily due to an increase of $5.6 million in DEFINITY revenues as a result of higher unit volumes. This was offset by a $3.2 million decrease in TechneLite revenues primarily as a result of lower unit volumes due to a temporary supplier disruption and a change in contracted volumes from certain customers, a $0.5 million decrease in other product revenues due primarily to timing of shipments, a $0.5 million decrease in Xenon revenues due to lower volume and a $0.5 million increase in rebate and allowance provisions.</w:t>
      </w:r>
    </w:p>
    <w:p>
      <w:pPr>
        <w:spacing w:after="0" w:line="188"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The decrease in the U.S. segment revenues for the nine months ended September 30, 2018, as compared to the prior year period is primarily due to a $12.4 million decrease in TechneLite revenues primarily as a result of lower unit volumes due to a temporary supplier disruption and a change in contracted volumes from certain customers, a decrease of approximately $5.0 million in other revenue associated with the License Agreement with GE Healthcare in exchange for rights to the continued Phase 3 development and worldwide commercialization of flurpiridaz F 18 which was recorded in the second quarter of the prior year, a $2.0 million increase in rebate and allowance provisions, $0.9 million decrease in Xenon revenues due to lower volume and $0.7 million decrease in other product revenues due primarily to timing of shipments. Offsetting these decreases was an increase of $18.0 million in DEFINITY revenues as a result of higher unit volumes.</w:t>
      </w:r>
    </w:p>
    <w:p>
      <w:pPr>
        <w:spacing w:after="0" w:line="178"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increase in the International segment revenues for the three months ended September 30, 2018, as compared to the prior year period is primarily due to a $7.5 million increase in TechneLite revenues primarily driven by increased volume as a result of temporary incremental demand, a $0.5 million increase in DEFINITY revenues as a result of higher unit volumes and $0.3 million in other product revenue due to timing of shipments.</w:t>
      </w:r>
    </w:p>
    <w:p>
      <w:pPr>
        <w:spacing w:after="0" w:line="16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increase in the International segment revenues for the nine months ended September 30, 2018, as compared to the prior year period is primarily due to a $8.0 million increase in TechneLite revenues primarily driven by increased volume as a result of temporary incremental demand, a $0.9 million increase in DEFINITY revenues as a result of higher unit volumes, a $0.7 million increase in Thallium revenues as a result of higher volumes and $0.3 million in other product revenue due to timing of shipments.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75"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 and Allowances</w:t>
      </w:r>
    </w:p>
    <w:p>
      <w:pPr>
        <w:spacing w:after="0" w:line="117"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Estimates for rebates and allowances represent our estimated obligations under contractual arrangements with third parties. Rebate accruals and allowances are recorded in the same period the related revenue is recognized, resulting in a reduction to other revenue and the establishment of a liability which is included in accrued expenses. These rebates and allowances result from performance-based offers that are primarily based on attaining contractually specified sales volumes and growth, Medicaid rebate programs for our products, administrative fees of group purchasing organizations, royalties and certain distributor related commissions. The calculation of the accrual for these rebates and allowances is based on an estimate of the third-party’s buying patterns and the resulting applicable contractual rebate or commission rate(s) to be earned over a contractual period.</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 analysis of the amount of, and change in, reserves is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1"/>
              </w:rPr>
              <w:t>Rebates and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5"/>
          </w:tcPr>
          <w:p>
            <w:pPr>
              <w:jc w:val="right"/>
              <w:ind w:right="540"/>
              <w:spacing w:after="0" w:line="194" w:lineRule="exact"/>
              <w:rPr>
                <w:sz w:val="20"/>
                <w:szCs w:val="20"/>
                <w:color w:val="auto"/>
              </w:rPr>
            </w:pPr>
            <w:r>
              <w:rPr>
                <w:rFonts w:ascii="Arial" w:cs="Arial" w:eastAsia="Arial" w:hAnsi="Arial"/>
                <w:sz w:val="18"/>
                <w:szCs w:val="18"/>
                <w:b w:val="1"/>
                <w:bCs w:val="1"/>
                <w:color w:val="auto"/>
                <w:w w:val="94"/>
              </w:rPr>
              <w:t>Allowances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Borders>
              <w:top w:val="single" w:sz="8" w:color="auto"/>
              <w:bottom w:val="single" w:sz="8" w:color="CCEEFF"/>
            </w:tcBorders>
          </w:tcPr>
          <w:p>
            <w:pPr>
              <w:spacing w:after="0"/>
              <w:rPr>
                <w:sz w:val="4"/>
                <w:szCs w:val="4"/>
                <w:color w:val="auto"/>
              </w:rPr>
            </w:pPr>
          </w:p>
        </w:tc>
        <w:tc>
          <w:tcPr>
            <w:tcW w:w="820" w:type="dxa"/>
            <w:vAlign w:val="bottom"/>
            <w:tcBorders>
              <w:top w:val="single" w:sz="8" w:color="auto"/>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40" w:type="dxa"/>
            <w:vAlign w:val="bottom"/>
            <w:tcBorders>
              <w:right w:val="single" w:sz="8" w:color="CCEEFF"/>
            </w:tcBorders>
          </w:tcPr>
          <w:p>
            <w:pPr>
              <w:spacing w:after="0"/>
              <w:rPr>
                <w:sz w:val="21"/>
                <w:szCs w:val="21"/>
                <w:color w:val="auto"/>
              </w:rPr>
            </w:pPr>
          </w:p>
        </w:tc>
        <w:tc>
          <w:tcPr>
            <w:tcW w:w="25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Balance, January 1, 2018</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2,860</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8"/>
                <w:szCs w:val="18"/>
                <w:color w:val="auto"/>
                <w:w w:val="95"/>
              </w:rPr>
              <w:t>Provision related to current period revenues</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9,609</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1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0" w:type="dxa"/>
            <w:vAlign w:val="bottom"/>
            <w:tcBorders>
              <w:right w:val="single" w:sz="8" w:color="CCEEFF"/>
            </w:tcBorders>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gridSpan w:val="8"/>
            <w:shd w:val="clear" w:color="auto" w:fill="CCEEFF"/>
          </w:tcPr>
          <w:p>
            <w:pPr>
              <w:ind w:left="80"/>
              <w:spacing w:after="0"/>
              <w:rPr>
                <w:sz w:val="20"/>
                <w:szCs w:val="20"/>
                <w:color w:val="auto"/>
              </w:rPr>
            </w:pPr>
            <w:r>
              <w:rPr>
                <w:rFonts w:ascii="Arial" w:cs="Arial" w:eastAsia="Arial" w:hAnsi="Arial"/>
                <w:sz w:val="18"/>
                <w:szCs w:val="18"/>
                <w:color w:val="auto"/>
                <w:w w:val="93"/>
              </w:rPr>
              <w:t>Adjustments relating to prior period revenues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8"/>
                <w:szCs w:val="18"/>
                <w:color w:val="auto"/>
                <w:w w:val="95"/>
              </w:rPr>
              <w:t>Payments or credits made during the period</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(7,885)</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40" w:type="dxa"/>
            <w:vAlign w:val="bottom"/>
            <w:tcBorders>
              <w:right w:val="single" w:sz="8" w:color="CCEEFF"/>
            </w:tcBorders>
          </w:tcPr>
          <w:p>
            <w:pPr>
              <w:spacing w:after="0"/>
              <w:rPr>
                <w:sz w:val="21"/>
                <w:szCs w:val="21"/>
                <w:color w:val="auto"/>
              </w:rPr>
            </w:pPr>
          </w:p>
        </w:tc>
        <w:tc>
          <w:tcPr>
            <w:tcW w:w="25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Balance, September 30, 2018</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4,293</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Borders>
              <w:right w:val="single" w:sz="8" w:color="CCEEFF"/>
            </w:tcBorders>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340" w:type="dxa"/>
            <w:vAlign w:val="bottom"/>
            <w:gridSpan w:val="5"/>
            <w:vMerge w:val="restart"/>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34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540" w:type="dxa"/>
            <w:vAlign w:val="bottom"/>
            <w:gridSpan w:val="10"/>
          </w:tcPr>
          <w:p>
            <w:pPr>
              <w:ind w:left="380"/>
              <w:spacing w:after="0"/>
              <w:rPr>
                <w:sz w:val="20"/>
                <w:szCs w:val="20"/>
                <w:color w:val="auto"/>
              </w:rPr>
            </w:pPr>
            <w:r>
              <w:rPr>
                <w:rFonts w:ascii="Arial" w:cs="Arial" w:eastAsia="Arial" w:hAnsi="Arial"/>
                <w:sz w:val="18"/>
                <w:szCs w:val="18"/>
                <w:color w:val="auto"/>
              </w:rPr>
              <w:t>Gross profit is summarized by segment as follows: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w w:val="97"/>
              </w:rPr>
              <w:t>Nine Months Ended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3"/>
              </w:rPr>
              <w:t>Change</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w w:val="84"/>
              </w:rPr>
              <w:t>Change</w:t>
            </w:r>
          </w:p>
        </w:tc>
        <w:tc>
          <w:tcPr>
            <w:tcW w:w="0" w:type="dxa"/>
            <w:vAlign w:val="bottom"/>
          </w:tcPr>
          <w:p>
            <w:pPr>
              <w:spacing w:after="0"/>
              <w:rPr>
                <w:sz w:val="1"/>
                <w:szCs w:val="1"/>
                <w:color w:val="auto"/>
              </w:rPr>
            </w:pPr>
          </w:p>
        </w:tc>
      </w:tr>
      <w:tr>
        <w:trPr>
          <w:trHeight w:val="194"/>
        </w:trPr>
        <w:tc>
          <w:tcPr>
            <w:tcW w:w="2340" w:type="dxa"/>
            <w:vAlign w:val="bottom"/>
            <w:gridSpan w:val="5"/>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6"/>
                <w:szCs w:val="16"/>
                <w:color w:val="auto"/>
              </w:rPr>
            </w:pPr>
          </w:p>
        </w:tc>
        <w:tc>
          <w:tcPr>
            <w:tcW w:w="78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230"/>
              <w:spacing w:after="0" w:line="194"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260" w:type="dxa"/>
            <w:vAlign w:val="bottom"/>
            <w:tcBorders>
              <w:top w:val="single" w:sz="8" w:color="auto"/>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118,481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340" w:type="dxa"/>
            <w:vAlign w:val="bottom"/>
            <w:gridSpan w:val="5"/>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4,692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9,877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5,755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gross profit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124,236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increase in the U.S. segment gross profit for the three months ended September 30, 2018 over the prior year period is primarily due to the higher DEFINITY unit volumes.</w:t>
      </w:r>
    </w:p>
    <w:p>
      <w:pPr>
        <w:spacing w:after="0" w:line="170"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increase in the U.S. segment gross profit for the nine months ended September 30, 2018 over the prior year period is primarily due to higher DEFINITY unit volumes. This was offset by the recognition of approximately $5.0 million in the prior year period in other revenue associated with the License Agreement with GE Healthcare for the continued Phase 3 development and worldwide commercialization of flurpiridaz F 18 without any associated cost of goods sold, lower TechneLite unit volumes and an increase in excess and obsolete inventory reserve of other materials.</w:t>
      </w:r>
    </w:p>
    <w:p>
      <w:pPr>
        <w:spacing w:after="0" w:line="17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increase in the International segment gross profit for the three and nine months ended September 30, 2018 over the prior year periods is primarily due to higher TechneLite and other product unit volumes.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Sales and marketing expenses consist primarily of salaries and other related costs for personnel in field sales, marketing, business development and customer service functions. Other costs in sales and marketing expenses include the development and printing of advertising and promotional material, professional services, market research and sales meetings.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and marketing expense is summarized by segment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1"/>
              </w:rPr>
              <w:t>Nine Months Ended</w:t>
            </w:r>
          </w:p>
        </w:tc>
        <w:tc>
          <w:tcPr>
            <w:tcW w:w="10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10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Change</w:t>
            </w:r>
          </w:p>
        </w:tc>
      </w:tr>
      <w:tr>
        <w:trPr>
          <w:trHeight w:val="194"/>
        </w:trPr>
        <w:tc>
          <w:tcPr>
            <w:tcW w:w="320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6"/>
                <w:szCs w:val="16"/>
                <w:color w:val="auto"/>
              </w:rPr>
            </w:pPr>
          </w:p>
        </w:tc>
        <w:tc>
          <w:tcPr>
            <w:tcW w:w="7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00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04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0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sales and marketing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75"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increase in the U.S. segment sales and marketing expenses for the three months ended September 30, 2018 over the prior year period is primarily due to employee-related expenses.</w:t>
      </w:r>
    </w:p>
    <w:p>
      <w:pPr>
        <w:spacing w:after="0" w:line="170"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increase in the U.S. segment sales and marketing expenses for the nine months ended September 30, 2018 over the prior year period is primarily due to employee-related expenses and market research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General and administrative expense is summarized by segment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2"/>
              </w:rPr>
              <w:t>Nine Months Ended</w:t>
            </w:r>
          </w:p>
        </w:tc>
        <w:tc>
          <w:tcPr>
            <w:tcW w:w="98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5"/>
          </w:tcPr>
          <w:p>
            <w:pPr>
              <w:ind w:left="30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Change</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w:t>
            </w:r>
          </w:p>
        </w:tc>
      </w:tr>
      <w:tr>
        <w:trPr>
          <w:trHeight w:val="194"/>
        </w:trPr>
        <w:tc>
          <w:tcPr>
            <w:tcW w:w="326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6"/>
                <w:szCs w:val="16"/>
                <w:color w:val="auto"/>
              </w:rPr>
            </w:pPr>
          </w:p>
        </w:tc>
        <w:tc>
          <w:tcPr>
            <w:tcW w:w="70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98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98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3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3260" w:type="dxa"/>
            <w:vAlign w:val="bottom"/>
            <w:gridSpan w:val="3"/>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general and administrative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35,549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increase in the U.S. segment general and administrative expenses for the three months ended September 30, 2018 over the prior year period is primarily due to higher employee-related expenses and legal fees offset by lower information technology costs.</w:t>
      </w:r>
    </w:p>
    <w:p>
      <w:pPr>
        <w:spacing w:after="0" w:line="62"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 increase in the U.S. segment general and administrative expenses for the nine months ended September 30, 2018 over the prior year period is primarily due to higher employee-related expenses and higher legal costs offset by non-recurrence of $1.7 million of debt refinancing costs incurred in the prior year period, lower information technology costs and campus consolidation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Research and development expenses relate primarily to the development of new products to add to our portfolio and costs related to our medical affairs, medical information and regulatory functions. We do not allocate research and development expenses incurred in the U.S. to our International segment.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Research and development expense is summarized by segment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1"/>
              </w:rPr>
              <w:t>Nine Months Ended</w:t>
            </w:r>
          </w:p>
        </w:tc>
        <w:tc>
          <w:tcPr>
            <w:tcW w:w="10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Change</w:t>
            </w:r>
          </w:p>
        </w:tc>
      </w:tr>
      <w:tr>
        <w:trPr>
          <w:trHeight w:val="194"/>
        </w:trPr>
        <w:tc>
          <w:tcPr>
            <w:tcW w:w="320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6"/>
                <w:szCs w:val="16"/>
                <w:color w:val="auto"/>
              </w:rPr>
            </w:pPr>
          </w:p>
        </w:tc>
        <w:tc>
          <w:tcPr>
            <w:tcW w:w="70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02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020" w:type="dxa"/>
            <w:vAlign w:val="bottom"/>
          </w:tcPr>
          <w:p>
            <w:pPr>
              <w:jc w:val="right"/>
              <w:ind w:right="330"/>
              <w:spacing w:after="0" w:line="194" w:lineRule="exact"/>
              <w:rPr>
                <w:sz w:val="20"/>
                <w:szCs w:val="20"/>
                <w:color w:val="auto"/>
              </w:rPr>
            </w:pPr>
            <w:r>
              <w:rPr>
                <w:rFonts w:ascii="Arial" w:cs="Arial" w:eastAsia="Arial" w:hAnsi="Arial"/>
                <w:sz w:val="18"/>
                <w:szCs w:val="18"/>
                <w:b w:val="1"/>
                <w:bCs w:val="1"/>
                <w:color w:val="auto"/>
              </w:rPr>
              <w:t>%</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20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38.0 %</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research and development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increase in the U.S. segment research and development expenses for the three months ended September 30, 2018 over the prior year period is primarily due to clinical research expenses related to DEFINITY studies and higher employee-related expenses.</w:t>
      </w:r>
    </w:p>
    <w:p>
      <w:pPr>
        <w:spacing w:after="0" w:line="62"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The decrease in the U.S. segment research and development expenses for the nine months ended September 30, 2018 over the prior year period is primarily due to a decrease in depreciation expense resulting from the decommissioning of certain long-lived assets associated with research and development operations offset by higher employee-related expenses and clinical research expenses related to DEFINITY studies.</w:t>
      </w:r>
    </w:p>
    <w:p>
      <w:pPr>
        <w:spacing w:after="0" w:line="5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increase in the International segment research and development expenses for the nine months ended September 30, 2018 over the prior year period is driven by a European Phase 4 study for one of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Interest expense decreased by approximately $1.4 million for the nine months ended September 30, 2018 as compared to the prior year period due to comparatively lower outstanding principal balances and effective interest rates on our long-term debt during the period as a result of our March 2017 refinancing.</w:t>
      </w:r>
    </w:p>
    <w:p>
      <w:pPr>
        <w:sectPr>
          <w:pgSz w:w="11900" w:h="16838" w:orient="portrait"/>
          <w:cols w:equalWidth="0" w:num="1">
            <w:col w:w="11420"/>
          </w:cols>
          <w:pgMar w:left="240" w:top="17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75"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For the nine months ended September 30, 2017, we incurred a $2.2 million loss on extinguishment of debt in connection with the refinancing of our existing indebtedness with the new term loan and revolving credit facilities, see Note 9, “Financing Arrangements”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tax expense for the periods presented is summarized as follows:</w:t>
      </w:r>
    </w:p>
    <w:p>
      <w:pPr>
        <w:spacing w:after="0" w:line="167"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5"/>
          </w:tcPr>
          <w:p>
            <w:pPr>
              <w:ind w:left="60"/>
              <w:spacing w:after="0"/>
              <w:rPr>
                <w:sz w:val="20"/>
                <w:szCs w:val="20"/>
                <w:color w:val="auto"/>
              </w:rPr>
            </w:pPr>
            <w:r>
              <w:rPr>
                <w:rFonts w:ascii="Arial" w:cs="Arial" w:eastAsia="Arial" w:hAnsi="Arial"/>
                <w:sz w:val="18"/>
                <w:szCs w:val="18"/>
                <w:b w:val="1"/>
                <w:bCs w:val="1"/>
                <w:color w:val="auto"/>
              </w:rPr>
              <w:t>Nine Months Ended</w:t>
            </w:r>
          </w:p>
        </w:tc>
        <w:tc>
          <w:tcPr>
            <w:tcW w:w="10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5"/>
          </w:tcPr>
          <w:p>
            <w:pPr>
              <w:ind w:left="320"/>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Change</w:t>
            </w:r>
          </w:p>
        </w:tc>
        <w:tc>
          <w:tcPr>
            <w:tcW w:w="1320" w:type="dxa"/>
            <w:vAlign w:val="bottom"/>
            <w:gridSpan w:val="3"/>
          </w:tcPr>
          <w:p>
            <w:pPr>
              <w:ind w:left="20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Change</w:t>
            </w:r>
          </w:p>
        </w:tc>
        <w:tc>
          <w:tcPr>
            <w:tcW w:w="1040" w:type="dxa"/>
            <w:vAlign w:val="bottom"/>
          </w:tcPr>
          <w:p>
            <w:pPr>
              <w:ind w:left="220"/>
              <w:spacing w:after="0"/>
              <w:rPr>
                <w:sz w:val="20"/>
                <w:szCs w:val="20"/>
                <w:color w:val="auto"/>
              </w:rPr>
            </w:pPr>
            <w:r>
              <w:rPr>
                <w:rFonts w:ascii="Arial" w:cs="Arial" w:eastAsia="Arial" w:hAnsi="Arial"/>
                <w:sz w:val="18"/>
                <w:szCs w:val="18"/>
                <w:b w:val="1"/>
                <w:bCs w:val="1"/>
                <w:color w:val="auto"/>
              </w:rPr>
              <w:t>Change</w:t>
            </w:r>
          </w:p>
        </w:tc>
      </w:tr>
      <w:tr>
        <w:trPr>
          <w:trHeight w:val="194"/>
        </w:trPr>
        <w:tc>
          <w:tcPr>
            <w:tcW w:w="20" w:type="dxa"/>
            <w:vAlign w:val="bottom"/>
          </w:tcPr>
          <w:p>
            <w:pPr>
              <w:spacing w:after="0"/>
              <w:rPr>
                <w:sz w:val="16"/>
                <w:szCs w:val="16"/>
                <w:color w:val="auto"/>
              </w:rPr>
            </w:pPr>
          </w:p>
        </w:tc>
        <w:tc>
          <w:tcPr>
            <w:tcW w:w="21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6"/>
                <w:szCs w:val="16"/>
                <w:color w:val="auto"/>
              </w:rPr>
            </w:pPr>
          </w:p>
        </w:tc>
        <w:tc>
          <w:tcPr>
            <w:tcW w:w="74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020" w:type="dxa"/>
            <w:vAlign w:val="bottom"/>
          </w:tcPr>
          <w:p>
            <w:pPr>
              <w:ind w:left="42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ind w:left="80"/>
              <w:spacing w:after="0" w:line="194"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040" w:type="dxa"/>
            <w:vAlign w:val="bottom"/>
          </w:tcPr>
          <w:p>
            <w:pPr>
              <w:ind w:left="420"/>
              <w:spacing w:after="0" w:line="194" w:lineRule="exact"/>
              <w:rPr>
                <w:sz w:val="20"/>
                <w:szCs w:val="20"/>
                <w:color w:val="auto"/>
              </w:rPr>
            </w:pPr>
            <w:r>
              <w:rPr>
                <w:rFonts w:ascii="Arial" w:cs="Arial" w:eastAsia="Arial" w:hAnsi="Arial"/>
                <w:sz w:val="18"/>
                <w:szCs w:val="18"/>
                <w:b w:val="1"/>
                <w:bCs w:val="1"/>
                <w:color w:val="auto"/>
              </w:rPr>
              <w:t>%</w:t>
            </w:r>
          </w:p>
        </w:tc>
      </w:tr>
      <w:tr>
        <w:trPr>
          <w:trHeight w:val="48"/>
        </w:trPr>
        <w:tc>
          <w:tcPr>
            <w:tcW w:w="2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37"/>
        </w:trPr>
        <w:tc>
          <w:tcPr>
            <w:tcW w:w="2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2,804</w:t>
            </w:r>
          </w:p>
        </w:tc>
        <w:tc>
          <w:tcPr>
            <w:tcW w:w="12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368.0%  $</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7,465</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352.8%</w:t>
            </w:r>
          </w:p>
        </w:tc>
      </w:tr>
      <w:tr>
        <w:trPr>
          <w:trHeight w:val="27"/>
        </w:trPr>
        <w:tc>
          <w:tcPr>
            <w:tcW w:w="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provide for income tax expense based on the estimated annual effective tax rate for the full year, adjusted for any discrete events which are recorded in the period they occur.</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effective tax rate for the periods presented are as follows:</w:t>
      </w:r>
    </w:p>
    <w:p>
      <w:pPr>
        <w:spacing w:after="0" w:line="167"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22860</wp:posOffset>
            </wp:positionV>
            <wp:extent cx="16554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8" w:lineRule="exact"/>
        <w:rPr>
          <w:sz w:val="20"/>
          <w:szCs w:val="20"/>
          <w:color w:val="auto"/>
        </w:rPr>
      </w:pPr>
    </w:p>
    <w:tbl>
      <w:tblPr>
        <w:tblLayout w:type="fixed"/>
        <w:tblInd w:w="284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3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7.5%</w:t>
            </w:r>
          </w:p>
        </w:tc>
      </w:tr>
      <w:tr>
        <w:trPr>
          <w:trHeight w:val="27"/>
        </w:trPr>
        <w:tc>
          <w:tcPr>
            <w:tcW w:w="3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Our effective tax rate in fiscal 2018 differs from the U.S. statutory rate of 21% principally due to the impact of U.S. state taxes and the accrual of interest on uncertain tax positions offset by tax benefits arising from stock compensation deductions.</w:t>
      </w:r>
    </w:p>
    <w:p>
      <w:pPr>
        <w:spacing w:after="0" w:line="170"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The increase in effective income tax rate for the nine months ended September 30, 2018 was due to the fact that we were maintaining a full valuation allowance on our domestic and most of our foreign net deferred tax assets prior to December 31, 2017, at which time the valuation allowance related to our domestic net deferred tax assets was released.</w:t>
      </w:r>
    </w:p>
    <w:p>
      <w:pPr>
        <w:spacing w:after="0" w:line="181"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As a result, the income tax expense for the three and nine months ended September 30, 2018 was primarily due to the income generated in the period and the accrual of interest associated with uncertain tax positions offset by tax benefits arising from stock compensation deductions. The income tax expense for the three and nine months ended September 30, 2017 is primarily from the accrual of interest on uncertain tax positions.</w:t>
      </w:r>
    </w:p>
    <w:p>
      <w:pPr>
        <w:spacing w:after="0" w:line="166"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regularly assess our ability to realize our deferred tax assets. Assessing the realizability of deferred tax assets requires significant management judgment. In determining whether our deferred tax assets are more-likely-than-not realizable, we evaluate all available positive and negative evidence, and weigh the objective evidence and expected impact. We released the full valuation allowance recorded against our domestic deferred tax assets during the year ended December 31, 2017. We continue to record a valuation allowance against certain of our foreign net deferred tax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24"/>
        </w:trPr>
        <w:tc>
          <w:tcPr>
            <w:tcW w:w="5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Flows</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4"/>
        </w:trPr>
        <w:tc>
          <w:tcPr>
            <w:tcW w:w="5440" w:type="dxa"/>
            <w:vAlign w:val="bottom"/>
            <w:gridSpan w:val="3"/>
          </w:tcPr>
          <w:p>
            <w:pPr>
              <w:ind w:left="420"/>
              <w:spacing w:after="0"/>
              <w:rPr>
                <w:sz w:val="20"/>
                <w:szCs w:val="20"/>
                <w:color w:val="auto"/>
              </w:rPr>
            </w:pPr>
            <w:r>
              <w:rPr>
                <w:rFonts w:ascii="Arial" w:cs="Arial" w:eastAsia="Arial" w:hAnsi="Arial"/>
                <w:sz w:val="18"/>
                <w:szCs w:val="18"/>
                <w:color w:val="auto"/>
                <w:w w:val="95"/>
              </w:rPr>
              <w:t>The following table provides information regarding our cash flows:</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0"/>
        </w:trPr>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1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1800" w:type="dxa"/>
            <w:vAlign w:val="bottom"/>
          </w:tcPr>
          <w:p>
            <w:pPr>
              <w:spacing w:after="0"/>
              <w:rPr>
                <w:sz w:val="17"/>
                <w:szCs w:val="17"/>
                <w:color w:val="auto"/>
              </w:rPr>
            </w:pPr>
          </w:p>
        </w:tc>
        <w:tc>
          <w:tcPr>
            <w:tcW w:w="36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1800" w:type="dxa"/>
            <w:vAlign w:val="bottom"/>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56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4"/>
        </w:trPr>
        <w:tc>
          <w:tcPr>
            <w:tcW w:w="1800" w:type="dxa"/>
            <w:vAlign w:val="bottom"/>
            <w:tcBorders>
              <w:right w:val="single" w:sz="8" w:color="CCEEFF"/>
            </w:tcBorders>
          </w:tcPr>
          <w:p>
            <w:pPr>
              <w:spacing w:after="0"/>
              <w:rPr>
                <w:sz w:val="21"/>
                <w:szCs w:val="21"/>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41,691</w:t>
            </w:r>
          </w:p>
        </w:tc>
      </w:tr>
      <w:tr>
        <w:trPr>
          <w:trHeight w:val="243"/>
        </w:trPr>
        <w:tc>
          <w:tcPr>
            <w:tcW w:w="1800" w:type="dxa"/>
            <w:vAlign w:val="bottom"/>
          </w:tcPr>
          <w:p>
            <w:pPr>
              <w:spacing w:after="0"/>
              <w:rPr>
                <w:sz w:val="21"/>
                <w:szCs w:val="21"/>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(11,766)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(10,355)</w:t>
            </w:r>
          </w:p>
        </w:tc>
      </w:tr>
      <w:tr>
        <w:trPr>
          <w:trHeight w:val="27"/>
        </w:trPr>
        <w:tc>
          <w:tcPr>
            <w:tcW w:w="1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800" w:type="dxa"/>
            <w:vAlign w:val="bottom"/>
            <w:tcBorders>
              <w:right w:val="single" w:sz="8" w:color="CCEEFF"/>
            </w:tcBorders>
          </w:tcPr>
          <w:p>
            <w:pPr>
              <w:spacing w:after="0"/>
              <w:rPr>
                <w:sz w:val="21"/>
                <w:szCs w:val="21"/>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(14,600)</w:t>
            </w:r>
          </w:p>
        </w:tc>
      </w:tr>
      <w:tr>
        <w:trPr>
          <w:trHeight w:val="459"/>
        </w:trPr>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00" w:type="dxa"/>
            <w:vAlign w:val="bottom"/>
          </w:tcPr>
          <w:p>
            <w:pPr>
              <w:jc w:val="right"/>
              <w:ind w:right="105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360"/>
          </w:cols>
          <w:pgMar w:left="240" w:top="175"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cash provided by operating activities of $43.9 million in the nine months ended September 30, 2018 was driven primarily by net income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$27.2 million plus $10.5 million of depreciation, amortization and accretion expense, changes in deferred taxes of $7.2 million and $6.4 million of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based compensation expense. These net sources of cash were offset by a net decrease of $12.4 million related to movements in our working capital accounts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The overall decreases in cash from our working capital accounts were primarily driven by the timing of inventory purchases during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period as well as higher accounts receivable as a result of temporary incremental demand for TechneLite in our International segment.</w:t>
      </w:r>
    </w:p>
    <w:p>
      <w:pPr>
        <w:spacing w:after="0" w:line="103"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Net cash provided by operating activities of $41.7 million in the nine months ended September 30, 2017 was driven primarily by net income of $26.3 million plus $15.0 million of depreciation, amortization and accretion expense, $3.8 million of stock-based compensation expense and a $2.2 million loss on debt extinguishment. These net sources of cash were offset by a net decrease of $8.9 million related to movements in our working capital accounts during the period. The overall decreases in cash from our working capital accounts were primarily driven by higher accounts receivable related to increases in revenues to certain major customers and timing of inventory purchases during the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Net cash used in investing activities during the nine months ended September 30, 2018 reflected $12.8 million in capital expenditures offset by the cash proceeds of $1.0 million received from the sale of land.</w:t>
      </w:r>
    </w:p>
    <w:p>
      <w:pPr>
        <w:spacing w:after="0" w:line="170"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Net cash used in investing activities during the nine months ended September 30, 2017 reflected $11.6 million in capital expenditures offset by the cash proceeds of $1.2 million received from the sale of assets from our Australian radiopharmacy business during the third quarter of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17"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Net cash used in financing activities during the nine months ended September 30, 2018 reflected payments for minimum statutory tax withholding related to net share settlement of equity awards of $3.2 million, payments on long-term debt of $2.1 million, offset by proceeds of $1.2 million from the exercise of stock options.</w:t>
      </w:r>
    </w:p>
    <w:p>
      <w:pPr>
        <w:spacing w:after="0" w:line="181" w:lineRule="exact"/>
        <w:rPr>
          <w:sz w:val="20"/>
          <w:szCs w:val="20"/>
          <w:color w:val="auto"/>
        </w:rPr>
      </w:pPr>
    </w:p>
    <w:p>
      <w:pPr>
        <w:jc w:val="both"/>
        <w:ind w:right="420" w:firstLine="405"/>
        <w:spacing w:after="0" w:line="342" w:lineRule="auto"/>
        <w:rPr>
          <w:sz w:val="20"/>
          <w:szCs w:val="20"/>
          <w:color w:val="auto"/>
        </w:rPr>
      </w:pPr>
      <w:r>
        <w:rPr>
          <w:rFonts w:ascii="Arial" w:cs="Arial" w:eastAsia="Arial" w:hAnsi="Arial"/>
          <w:sz w:val="16"/>
          <w:szCs w:val="16"/>
          <w:color w:val="auto"/>
        </w:rPr>
        <w:t>Net cash used in financing activities during the nine months ended September 30, 2017 was primarily related to the net outflow of $11.9 million in connection with our refinancing of our previous $365.0 million seven-year term loan agreement with a new five-year $275.0 million term loan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Sources of Liquidity</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March 2017, we refinanced our 2015 $365 million seven-year term loan facility with a new five-year $275 million term loan facility (the “2017 Term Facility” and the loans thereunder, the “Term Loans”). In addition, we replaced our revolving facility with a new $75 million five-year revolving credit facility (the “2017 Revolving Facility” and, together with the 2017 Term Facility, the “2017 Facility”). The terms of the 2017 Facility are set forth in that certain Amended and Restated Credit Agreement, dated as of March 30, 2017 (the “Credit Agreement”), by and among us, the lenders from time to time party thereto and JPMorgan Chase Bank, N.A., as administrative agent and collateral agent. The 2017 Term Facility was issued net of a $0.7 million discount. We have the right to request an increase to the 2017 Term Facility or request the establishment of one or more new incremental term loan facilities, in an aggregate principal amount of up to $75.0 million, plus additional amounts, in certain circumstances.</w:t>
      </w:r>
    </w:p>
    <w:p>
      <w:pPr>
        <w:spacing w:after="0" w:line="178" w:lineRule="exact"/>
        <w:rPr>
          <w:sz w:val="20"/>
          <w:szCs w:val="20"/>
          <w:color w:val="auto"/>
        </w:rPr>
      </w:pPr>
    </w:p>
    <w:p>
      <w:pPr>
        <w:jc w:val="both"/>
        <w:ind w:right="300" w:firstLine="405"/>
        <w:spacing w:after="0" w:line="286" w:lineRule="auto"/>
        <w:rPr>
          <w:sz w:val="20"/>
          <w:szCs w:val="20"/>
          <w:color w:val="auto"/>
        </w:rPr>
      </w:pPr>
      <w:r>
        <w:rPr>
          <w:rFonts w:ascii="Arial" w:cs="Arial" w:eastAsia="Arial" w:hAnsi="Arial"/>
          <w:sz w:val="17"/>
          <w:szCs w:val="17"/>
          <w:color w:val="auto"/>
        </w:rPr>
        <w:t>On November 29, 2017, we entered into Amendment No. 1 (the “Repricing Amendment”) to the 2017 Facility to, among other things, (i) reduce the applicable interest rate margins with respect to the LIBOR and Base Rate Term Loans (as defined in the Credit Agreement) and (ii) reduce the applicable interest rate margins with respect to the LIBOR and Base Rate Revolving Loans (as defined in the Credit Agreement).</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Term Loans under the 2017 Term Facility bear interest, with pricing based from time to time at our election at (i) LIBOR plus a spread of 3.75% or</w:t>
      </w:r>
    </w:p>
    <w:p>
      <w:pPr>
        <w:spacing w:after="0" w:line="46" w:lineRule="exact"/>
        <w:rPr>
          <w:sz w:val="20"/>
          <w:szCs w:val="20"/>
          <w:color w:val="auto"/>
        </w:rPr>
      </w:pPr>
    </w:p>
    <w:p>
      <w:pPr>
        <w:ind w:firstLine="8"/>
        <w:spacing w:after="0" w:line="277" w:lineRule="auto"/>
        <w:tabs>
          <w:tab w:leader="none" w:pos="26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Base Rate plus a spread of 2.75%. Interest is payable (i) with respect to LIBOR Term Loans, at the end of each Interest Period (as defined in the Credit Agreement) and (ii) with respect to Base Rate Term Loans, at the end of each quarter. At September 30, 2018, our interest rate under the 2017 Term Facility was 6.0%. As of September 30, 2018, the principal balance outstanding on our 2017 Term Facility was $270.9 million.</w:t>
      </w:r>
    </w:p>
    <w:p>
      <w:pPr>
        <w:spacing w:after="0" w:line="173"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We are permitted to voluntarily prepay the Term Loans, in whole or in part. The 2017 Term Facility requires us to make mandatory prepayments of the outstanding Term Loans in certain circumstances. The 2017 Term Facility amortizes at 1.00% per year until its June 30, 2022 maturity date.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75"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Under the terms of the 2017 Revolving Facility, the lenders thereunder agreed to extend credit to us from time to time until March 30, 2022 (the “Revolving Termination Date”) consisting of revolving loans (the “Revolving Loans” and, together with the Term Loans, the “Loans”) in an aggregate principal amount not to exceed $75 million (the “Revolving Commitment”) at any time outstanding. The 2017 Revolving Facility includes a $20 million sub-facility for the issuance of letters of credit (the “Letters of Credit”). The Letters of Credit and the borrowings under the 2017 Revolving Facility are expected to be used for working capital and other general corporate purposes.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Revolving Loans under the 2017 Revolving Facility bear interest, with pricing based from time to time at our election at (i) LIBOR plus a spread of 3.00% or (ii) the Base Rate (as defined in the Credit Agreement) plus a spread of 2.00%. The 2017 Revolving Facility also includes an unused line fee, which is set at 0.38% while our secured leverage ratio (as defined in the Credit Agreement) is greater than 3.00 to 1.00 and 0.25% when our secured leverage ratio is less than or equal to 3.00 to 1.00.</w:t>
      </w:r>
    </w:p>
    <w:p>
      <w:pPr>
        <w:spacing w:after="0" w:line="187" w:lineRule="exact"/>
        <w:rPr>
          <w:sz w:val="20"/>
          <w:szCs w:val="20"/>
          <w:color w:val="auto"/>
        </w:rPr>
      </w:pPr>
    </w:p>
    <w:p>
      <w:pPr>
        <w:ind w:right="480" w:firstLine="405"/>
        <w:spacing w:after="0" w:line="255" w:lineRule="auto"/>
        <w:rPr>
          <w:sz w:val="20"/>
          <w:szCs w:val="20"/>
          <w:color w:val="auto"/>
        </w:rPr>
      </w:pPr>
      <w:r>
        <w:rPr>
          <w:rFonts w:ascii="Arial" w:cs="Arial" w:eastAsia="Arial" w:hAnsi="Arial"/>
          <w:sz w:val="18"/>
          <w:szCs w:val="18"/>
          <w:color w:val="auto"/>
        </w:rPr>
        <w:t>We are permitted to voluntarily prepay the Revolving Loans, in whole or in part, or reduce or terminate the Revolving Commitment, in each case, without premium or penalty. On any business day on which the total amount of outstanding Revolving Loans and Letters of Credit exceeds the total Revolving Commitment, we must prepay the Revolving Loans in an amount equal to such excess. The 2017 Facility contains a number of affirmative, negative, reporting and financial covenants, in each case subject to certain exceptions and materiality thresholds. The 2017 Facility requires us to be in quarterly compliance, measured on a trailing four quarter basis, with a financial covenant. The maximum consolidated leverage ratio permitted by the financial covenant is displayed in the table below:</w:t>
      </w:r>
    </w:p>
    <w:p>
      <w:pPr>
        <w:spacing w:after="0" w:line="135" w:lineRule="exact"/>
        <w:rPr>
          <w:sz w:val="20"/>
          <w:szCs w:val="20"/>
          <w:color w:val="auto"/>
        </w:rPr>
      </w:pPr>
    </w:p>
    <w:tbl>
      <w:tblPr>
        <w:tblLayout w:type="fixed"/>
        <w:tblInd w:w="316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2200" w:type="dxa"/>
            <w:vAlign w:val="bottom"/>
          </w:tcPr>
          <w:p>
            <w:pPr>
              <w:jc w:val="center"/>
              <w:ind w:left="59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2900" w:type="dxa"/>
            <w:vAlign w:val="bottom"/>
          </w:tcPr>
          <w:p>
            <w:pPr>
              <w:ind w:left="1540"/>
              <w:spacing w:after="0"/>
              <w:rPr>
                <w:sz w:val="20"/>
                <w:szCs w:val="20"/>
                <w:color w:val="auto"/>
              </w:rPr>
            </w:pPr>
            <w:r>
              <w:rPr>
                <w:rFonts w:ascii="Arial" w:cs="Arial" w:eastAsia="Arial" w:hAnsi="Arial"/>
                <w:sz w:val="18"/>
                <w:szCs w:val="18"/>
                <w:b w:val="1"/>
                <w:bCs w:val="1"/>
                <w:color w:val="auto"/>
              </w:rPr>
              <w:t>Period</w:t>
            </w:r>
          </w:p>
        </w:tc>
        <w:tc>
          <w:tcPr>
            <w:tcW w:w="220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Leverage Ratio</w:t>
            </w:r>
          </w:p>
        </w:tc>
      </w:tr>
      <w:tr>
        <w:trPr>
          <w:trHeight w:val="27"/>
        </w:trPr>
        <w:tc>
          <w:tcPr>
            <w:tcW w:w="29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Q4 2018 through Q1 2019</w:t>
            </w:r>
          </w:p>
        </w:tc>
        <w:tc>
          <w:tcPr>
            <w:tcW w:w="220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0"/>
              </w:rPr>
              <w:t>4.75 to 1.00</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0" w:type="dxa"/>
            <w:vAlign w:val="bottom"/>
          </w:tcPr>
          <w:p>
            <w:pPr>
              <w:jc w:val="center"/>
              <w:ind w:left="570"/>
              <w:spacing w:after="0"/>
              <w:rPr>
                <w:sz w:val="20"/>
                <w:szCs w:val="20"/>
                <w:color w:val="auto"/>
              </w:rPr>
            </w:pPr>
            <w:r>
              <w:rPr>
                <w:rFonts w:ascii="Arial" w:cs="Arial" w:eastAsia="Arial" w:hAnsi="Arial"/>
                <w:sz w:val="18"/>
                <w:szCs w:val="18"/>
                <w:color w:val="auto"/>
                <w:w w:val="90"/>
              </w:rPr>
              <w:t>4.50 to 1.00</w:t>
            </w:r>
          </w:p>
        </w:tc>
      </w:tr>
    </w:tbl>
    <w:p>
      <w:pPr>
        <w:spacing w:after="0" w:line="2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2017 Facility contains usual and customary restrictions on our ability and that of our subsidiaries to: (i) incur additional indebtedness (ii) create liens; (iii) consolidate, merge, sell or otherwise dispose of all or substantially all of our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our affiliates.</w:t>
      </w:r>
    </w:p>
    <w:p>
      <w:pPr>
        <w:spacing w:after="0" w:line="18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Upon an event of default, the administrative agent under the Credit Agreement will have the right to declare the Loans and other obligations outstanding immediately due and payable and all commitments immediately terminated or reduced.</w:t>
      </w:r>
    </w:p>
    <w:p>
      <w:pPr>
        <w:spacing w:after="0" w:line="170"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The 2017 Facility is guaranteed by Holdings and Lantheus MI Real Estate, LLC (“LMI-RE”), and obligations under the 2017 Facility are generally secured by first priority liens over substantially all of the assets of each of LMI, Holdings and LMI-RE (subject to customary exclusions set forth in the transaction documents) owned as of March 30, 2017 or thereafter acquired.</w:t>
      </w:r>
    </w:p>
    <w:p>
      <w:pPr>
        <w:spacing w:after="0" w:line="181" w:lineRule="exact"/>
        <w:rPr>
          <w:sz w:val="20"/>
          <w:szCs w:val="20"/>
          <w:color w:val="auto"/>
        </w:rPr>
      </w:pPr>
    </w:p>
    <w:p>
      <w:pPr>
        <w:ind w:right="480" w:firstLine="405"/>
        <w:spacing w:after="0" w:line="342" w:lineRule="auto"/>
        <w:rPr>
          <w:sz w:val="20"/>
          <w:szCs w:val="20"/>
          <w:color w:val="auto"/>
        </w:rPr>
      </w:pPr>
      <w:r>
        <w:rPr>
          <w:rFonts w:ascii="Arial" w:cs="Arial" w:eastAsia="Arial" w:hAnsi="Arial"/>
          <w:sz w:val="16"/>
          <w:szCs w:val="16"/>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12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may from time to time repurchase or otherwise retire our debt and take other steps to reduce our debt or otherwise improve our balance sheet. These actions may include prepayments of our term loans or other retirements or refinancing of outstanding debt, privately negotiated transactions or otherwise. The amount of debt that may be retired, if any, would be decided at the sole discretion of our Board of Directors and will depend on market conditions, our cash position and other considerations.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660" w:right="100" w:hanging="166"/>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pricing environment and the level of product sales of our currently marketed products, particularly DEFINITY and any additional products that we may market in the future;</w:t>
      </w:r>
    </w:p>
    <w:p>
      <w:pPr>
        <w:spacing w:after="0" w:line="62" w:lineRule="exact"/>
        <w:rPr>
          <w:rFonts w:ascii="Arial" w:cs="Arial" w:eastAsia="Arial" w:hAnsi="Arial"/>
          <w:sz w:val="18"/>
          <w:szCs w:val="18"/>
          <w:color w:val="auto"/>
        </w:rPr>
      </w:pPr>
    </w:p>
    <w:p>
      <w:pPr>
        <w:ind w:left="660" w:right="540" w:hanging="166"/>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mix shifts and associated volume and selling price changes that could result from contractual status changes with key customers and additional competition;</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investment in the further clinical development and commercialization of existing products and development candidates;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investing in our facilities, equipment and technology infrastructure;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invest in new products, businesses and technologies;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75"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right="660" w:hanging="16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establishing manufacturing and supply arrangements for commercial supplies of our products and raw materials and components;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have product manufactured and released from JHS and other manufacturing sites in a timely manner in the future;</w:t>
      </w:r>
    </w:p>
    <w:p>
      <w:pPr>
        <w:spacing w:after="0" w:line="117" w:lineRule="exact"/>
        <w:rPr>
          <w:rFonts w:ascii="Arial" w:cs="Arial" w:eastAsia="Arial" w:hAnsi="Arial"/>
          <w:sz w:val="18"/>
          <w:szCs w:val="18"/>
          <w:color w:val="auto"/>
        </w:rPr>
      </w:pPr>
    </w:p>
    <w:p>
      <w:pPr>
        <w:ind w:left="660" w:right="640" w:hanging="16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extent to which we choose to establish collaboration, co-promotion, distribution or other similar arrangements for our marketed products;</w:t>
      </w:r>
    </w:p>
    <w:p>
      <w:pPr>
        <w:spacing w:after="0" w:line="128" w:lineRule="exact"/>
        <w:rPr>
          <w:rFonts w:ascii="Arial" w:cs="Arial" w:eastAsia="Arial" w:hAnsi="Arial"/>
          <w:sz w:val="17"/>
          <w:szCs w:val="17"/>
          <w:color w:val="auto"/>
        </w:rPr>
      </w:pPr>
    </w:p>
    <w:p>
      <w:pPr>
        <w:ind w:left="660" w:right="20" w:hanging="16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legal costs relating to maintaining, expanding and enforcing our intellectual property portfolio, pursuing insurance or other claims and defending against product liability, regulatory compliance or other claims; and</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interest on any additional borrowings which we may incur under our financing arrangements.</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Until we successfully become dual sourced for our principal products, we are vulnerable to future supply shortages. Disruption in the financial performance could also occur if we experience significant adverse changes in product or customer mix, broad economic downturns, adverse industry or company conditions or catastrophic external events, including natural disasters and political or military conflict. If we experience one or more of these events in the future, we may be required to implement additional expense reductions, such as a delay or elimination of discretionary spending in all functional areas, as well as scaling back select operating and strategic initiatives.</w:t>
      </w:r>
    </w:p>
    <w:p>
      <w:pPr>
        <w:spacing w:after="0" w:line="188"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If our capital resources become insufficient to meet our future capital requirements, we would need to finance our cash needs through public or private equity offerings, assets securitizations, debt financings, sale-leasebacks or other financing or strategic alternatives, to the extent such transactions are permissible under the covenants of our Credit Agreement. Additional equity or debt financing, or other transactions, may not be available on acceptable terms, if at all. If any of these transactions require an amendment or waiver under the covenants in our Credit Agreement, which could result in additional expenses associated with obtaining the amendment or waiver, we will seek to obtain such a waiver to remain in compliance with those covenants. However, we cannot be assured that such an amendment or waiver would be granted, or that additional capital will be available on acceptable terms, if at all.</w:t>
      </w:r>
    </w:p>
    <w:p>
      <w:pPr>
        <w:spacing w:after="0" w:line="165" w:lineRule="exact"/>
        <w:rPr>
          <w:sz w:val="20"/>
          <w:szCs w:val="20"/>
          <w:color w:val="auto"/>
        </w:rPr>
      </w:pPr>
    </w:p>
    <w:p>
      <w:pPr>
        <w:ind w:right="240" w:firstLine="405"/>
        <w:spacing w:after="0" w:line="276" w:lineRule="auto"/>
        <w:rPr>
          <w:sz w:val="20"/>
          <w:szCs w:val="20"/>
          <w:color w:val="auto"/>
        </w:rPr>
      </w:pPr>
      <w:r>
        <w:rPr>
          <w:rFonts w:ascii="Arial" w:cs="Arial" w:eastAsia="Arial" w:hAnsi="Arial"/>
          <w:sz w:val="17"/>
          <w:szCs w:val="17"/>
          <w:color w:val="auto"/>
        </w:rPr>
        <w:t>At September 30, 2018, our only current committed external source of funds is our borrowing availability under our 2017 Revolving Facility. We had $104.6 million of cash and cash equivalents at September 30, 2018. Our 2017 Facility contains a number of affirmative, negative, reporting and financial covenants, in each case subject to certain exceptions and materiality thresholds. Incremental borrowings under the 2017 Revolving Facility may affect our ability to comply with the covenants in the 2017 Facility, including the financial covenant restricting consolidated net leverage. Accordingly, we may be limited in utilizing the full amount of our 2017 Revolving Facility as a source of liquidity.</w:t>
      </w:r>
    </w:p>
    <w:p>
      <w:pPr>
        <w:spacing w:after="0" w:line="173"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Based on our current operating plans, we believe that our existing cash and cash equivalents, results of operations and availability under our 2017 Revolving Facility will be sufficient to continue to fund our liquidity requirements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discussion and analysis of our financial position and results of operations is based on our condensed consolidated financial statements, which have been prepared in accordance with generally accepted accounting principles in the United States of America (“U.S. GAAP”). The preparation of these condensed consolidated financial statements in accordance with U.S. GAAP requires us to make estimates and judgments that may affect the reported amounts of assets, liabilities, revenues and expenses, and related disclosure of contingent assets and liabilities. On an ongoing basis, we evaluate our estimates and judgments, including those related to revenue recognition and related allowances, inventory, impairments of long-lived assets including intangible assets, impairments of goodwill, income taxes including the valuation allowance for deferred tax assets.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17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There have been no other significant changes to our critical accounting policies or in the underlying accounting assumptions and estimates used in such policies in the nine months ended September 30, 2018, except as set forth below. For further information, refer to our summary of significant accounting policies and estimates in our Annual Report on Form 10-K filed for the year ended December 31,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75"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January 1, 2018, we adopted Financial Accounting Standards Board Accounting Standards Codification Topic 606, Revenue from Contracts with Customers (“ASC 606”) using the modified retrospective method applied to those contracts which were not completed as of January 1, 2018. The provisions of ASC 606 supersedes the revenue recognition requirements in Topic 605 “Revenue Recognition”, and requires entities to recognize revenue when control of the promised goods or services is transferred to customers at an amount that reflects the consideration to which the entity expects to be entitled to in exchange for those goods or services. The adoption of ASC 606 requires us to provide expanded disclosures related to our contracts with customers but did not have a material impact on the Company’s consolidated financial position, results of operations, equity or cash flows as of the adoption date or for the periods presented.</w:t>
      </w:r>
    </w:p>
    <w:p>
      <w:pPr>
        <w:spacing w:after="0" w:line="18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Revenue is measured based on a consideration specified in a contract with a customer, and excludes any sales incentives and amounts collected on behalf of third parties. We recognize revenue when we satisfy our performance obligations by transferring control over products or services to our customers. The amount of revenue we recognize reflects the consideration to which we expect to be entitled to receive in exchange for these goods or services. To achieve this core principle, we apply the following five steps: (1) identify the contracts with a customer; (2) identify the performance obligations in the contract; (3) determine the transaction price; (4) allocate the transaction price to the performance obligations in the contract; and (5) recognize revenue when (or as) we satisfies performance obligations.</w:t>
      </w:r>
    </w:p>
    <w:p>
      <w:pPr>
        <w:spacing w:after="0" w:line="193"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We derive our revenues through arrangements with customers for product sales as well as licensing and royalty arrangements. We sell our products principally to distributors, radiopharmacies and directly to hospitals and clinics and we consider customer purchase orders, which in some cases are governed by master sales or group purchasing organization agreements, to be contracts with our customers. In addition to these arrangements, we also enter into licensing agreements under which we license certain rights to third parties. The terms of these arrangements typically include payment to us of one or more of the following: non-refundable, up-front license fees; development, regulatory and commercial milestone payments; and royalties on net sales of licensed products. We analyze various factors requiring management judgment when applying the five-step model to our contracts with customers.</w:t>
      </w:r>
    </w:p>
    <w:p>
      <w:pPr>
        <w:spacing w:after="0" w:line="16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product revenues are recorded at the net sales price (transaction price), which represents our sales price less estimates related to reserves which are established for items such as discounts, returns, rebates and allowances that may be provided for in certain contracts with our customers. Judgment is used in determining and updating our reserves on an on-going basis, and where appropriate, these estimates take into consideration a range of possible outcomes which are probability-weighted for relevant factors such as our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Actual amounts of consideration ultimately received may differ from the Company’s estimates.</w:t>
      </w:r>
    </w:p>
    <w:p>
      <w:pPr>
        <w:spacing w:after="0" w:line="18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For our licensing and royalty arrangements, we use judgment in determining the number of performance obligations in a license agreement by assessing whether the license is distinct or should be combined with another performance obligation as well as the nature of the license. As part of the accounting for these arrangements, we develop assumptions that require judgment to determine the stand-alone selling price for each performance obligation identified in a contract. These key assumptions may include market conditions, reimbursement rates for personnel costs, development timelines and probabilities of regulatory success.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are required to provide the U.S. Nuclear Regulatory Commission and Massachusetts Department of Public Health financial assurance demonstrating our ability to fund the decommissioning of our North Billerica, Massachusetts production facility upon closure, though we do not intend to close the facility. We have provided this financial assurance in the form of a $28.2 million surety bond.</w:t>
      </w:r>
    </w:p>
    <w:p>
      <w:pPr>
        <w:spacing w:after="0" w:line="18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Since inception, we have not engaged in any other off-balance sheet arrangements, including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For quantitative and qualitative disclosures about market risk, see Part II, Item 7A, “Quantitative and Qualitative Disclosures About Market Risk,” of our Annual Report on Form 10-K for the year ended December 31, 2017. Our exposures to market risk have not changed materially since December 31, 2017.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75"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Company’s management, with the participation of the Company’s Chief Executive Officer (“CEO”) and Chief Financial Officer (“CFO”), its principal executive officer and principal financial officer, respectively, has evaluated the effectiveness of the Company’s disclosure controls and procedures as defined in Rule 13a-15(e) and 15d-15(e) of the Exchange Act. Based on that evaluation, the Company’s CEO and CFO concluded that the Company’s disclosure controls and procedures (as defined in Exchange Act Rules 13a-15(e) and 15d-15(e)) were effective as of the period covered by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2018 that have materially affected, or are reasonably likely to materially affect, our internal control over financial reporting. There were no significant changes to our internal control over financial reporting due to the adoption of ASC 606.</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75"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From time to time, we are a party to various legal proceedings arising in the ordinary course of business. In addition, we have in the past been, and may in the future be, subject to investigations by governmental and regulatory authorities which expose us to greater risks associated with litigation, regulatory or other proceedings, as a result of which we could be required to pay significant fines or penalties. The costs and outcome of litigation, regulatory or other proceedings cannot be predicted with certainty, and some lawsuits, claims, actions or proceedings may be disposed of unfavorably to us. In addition, intellectual property disputes often have a risk of injunctive relief which, if imposed against us, could materially and adversely affect our financial condition or results of operations.</w:t>
      </w:r>
    </w:p>
    <w:p>
      <w:pPr>
        <w:spacing w:after="0" w:line="193"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We are currently in arbitration with Pharmalucence in connection with a Manufacturing and Supply Agreement, dated November 12, 2013, under which Pharmalucence agreed to manufacture and supply DEFINITY for us. The commercial arrangement contemplated by that agreement was repeatedly delayed and ultimately never successfully realized. After extended settlement discussions between Sun Pharma, the ultimate parent of Pharmalucence, and us, which did not lead to a mutually acceptable outcome, on November 10, 2017, we filed an arbitration demand (and later an amended arbitration demand) with the American Arbitration Association against Pharmalucence, alleging breach of contract, breach of the covenant of good faith and fair dealing, tortious misrepresentation and violation of the Massachusetts Consumer Protection Law, also known as Chapter 93A. We are seeking monetary damages but cannot predict the outcome of this dispute resolution proceeding and whether we will be able to obtain any financial recovery as a result of this proceeding.</w:t>
      </w:r>
    </w:p>
    <w:p>
      <w:pPr>
        <w:spacing w:after="0" w:line="167"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As of September 30, 2018, except as disclosed above we had no material ongoing litigation in which we were a party. In addition, we had no material ongoing regulatory or other proceeding and no knowledge of any investigations by governmental or regulatory authorities in which we are a target, in either case that we believe could have a material and adverse effect on our current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There have been no material changes to the risk factors set forth in our Annual Report on Form 10-K for the year ended December 31, 2017 and in the Quarterly Report on Form 10-Q for the period ended June 30, 2018, except as set forth below. For further information, refer to Part I, Item 1A. “Risk Factors” in our Annual Report on Form 10-K for the year ended December 31, 2017.</w:t>
      </w:r>
    </w:p>
    <w:p>
      <w:pPr>
        <w:spacing w:after="0" w:line="73"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b w:val="1"/>
          <w:bCs w:val="1"/>
          <w:i w:val="1"/>
          <w:iCs w:val="1"/>
          <w:color w:val="auto"/>
        </w:rPr>
        <w:t>The growth of our business is substantially dependent on our ability to continue to grow the appropriate use of DEFINITY in suboptimal echocardiograms in the face of increased segment competition from other existing echocardiography agents and potential generic competitors as a result of future patent and regulatory exclusivity expirations.</w:t>
      </w:r>
    </w:p>
    <w:p>
      <w:pPr>
        <w:spacing w:after="0" w:line="73"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The growth of our business is substantially dependent on our ability to continue to grow the appropriate use of DEFINITY in suboptimal echocardiograms. There were approximately 33.1 million echocardiograms in 2017 according to a third-party source. Assuming 20% of echocardiograms produce suboptimal images, as stated in the clinical literature, we estimate that approximately 6.6 million echocardiograms in 2017 produced suboptimal images. We estimate that DEFINITY held over 80% of the U.S. market for contrast agents in echocardiography procedures as of June 30, 2018. DEFINITY currently competes with Optison, a GE Healthcare product, Lumason, a Bracco product (known as SonoVue outside the U.S.), as well as other non-echocardiography agents.</w:t>
      </w:r>
    </w:p>
    <w:p>
      <w:pPr>
        <w:spacing w:after="0" w:line="193"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We launched DEFINITY in 2001, and we continue to actively pursue patents in connection with DEFINITY, both in the U.S. and internationally. In the U.S., we now have an Orange Book-listed method of use patent expiring in March 2037 to augment a DEFINITY patent portfolio that includes an Orange Book-listed composition of matter patent expiring in June 2019, and additional manufacturing patents that are not Orange Book-listed expiring in 2021, 2023 and 2037. Outside of the U.S., our DEFINITY patent protection or regulatory exclusivity currently expires in 2019.</w:t>
      </w:r>
    </w:p>
    <w:p>
      <w:pPr>
        <w:spacing w:after="0" w:line="17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Because our Orange Book-listed composition of matter patent expires in June 2019, we may face generic DEFINITY challengers in the near to intermediate term. Under the Hatch-Waxman Act, the FDA can approve ANDAs for generic versions of drugs before the expiration of an Orange Book-listed patent covering the innovator product if the ANDA applicant demonstrates, among other things, that (i) its generic candidate is the same as the innovator product by documenting bioequivalence and providing relevant chemistry, manufacturing and product data, and (ii) the marketing of that generic candidate does not infringe an Orange Book-listed patent or the Orange Book-listed patent is invalid. With respect to any Orange Book-listed patent covering the innovator product that expires after the ANDA applicant intends to begin commercialization, the ANDA applicant must certify that its generic candidate will not infringe the innovator’s Orange Book-listed patents or that the Orange Book-listed patents are invalid. The ANDA applicant must also give Notice to the innovator, which would then enable the innovator to challenge the ANDA applicant in court within 45 days of receiving such Notice. If the innovator challenges the ANDA applicant in court in a timely manner, then FDA approval to commercialize the generic candidate will be stayed (that is, delayed) for up to 30 months while the dispute between the innovator and the ANDA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75"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applicant is resolved in court. The 30 month stay can be shortened if the patent infringement suit is resolved in the ANDA applicant’s favor before the 30 month stay expires, and this may involve a successful challenge of the patent’s validity in U.S. Patent and Trademark Office, or USPTO, proceedings and appeals process.</w:t>
      </w:r>
    </w:p>
    <w:p>
      <w:pPr>
        <w:spacing w:after="0" w:line="181"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As of the date of filing of this Quarterly Report on Form 10-Q, we have not received any such Notice from any ANDA applicant but can give no assurance that we will not receive a Notice in the future. If we were to receive any such Notice in the future, we would review the Notice, evaluate the strength of any potential patent infringement claims, and be prepared to challenge the ANDA applicant in a timely fashion, which would thereby trigger the stay of up to 30 months. We can give no assurance that we would have grounds to file a patent infringement suit, that we would obtain the full 30 month stay, that we would be successful on the merits asserting that a generic candidate infringes our Orange Book-listed patent, or that we would be successful defending the validity of our Orange Book-listed patent in court or in a USPTO adversarial proceeding.</w:t>
      </w:r>
    </w:p>
    <w:p>
      <w:pPr>
        <w:spacing w:after="0" w:line="178"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As part of our microbubble franchise strategy, (i) we have initiated additional clinical trials to pursue expansion of the current DEFINITY indication to include LVEF, (ii) we are developing a modified formulation of DEFINITY, (iii) we look for other opportunities to expand our microbubble franchise, including new applications beyond echocardiography and contrast imaging generally, and (iv) we continue to build specialized in-house manufacturing capabilities at our North Billerica facility for DEFINITY and, potentially, other products. However, we can give no assurance that our microbubble franchise strategy will be successful or that new manufacturing capabilities, a new indication, a modified formulation, new applications or new manufacturing capabilities will grow our microbubble franchise.</w:t>
      </w:r>
    </w:p>
    <w:p>
      <w:pPr>
        <w:spacing w:after="0" w:line="193" w:lineRule="exact"/>
        <w:rPr>
          <w:sz w:val="20"/>
          <w:szCs w:val="20"/>
          <w:color w:val="auto"/>
        </w:rPr>
      </w:pPr>
    </w:p>
    <w:p>
      <w:pPr>
        <w:ind w:right="560" w:firstLine="405"/>
        <w:spacing w:after="0" w:line="264" w:lineRule="auto"/>
        <w:rPr>
          <w:sz w:val="20"/>
          <w:szCs w:val="20"/>
          <w:color w:val="auto"/>
        </w:rPr>
      </w:pPr>
      <w:r>
        <w:rPr>
          <w:rFonts w:ascii="Arial" w:cs="Arial" w:eastAsia="Arial" w:hAnsi="Arial"/>
          <w:sz w:val="18"/>
          <w:szCs w:val="18"/>
          <w:color w:val="auto"/>
        </w:rPr>
        <w:t>We have on-going development and technology transfer activities for our modified formulation with SBL located in South Korea but can give no assurances as to when or if those development and technology transfer activities will be completed and when we will begin to receive a supply of our modified formulation from SBL.</w:t>
      </w:r>
    </w:p>
    <w:p>
      <w:pPr>
        <w:spacing w:after="0" w:line="181" w:lineRule="exact"/>
        <w:rPr>
          <w:sz w:val="20"/>
          <w:szCs w:val="20"/>
          <w:color w:val="auto"/>
        </w:rPr>
      </w:pPr>
    </w:p>
    <w:p>
      <w:pPr>
        <w:ind w:right="360" w:firstLine="405"/>
        <w:spacing w:after="0" w:line="279" w:lineRule="auto"/>
        <w:rPr>
          <w:sz w:val="20"/>
          <w:szCs w:val="20"/>
          <w:color w:val="auto"/>
        </w:rPr>
      </w:pPr>
      <w:r>
        <w:rPr>
          <w:rFonts w:ascii="Arial" w:cs="Arial" w:eastAsia="Arial" w:hAnsi="Arial"/>
          <w:sz w:val="17"/>
          <w:szCs w:val="17"/>
          <w:color w:val="auto"/>
        </w:rPr>
        <w:t>If we are not able to continue to (i) grow DEFINITY sales, which depend on one or more of the growth of echocardiograms, the growth in the appropriate use of contrast in suboptimal echocardiograms, and our ability to sustain and grow our leading position in the U.S. echocardiography contrast market, or (ii) be successful with our microbubble franchise strategy, we may not be able to continue to grow the revenue and cash flow of our business, which could have a negative effect on our business, results of operations and financial condition.</w:t>
      </w:r>
    </w:p>
    <w:p>
      <w:pPr>
        <w:spacing w:after="0" w:line="17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b w:val="1"/>
          <w:bCs w:val="1"/>
          <w:i w:val="1"/>
          <w:iCs w:val="1"/>
          <w:color w:val="auto"/>
        </w:rPr>
        <w:t>The global supply of Moly is fragile and not stable. Our dependence on a limited number of third party suppliers for Moly could prevent us from delivering some of our products to our customers in the required quantities, within the required timeframe, or at all, which could result in order cancellations and decreased revenues.</w:t>
      </w:r>
    </w:p>
    <w:p>
      <w:pPr>
        <w:spacing w:after="0" w:line="181"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A critical ingredient of TechneLite is Moly. We currently purchase finished Moly from three of the four main processing sites in the world, namely ANSTO in Australia, IRE in Belgium and NTP in South Africa. These processing sites provide us Moly from five of the six main Moly-producing reactors in the world, namely OPAL in Australia, BR2 in Belgium, LVR-15 in the Czech Republic, HFR in The Netherlands, and SAFARI in South Africa.</w:t>
      </w:r>
    </w:p>
    <w:p>
      <w:pPr>
        <w:spacing w:after="0" w:line="16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ANSTO has under construction, in cooperation with NTP, a new Moly processing facility that ANSTO believes will increase its production capacity from approximately 2,000 curies per week to 3,500 curies per week, with commercial production currently planned to start in the first half of 2019. While we believe this additional Moly supply will give us the most balanced and diversified Moly supply chain in the industry, a prolonged disruption of service from only one of our Moly suppliers could have a material adverse effect on our business, results of operations, financial condition and cash flows. The NTP processing facility was off-line from late November 2017 until mid-February 2018 and again from early June 2018 through the present, and we have been forced to rely on Moly supply from both IRE and ANSTO to limit the impact of the NTP outage. However, we have been unable to fill all of the demand for our TechneLite generators on certain manufacturing days, consequently decreasing revenue and cash flow from this product line during the outage periods as compared to prior periods. In addition, a recent unplanned shutdown of the HFR reactor has reduced the Moly supply available for the IRE processing facility. We can give no assurances as to when the NTP processing facility or the HFR reactor will be back on-line. A longer term outage from one of our three Moly processing sites or one of their main Moly-producing reactors could have a substantial negative effect on our business, results of operations, financial condition and cash flows.</w:t>
      </w:r>
    </w:p>
    <w:p>
      <w:pPr>
        <w:spacing w:after="0" w:line="18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are also pursuing additional sources of Moly from potential new producers around the world to further augment our current supply. In November 2014, we entered into a strategic arrangement with SHINE for the future supply of Moly. Under the terms of the supply agreement, SHINE will provide Moly produced using its proprietary LEU-solution technology for use in our TechneLite generators once SHINE’s facility becomes operational and receives all necessary regulatory approvals, which SHINE now estimates will occur in 2021. However, we cannot assure you that SHINE or any other possible additional sources of Moly will result in commercial quantities of Moly for our business, or that these new suppliers together with our current suppliers will be able to deliver a sufficient quantity of Moly to meet our needs.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75"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U.S., Canadian and international governments have encouraged the development of a number of alternative Moly production projects with existing reactors and technologies as well as new technologies. However, we cannot say when, or if, the Moly produced from these projects will become available. As a result, there is a limited amount of Moly available which could limit the quantity of TechneLite that we could manufacture, sell and distribute, resulting in a further substantial negative effect on our business, results of operations, financial condition and cash flows.</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Most of the global suppliers of Moly rely on Framatone-CERCA in France to fabricate uranium targets and in some cases fuel for research reactors from which Moly is produced. Absent a new supplier, a supply disruption relating to uranium targets or fuel could have a substantial negative effect on our business, results of operations, financial condition and cash flows.</w:t>
      </w:r>
    </w:p>
    <w:p>
      <w:pPr>
        <w:spacing w:after="0" w:line="18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intellectual property, our competitors could develop and market products with features similar to our products, and demand for our products may decline.</w:t>
      </w:r>
    </w:p>
    <w:p>
      <w:pPr>
        <w:spacing w:after="0" w:line="170"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Our commercial success will depend in part on obtaining and maintaining patent protection and trade secret protection of our commercial products and technologies and agents in development as well as successfully enforcing and defending these patents and trade secrets against third parties and their challenges, both in the U.S. and in foreign countries. We will only be able to protect our intellectual property from unauthorized use by third parties to the extent that we maintain the secrecy of our trade secrets and can enforce our valid patents and trademarks.</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patent positions of pharmaceutical and biotechnology companies can be highly uncertain and involve complex legal and factual questions for which important legal principles remain unresolved. In addition, changes in either the patent laws or in interpretations of patent laws in the U.S. or other countries may diminish the value of our intellectual property and we may not receive the same degree of protection in every jurisdiction. Accordingly, we cannot predict the breadth of claims that may be allowed or enforced in our patents or in third party patents.</w:t>
      </w:r>
    </w:p>
    <w:p>
      <w:pPr>
        <w:spacing w:after="0" w:line="18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2" w:lineRule="exact"/>
        <w:rPr>
          <w:sz w:val="20"/>
          <w:szCs w:val="20"/>
          <w:color w:val="auto"/>
        </w:rPr>
      </w:pPr>
    </w:p>
    <w:p>
      <w:pPr>
        <w:ind w:left="660" w:right="260" w:hanging="16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 and issued patents, and we could lose our patent rights as a result;</w:t>
      </w:r>
    </w:p>
    <w:p>
      <w:pPr>
        <w:spacing w:after="0" w:line="62" w:lineRule="exact"/>
        <w:rPr>
          <w:rFonts w:ascii="Arial" w:cs="Arial" w:eastAsia="Arial" w:hAnsi="Arial"/>
          <w:sz w:val="18"/>
          <w:szCs w:val="18"/>
          <w:color w:val="auto"/>
        </w:rPr>
      </w:pPr>
    </w:p>
    <w:p>
      <w:pPr>
        <w:ind w:left="660" w:right="300" w:hanging="16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 or our patent applications may not have been timely filed, and we could lose our patent rights as a result;</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any further issued patents;</w:t>
      </w:r>
    </w:p>
    <w:p>
      <w:pPr>
        <w:spacing w:after="0" w:line="117" w:lineRule="exact"/>
        <w:rPr>
          <w:rFonts w:ascii="Arial" w:cs="Arial" w:eastAsia="Arial" w:hAnsi="Arial"/>
          <w:sz w:val="18"/>
          <w:szCs w:val="18"/>
          <w:color w:val="auto"/>
        </w:rPr>
      </w:pPr>
    </w:p>
    <w:p>
      <w:pPr>
        <w:ind w:left="660" w:right="380" w:hanging="16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issued patents may not provide a basis for commercially viable drugs, may not provide us with any protection from unauthorized use of our intellectual property by third parties, and may not provide us with any competitive advantages;</w:t>
      </w:r>
    </w:p>
    <w:p>
      <w:pPr>
        <w:spacing w:after="0" w:line="62" w:lineRule="exact"/>
        <w:rPr>
          <w:rFonts w:ascii="Arial" w:cs="Arial" w:eastAsia="Arial" w:hAnsi="Arial"/>
          <w:sz w:val="18"/>
          <w:szCs w:val="18"/>
          <w:color w:val="auto"/>
        </w:rPr>
      </w:pPr>
    </w:p>
    <w:p>
      <w:pPr>
        <w:ind w:left="660" w:right="240" w:hanging="16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patent applications or patents may be subject to interferences, oppositions, post-grant review, ex-parte re-examinations, inter-partes review or similar administrative proceedings;</w:t>
      </w:r>
    </w:p>
    <w:p>
      <w:pPr>
        <w:spacing w:after="0" w:line="62" w:lineRule="exact"/>
        <w:rPr>
          <w:rFonts w:ascii="Arial" w:cs="Arial" w:eastAsia="Arial" w:hAnsi="Arial"/>
          <w:sz w:val="18"/>
          <w:szCs w:val="18"/>
          <w:color w:val="auto"/>
        </w:rPr>
      </w:pPr>
    </w:p>
    <w:p>
      <w:pPr>
        <w:ind w:left="660" w:right="240" w:hanging="166"/>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While we generally apply for patents in those countries where we intend to make, have made, use or sell patented products, we may not be able to accurately predict all of the countries where patent protection will ultimately be desirable and may be precluded from doing so at a later date;</w:t>
      </w:r>
    </w:p>
    <w:p>
      <w:pPr>
        <w:spacing w:after="0" w:line="15" w:lineRule="exact"/>
        <w:rPr>
          <w:rFonts w:ascii="Arial" w:cs="Arial" w:eastAsia="Arial" w:hAnsi="Arial"/>
          <w:sz w:val="16"/>
          <w:szCs w:val="16"/>
          <w:color w:val="auto"/>
        </w:rPr>
      </w:pPr>
    </w:p>
    <w:p>
      <w:pPr>
        <w:ind w:left="660" w:hanging="166"/>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choose not to seek patent protection in certain countries where the actual cost outweighs the perceived benefit at a certain time;</w:t>
      </w:r>
    </w:p>
    <w:p>
      <w:pPr>
        <w:spacing w:after="0" w:line="128" w:lineRule="exact"/>
        <w:rPr>
          <w:rFonts w:ascii="Arial" w:cs="Arial" w:eastAsia="Arial" w:hAnsi="Arial"/>
          <w:sz w:val="17"/>
          <w:szCs w:val="17"/>
          <w:color w:val="auto"/>
        </w:rPr>
      </w:pPr>
    </w:p>
    <w:p>
      <w:pPr>
        <w:ind w:left="660" w:right="500" w:hanging="16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Patents issued in foreign jurisdictions may have different scopes of coverage as our U.S. patents and so our products may not receive the same degree of protection in foreign countries as they would in the U.S.;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or</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 third party may challenge the validity or enforceability of a patent even after its issuance by the USPTO or the applicable foreign patent office. It is also uncertain how much protection, if any, will be afforded by our patents if we attempt to enforce them and they are challenged in court or in other proceedings, which may be brought in U.S. or non-U.S. jurisdictions to challenge the validity of a patent.</w:t>
      </w:r>
    </w:p>
    <w:p>
      <w:pPr>
        <w:spacing w:after="0" w:line="18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initiation, defense and prosecution of intellectual property suits (including Hatch-Waxman related litigation), interferences, oppositions and related legal and administrative proceedings are costly, time consuming to pursue and result in a diversion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75"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resources, including a significant amount of management time. The outcome of these proceedings is uncertain and could significantly harm our business. If we are not able to enforce and defend the patents of our technologies and products, then we will not be able to exclude competitors from marketing products that directly compete with our products, which could have a material and adverse effect on our business, results of operations, financial condition and cash flows.</w:t>
      </w:r>
    </w:p>
    <w:p>
      <w:pPr>
        <w:spacing w:after="0" w:line="18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For DEFINITY, our fastest growing and highest margin commercial product in 2018, we continue to actively pursue patents in both the U.S. and internationally. In the U.S., we now have an Orange Book-listed method of use patent expiring in March 2037 to augment an Orange Book-listed composition of matter patent expiring in June 2019, and additional manufacturing patents that are not Orange Book-listed expiring in 2021, 2023 and 2037. Outside of the U.S., our DEFINITY patent protection or regulatory exclusivity currently expires in 2019. See Item 1A “Risk Factors—The growth of our business is substantially dependent on our ability to continue to grow the appropriate use of DEFINITY in suboptimal echocardiograms in the face of increased segment competition from other existing echocardiography agents and potential generic competitors as a result of future patent and regulatory exclusivity expirations.” in this Quarterly Report on Form 10-Q for the quarter ended September 30, 2018.</w:t>
      </w:r>
    </w:p>
    <w:p>
      <w:pPr>
        <w:spacing w:after="0" w:line="178" w:lineRule="exact"/>
        <w:rPr>
          <w:sz w:val="20"/>
          <w:szCs w:val="20"/>
          <w:color w:val="auto"/>
        </w:rPr>
      </w:pPr>
    </w:p>
    <w:p>
      <w:pPr>
        <w:ind w:right="100" w:firstLine="405"/>
        <w:spacing w:after="0" w:line="286" w:lineRule="auto"/>
        <w:rPr>
          <w:sz w:val="20"/>
          <w:szCs w:val="20"/>
          <w:color w:val="auto"/>
        </w:rPr>
      </w:pPr>
      <w:r>
        <w:rPr>
          <w:rFonts w:ascii="Arial" w:cs="Arial" w:eastAsia="Arial" w:hAnsi="Arial"/>
          <w:sz w:val="16"/>
          <w:szCs w:val="16"/>
          <w:color w:val="auto"/>
        </w:rPr>
        <w:t>We will also rely on trade secrets and other know-how and proprietary information to protect our technology, especially where we do not believe patent protection is appropriate or obtainable. However, trade secrets are difficult to protect. We use reasonable efforts to protect our trade secrets, but our employees, consultants, contractors, outside scientific partners and other advisors may unintentionally or willfully disclose our confidential information to competitors or other third parties. Enforcing a claim that a third party improperly obtained and is using our trade secrets is expensive, time consuming and resource intensive, and the outcome is unpredictable. In addition, courts outside the U.S. are sometimes less willing to protect trade secrets. Moreover, our competitors may independently develop equivalent knowledge, methods and know-how. We rely on confidentiality agreements with our collaborators, employees, consultants and other third parties and invention assignment agreements with our employees to protect our trade secrets and other know-how and proprietary information concerning our business. These confidentiality agreements may not prevent unauthorized disclosure of trade secrets and other know-how and proprietary information, and there can be no guarantee that an employee or an outside party will not make an unauthorized disclosure of our trade secrets, other technical know-how or proprietary information, or that we can detect such an unauthorized disclosure. We may not have adequate remedies for any unauthorized disclosure. This might happen intentionally or inadvertently. It is possible that a competitor will make use of that information, and that our competitive position will be compromised, in spite of any legal action we might take against persons making those unauthorized disclosures, which could have a material and adverse effect on our business, results of operations, financial condition and cash flows.</w:t>
      </w:r>
    </w:p>
    <w:p>
      <w:pPr>
        <w:spacing w:after="0" w:line="17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rely on our trademarks, trade names and brand names to distinguish our products from the products of our competitors, and have registered or applied to register many of these trademarks, including DEFINITY, Cardiolite, TechneLite, Neurolite, Quadramet, Luminity, Miraluma and Lantheus Medical Imaging. We cannot assure you that any pending trademark applications will be approved. Third parties may also oppose our trademark applications, or otherwise challenge our use of the trademarks. If our trademarks are successfully challenged, we could be forced to re-brand our products, which could result in loss of brand recognition, and could require us to devote resources to advertising and marketing new brands. Further, we cannot assure you that competitors will not infringe our trademarks, or that we will have adequate resources to enforce our trademarks.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75"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following table presents information with respect to purchases of common stock we made during the quarter ended September 30, 2018. The Company does not currently have a share repurchase program in effect. The 2015 Equity Incentive Plan, adopted by the Company on June 24, 2015, as amended on April 26, 2016 and as further amended on April 27, 2017 (the “2015 Plan”), provides for the withholding of shares to satisfy minimum statutory tax withholding obligations. It does not specify a maximum number of shares that can be withheld for this purpose. The shares of common stock withheld to satisfy minimum tax withholding obligations may be deemed to be “issuer purchases” of shares that are required to be disclosed pursuant to this Item 2.</w:t>
      </w:r>
    </w:p>
    <w:p>
      <w:pPr>
        <w:spacing w:after="0" w:line="10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 as</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Average Price Paid</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6"/>
              </w:rPr>
              <w:t>Under</w:t>
            </w:r>
          </w:p>
        </w:tc>
      </w:tr>
      <w:tr>
        <w:trPr>
          <w:trHeight w:val="234"/>
        </w:trPr>
        <w:tc>
          <w:tcPr>
            <w:tcW w:w="2540" w:type="dxa"/>
            <w:vAlign w:val="bottom"/>
            <w:gridSpan w:val="2"/>
          </w:tcPr>
          <w:p>
            <w:pPr>
              <w:ind w:left="960"/>
              <w:spacing w:after="0"/>
              <w:rPr>
                <w:sz w:val="20"/>
                <w:szCs w:val="20"/>
                <w:color w:val="auto"/>
              </w:rPr>
            </w:pPr>
            <w:r>
              <w:rPr>
                <w:rFonts w:ascii="Arial" w:cs="Arial" w:eastAsia="Arial" w:hAnsi="Arial"/>
                <w:sz w:val="18"/>
                <w:szCs w:val="18"/>
                <w:b w:val="1"/>
                <w:bCs w:val="1"/>
                <w:color w:val="auto"/>
              </w:rPr>
              <w:t>Period</w:t>
            </w:r>
          </w:p>
        </w:tc>
        <w:tc>
          <w:tcPr>
            <w:tcW w:w="184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per Share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Programs</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the Program</w:t>
            </w:r>
          </w:p>
        </w:tc>
      </w:tr>
      <w:tr>
        <w:trPr>
          <w:trHeight w:val="27"/>
        </w:trPr>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2018**</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r>
      <w:tr>
        <w:trPr>
          <w:trHeight w:val="243"/>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August 2018**</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11,283</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7"/>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2018**</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48,954</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r>
      <w:tr>
        <w:trPr>
          <w:trHeight w:val="237"/>
        </w:trPr>
        <w:tc>
          <w:tcPr>
            <w:tcW w:w="25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60,237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17145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17145</wp:posOffset>
            </wp:positionV>
            <wp:extent cx="11664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-130175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-130175</wp:posOffset>
            </wp:positionV>
            <wp:extent cx="11664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amounts are not applicable as the Company does not have a share repurchase program in effect.</w:t>
      </w:r>
    </w:p>
    <w:p>
      <w:pPr>
        <w:spacing w:after="0" w:line="9" w:lineRule="exact"/>
        <w:rPr>
          <w:sz w:val="20"/>
          <w:szCs w:val="20"/>
          <w:color w:val="auto"/>
        </w:rPr>
      </w:pPr>
    </w:p>
    <w:p>
      <w:pPr>
        <w:ind w:left="1300" w:right="100" w:hanging="644"/>
        <w:spacing w:after="0" w:line="261"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Reflects shares withheld to satisfy minimum statutory tax withholding amounts due from employees related to the receipt of stock, which resulted from the exercise or vesting of equity awards.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did not declare or pay any dividends, and we do not currently intend to pay dividends in the foreseeable future. We currently expect to retain future earnings, if any, for the foreseeable future, to repay indebtedness and to finance the growth and development of our business. Our ability to pay dividends is restricted by our financing arrangements. See Part I, Item 2. “Management’s Discussion and Analysis of Financial Condition and Results of Operations-Liquidity and Capital Resources-External Sources of Liquidity” for further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00"/>
          </w:cols>
          <w:pgMar w:left="240" w:top="175"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5"/>
            <w:vMerge w:val="restart"/>
          </w:tcPr>
          <w:p>
            <w:pPr>
              <w:ind w:left="800"/>
              <w:spacing w:after="0"/>
              <w:rPr>
                <w:sz w:val="20"/>
                <w:szCs w:val="20"/>
                <w:color w:val="auto"/>
              </w:rPr>
            </w:pPr>
            <w:r>
              <w:rPr>
                <w:rFonts w:ascii="Arial" w:cs="Arial" w:eastAsia="Arial" w:hAnsi="Arial"/>
                <w:sz w:val="14"/>
                <w:szCs w:val="14"/>
                <w:b w:val="1"/>
                <w:bCs w:val="1"/>
                <w:color w:val="auto"/>
              </w:rPr>
              <w:t>DESCRIPTION OF EXHIBITS</w:t>
            </w:r>
          </w:p>
        </w:tc>
        <w:tc>
          <w:tcPr>
            <w:tcW w:w="100" w:type="dxa"/>
            <w:vAlign w:val="bottom"/>
            <w:vMerge w:val="restart"/>
          </w:tcPr>
          <w:p>
            <w:pPr>
              <w:spacing w:after="0"/>
              <w:rPr>
                <w:sz w:val="13"/>
                <w:szCs w:val="13"/>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FILE</w:t>
            </w:r>
          </w:p>
        </w:tc>
        <w:tc>
          <w:tcPr>
            <w:tcW w:w="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3"/>
                <w:szCs w:val="13"/>
                <w:color w:val="auto"/>
              </w:rPr>
            </w:pPr>
          </w:p>
        </w:tc>
        <w:tc>
          <w:tcPr>
            <w:tcW w:w="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5"/>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10.1*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120" w:type="dxa"/>
            <w:vAlign w:val="bottom"/>
            <w:gridSpan w:val="9"/>
            <w:shd w:val="clear" w:color="auto" w:fill="CCEEFF"/>
          </w:tcPr>
          <w:p>
            <w:pPr>
              <w:spacing w:after="0"/>
              <w:rPr>
                <w:rFonts w:ascii="Arial" w:cs="Arial" w:eastAsia="Arial" w:hAnsi="Arial"/>
                <w:sz w:val="14"/>
                <w:szCs w:val="14"/>
                <w:color w:val="0000FF"/>
                <w:w w:val="96"/>
              </w:rPr>
            </w:pPr>
            <w:hyperlink w:anchor="page41">
              <w:r>
                <w:rPr>
                  <w:rFonts w:ascii="Arial" w:cs="Arial" w:eastAsia="Arial" w:hAnsi="Arial"/>
                  <w:sz w:val="14"/>
                  <w:szCs w:val="14"/>
                  <w:color w:val="0000FF"/>
                  <w:w w:val="96"/>
                </w:rPr>
                <w:t>Separation Agreement, effective September 20, 2018, by and between Lantheus Medical Imaging, Inc.</w:t>
              </w:r>
            </w:hyperlink>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180" w:type="dxa"/>
            <w:vAlign w:val="bottom"/>
            <w:tcBorders>
              <w:top w:val="single" w:sz="8" w:color="0000FF"/>
              <w:bottom w:val="single" w:sz="8" w:color="0000FF"/>
            </w:tcBorders>
            <w:gridSpan w:val="2"/>
            <w:shd w:val="clear" w:color="auto" w:fill="CCEEFF"/>
          </w:tcPr>
          <w:p>
            <w:pPr>
              <w:spacing w:after="0" w:line="129" w:lineRule="exact"/>
              <w:rPr>
                <w:rFonts w:ascii="Arial" w:cs="Arial" w:eastAsia="Arial" w:hAnsi="Arial"/>
                <w:sz w:val="14"/>
                <w:szCs w:val="14"/>
                <w:color w:val="0000FF"/>
                <w:w w:val="93"/>
              </w:rPr>
            </w:pPr>
            <w:hyperlink w:anchor="page41">
              <w:r>
                <w:rPr>
                  <w:rFonts w:ascii="Arial" w:cs="Arial" w:eastAsia="Arial" w:hAnsi="Arial"/>
                  <w:sz w:val="14"/>
                  <w:szCs w:val="14"/>
                  <w:color w:val="0000FF"/>
                  <w:w w:val="93"/>
                </w:rPr>
                <w:t>and Timothy Healey</w:t>
              </w:r>
            </w:hyperlink>
          </w:p>
        </w:tc>
        <w:tc>
          <w:tcPr>
            <w:tcW w:w="4720" w:type="dxa"/>
            <w:vAlign w:val="bottom"/>
            <w:tcBorders>
              <w:top w:val="single" w:sz="8" w:color="0000FF"/>
              <w:bottom w:val="single" w:sz="8" w:color="CCEEFF"/>
            </w:tcBorders>
            <w:gridSpan w:val="5"/>
            <w:shd w:val="clear" w:color="auto" w:fill="CCEEFF"/>
          </w:tcPr>
          <w:p>
            <w:pPr>
              <w:spacing w:after="0"/>
              <w:rPr>
                <w:sz w:val="12"/>
                <w:szCs w:val="12"/>
                <w:color w:val="auto"/>
              </w:rPr>
            </w:pPr>
          </w:p>
        </w:tc>
        <w:tc>
          <w:tcPr>
            <w:tcW w:w="2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5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10.2*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gridSpan w:val="9"/>
          </w:tcPr>
          <w:p>
            <w:pPr>
              <w:spacing w:after="0"/>
              <w:rPr>
                <w:rFonts w:ascii="Arial" w:cs="Arial" w:eastAsia="Arial" w:hAnsi="Arial"/>
                <w:sz w:val="14"/>
                <w:szCs w:val="14"/>
                <w:color w:val="0000FF"/>
                <w:w w:val="96"/>
              </w:rPr>
            </w:pPr>
            <w:hyperlink w:anchor="page47">
              <w:r>
                <w:rPr>
                  <w:rFonts w:ascii="Arial" w:cs="Arial" w:eastAsia="Arial" w:hAnsi="Arial"/>
                  <w:sz w:val="14"/>
                  <w:szCs w:val="14"/>
                  <w:color w:val="0000FF"/>
                  <w:w w:val="96"/>
                </w:rPr>
                <w:t>Separation Agreement, effective September 21, 2018, by and between Lantheus Medical Imaging, Inc.</w:t>
              </w:r>
            </w:hyperlink>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tcBorders>
              <w:top w:val="single" w:sz="8" w:color="0000FF"/>
            </w:tcBorders>
            <w:gridSpan w:val="7"/>
          </w:tcPr>
          <w:p>
            <w:pPr>
              <w:spacing w:after="0" w:line="129" w:lineRule="exact"/>
              <w:rPr>
                <w:rFonts w:ascii="Arial" w:cs="Arial" w:eastAsia="Arial" w:hAnsi="Arial"/>
                <w:sz w:val="14"/>
                <w:szCs w:val="14"/>
                <w:color w:val="0000FF"/>
              </w:rPr>
            </w:pPr>
            <w:hyperlink w:anchor="page47">
              <w:r>
                <w:rPr>
                  <w:rFonts w:ascii="Arial" w:cs="Arial" w:eastAsia="Arial" w:hAnsi="Arial"/>
                  <w:sz w:val="14"/>
                  <w:szCs w:val="14"/>
                  <w:color w:val="0000FF"/>
                </w:rPr>
                <w:t>and Jack Crowley</w:t>
              </w:r>
            </w:hyperlink>
          </w:p>
        </w:tc>
        <w:tc>
          <w:tcPr>
            <w:tcW w:w="22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0" w:type="dxa"/>
            <w:vAlign w:val="bottom"/>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31.1*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120" w:type="dxa"/>
            <w:vAlign w:val="bottom"/>
            <w:gridSpan w:val="9"/>
            <w:shd w:val="clear" w:color="auto" w:fill="CCEEFF"/>
          </w:tcPr>
          <w:p>
            <w:pPr>
              <w:spacing w:after="0"/>
              <w:rPr>
                <w:rFonts w:ascii="Arial" w:cs="Arial" w:eastAsia="Arial" w:hAnsi="Arial"/>
                <w:sz w:val="14"/>
                <w:szCs w:val="14"/>
                <w:color w:val="0000FF"/>
              </w:rPr>
            </w:pPr>
            <w:hyperlink w:anchor="page55">
              <w:r>
                <w:rPr>
                  <w:rFonts w:ascii="Arial" w:cs="Arial" w:eastAsia="Arial" w:hAnsi="Arial"/>
                  <w:sz w:val="14"/>
                  <w:szCs w:val="14"/>
                  <w:color w:val="0000FF"/>
                </w:rPr>
                <w:t>Certification of Chief Executive Officer pursuant to Exchange Act Rule 13a-14(a).</w:t>
              </w:r>
            </w:hyperlink>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1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1640" w:type="dxa"/>
            <w:vAlign w:val="bottom"/>
            <w:tcBorders>
              <w:top w:val="single" w:sz="8" w:color="0000FF"/>
            </w:tcBorders>
            <w:shd w:val="clear" w:color="auto" w:fill="CCEEFF"/>
          </w:tcPr>
          <w:p>
            <w:pPr>
              <w:spacing w:after="0"/>
              <w:rPr>
                <w:sz w:val="7"/>
                <w:szCs w:val="7"/>
                <w:color w:val="auto"/>
              </w:rPr>
            </w:pPr>
          </w:p>
        </w:tc>
        <w:tc>
          <w:tcPr>
            <w:tcW w:w="188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31.2*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120" w:type="dxa"/>
            <w:vAlign w:val="bottom"/>
            <w:gridSpan w:val="9"/>
          </w:tcPr>
          <w:p>
            <w:pPr>
              <w:spacing w:after="0"/>
              <w:rPr>
                <w:rFonts w:ascii="Arial" w:cs="Arial" w:eastAsia="Arial" w:hAnsi="Arial"/>
                <w:sz w:val="14"/>
                <w:szCs w:val="14"/>
                <w:color w:val="0000FF"/>
              </w:rPr>
            </w:pPr>
            <w:hyperlink w:anchor="page56">
              <w:r>
                <w:rPr>
                  <w:rFonts w:ascii="Arial" w:cs="Arial" w:eastAsia="Arial" w:hAnsi="Arial"/>
                  <w:sz w:val="14"/>
                  <w:szCs w:val="14"/>
                  <w:color w:val="0000FF"/>
                </w:rPr>
                <w:t>Certification of Chief Financial Officer pursuant to Exchange Act Rule 13a-14(a).</w:t>
              </w:r>
            </w:hyperlink>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640" w:type="dxa"/>
            <w:vAlign w:val="bottom"/>
            <w:tcBorders>
              <w:top w:val="single" w:sz="8" w:color="0000FF"/>
            </w:tcBorders>
          </w:tcPr>
          <w:p>
            <w:pPr>
              <w:spacing w:after="0"/>
              <w:rPr>
                <w:sz w:val="7"/>
                <w:szCs w:val="7"/>
                <w:color w:val="auto"/>
              </w:rPr>
            </w:pPr>
          </w:p>
        </w:tc>
        <w:tc>
          <w:tcPr>
            <w:tcW w:w="1880" w:type="dxa"/>
            <w:vAlign w:val="bottom"/>
            <w:tcBorders>
              <w:top w:val="single" w:sz="8" w:color="0000FF"/>
            </w:tcBorders>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120" w:type="dxa"/>
            <w:vAlign w:val="bottom"/>
            <w:gridSpan w:val="9"/>
            <w:shd w:val="clear" w:color="auto" w:fill="CCEEFF"/>
          </w:tcPr>
          <w:p>
            <w:pPr>
              <w:spacing w:after="0"/>
              <w:rPr>
                <w:rFonts w:ascii="Arial" w:cs="Arial" w:eastAsia="Arial" w:hAnsi="Arial"/>
                <w:sz w:val="14"/>
                <w:szCs w:val="14"/>
                <w:color w:val="0000FF"/>
              </w:rPr>
            </w:pPr>
            <w:hyperlink w:anchor="page57">
              <w:r>
                <w:rPr>
                  <w:rFonts w:ascii="Arial" w:cs="Arial" w:eastAsia="Arial" w:hAnsi="Arial"/>
                  <w:sz w:val="14"/>
                  <w:szCs w:val="14"/>
                  <w:color w:val="0000FF"/>
                </w:rPr>
                <w:t>Certification pursuant to 18 U.S.C. Section 1350.</w:t>
              </w:r>
            </w:hyperlink>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1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1640" w:type="dxa"/>
            <w:vAlign w:val="bottom"/>
            <w:tcBorders>
              <w:top w:val="single" w:sz="8" w:color="0000FF"/>
            </w:tcBorders>
            <w:shd w:val="clear" w:color="auto" w:fill="CCEEFF"/>
          </w:tcPr>
          <w:p>
            <w:pPr>
              <w:spacing w:after="0"/>
              <w:rPr>
                <w:sz w:val="7"/>
                <w:szCs w:val="7"/>
                <w:color w:val="auto"/>
              </w:rPr>
            </w:pPr>
          </w:p>
        </w:tc>
        <w:tc>
          <w:tcPr>
            <w:tcW w:w="18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101.INS*</w:t>
            </w:r>
          </w:p>
        </w:tc>
        <w:tc>
          <w:tcPr>
            <w:tcW w:w="40" w:type="dxa"/>
            <w:vAlign w:val="bottom"/>
          </w:tcPr>
          <w:p>
            <w:pPr>
              <w:spacing w:after="0"/>
              <w:rPr>
                <w:sz w:val="16"/>
                <w:szCs w:val="16"/>
                <w:color w:val="auto"/>
              </w:rPr>
            </w:pPr>
          </w:p>
        </w:tc>
        <w:tc>
          <w:tcPr>
            <w:tcW w:w="6120" w:type="dxa"/>
            <w:vAlign w:val="bottom"/>
            <w:gridSpan w:val="9"/>
          </w:tcPr>
          <w:p>
            <w:pPr>
              <w:spacing w:after="0"/>
              <w:rPr>
                <w:sz w:val="20"/>
                <w:szCs w:val="20"/>
                <w:color w:val="auto"/>
              </w:rPr>
            </w:pPr>
            <w:r>
              <w:rPr>
                <w:rFonts w:ascii="Arial" w:cs="Arial" w:eastAsia="Arial" w:hAnsi="Arial"/>
                <w:sz w:val="14"/>
                <w:szCs w:val="14"/>
                <w:color w:val="auto"/>
              </w:rPr>
              <w:t>XBRL Instance Document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101.SCH*</w:t>
            </w:r>
          </w:p>
        </w:tc>
        <w:tc>
          <w:tcPr>
            <w:tcW w:w="40" w:type="dxa"/>
            <w:vAlign w:val="bottom"/>
            <w:shd w:val="clear" w:color="auto" w:fill="CCEEFF"/>
          </w:tcPr>
          <w:p>
            <w:pPr>
              <w:spacing w:after="0"/>
              <w:rPr>
                <w:sz w:val="16"/>
                <w:szCs w:val="16"/>
                <w:color w:val="auto"/>
              </w:rPr>
            </w:pPr>
          </w:p>
        </w:tc>
        <w:tc>
          <w:tcPr>
            <w:tcW w:w="6120" w:type="dxa"/>
            <w:vAlign w:val="bottom"/>
            <w:gridSpan w:val="9"/>
            <w:shd w:val="clear" w:color="auto" w:fill="CCEEFF"/>
          </w:tcPr>
          <w:p>
            <w:pPr>
              <w:spacing w:after="0"/>
              <w:rPr>
                <w:sz w:val="20"/>
                <w:szCs w:val="20"/>
                <w:color w:val="auto"/>
              </w:rPr>
            </w:pPr>
            <w:r>
              <w:rPr>
                <w:rFonts w:ascii="Arial" w:cs="Arial" w:eastAsia="Arial" w:hAnsi="Arial"/>
                <w:sz w:val="14"/>
                <w:szCs w:val="14"/>
                <w:color w:val="auto"/>
              </w:rPr>
              <w:t>XBRL Taxonomy Extension Schema Document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rPr>
              <w:t>101.CAL*</w:t>
            </w:r>
          </w:p>
        </w:tc>
        <w:tc>
          <w:tcPr>
            <w:tcW w:w="40" w:type="dxa"/>
            <w:vAlign w:val="bottom"/>
          </w:tcPr>
          <w:p>
            <w:pPr>
              <w:spacing w:after="0"/>
              <w:rPr>
                <w:sz w:val="16"/>
                <w:szCs w:val="16"/>
                <w:color w:val="auto"/>
              </w:rPr>
            </w:pPr>
          </w:p>
        </w:tc>
        <w:tc>
          <w:tcPr>
            <w:tcW w:w="6120" w:type="dxa"/>
            <w:vAlign w:val="bottom"/>
            <w:gridSpan w:val="9"/>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101.DEF*</w:t>
            </w:r>
          </w:p>
        </w:tc>
        <w:tc>
          <w:tcPr>
            <w:tcW w:w="40" w:type="dxa"/>
            <w:vAlign w:val="bottom"/>
            <w:shd w:val="clear" w:color="auto" w:fill="CCEEFF"/>
          </w:tcPr>
          <w:p>
            <w:pPr>
              <w:spacing w:after="0"/>
              <w:rPr>
                <w:sz w:val="16"/>
                <w:szCs w:val="16"/>
                <w:color w:val="auto"/>
              </w:rPr>
            </w:pPr>
          </w:p>
        </w:tc>
        <w:tc>
          <w:tcPr>
            <w:tcW w:w="6120" w:type="dxa"/>
            <w:vAlign w:val="bottom"/>
            <w:gridSpan w:val="9"/>
            <w:shd w:val="clear" w:color="auto" w:fill="CCEEFF"/>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rPr>
              <w:t>101.LAB*</w:t>
            </w:r>
          </w:p>
        </w:tc>
        <w:tc>
          <w:tcPr>
            <w:tcW w:w="40" w:type="dxa"/>
            <w:vAlign w:val="bottom"/>
          </w:tcPr>
          <w:p>
            <w:pPr>
              <w:spacing w:after="0"/>
              <w:rPr>
                <w:sz w:val="16"/>
                <w:szCs w:val="16"/>
                <w:color w:val="auto"/>
              </w:rPr>
            </w:pPr>
          </w:p>
        </w:tc>
        <w:tc>
          <w:tcPr>
            <w:tcW w:w="6120" w:type="dxa"/>
            <w:vAlign w:val="bottom"/>
            <w:gridSpan w:val="9"/>
          </w:tcPr>
          <w:p>
            <w:pPr>
              <w:spacing w:after="0"/>
              <w:rPr>
                <w:sz w:val="20"/>
                <w:szCs w:val="20"/>
                <w:color w:val="auto"/>
              </w:rPr>
            </w:pPr>
            <w:r>
              <w:rPr>
                <w:rFonts w:ascii="Arial" w:cs="Arial" w:eastAsia="Arial" w:hAnsi="Arial"/>
                <w:sz w:val="14"/>
                <w:szCs w:val="14"/>
                <w:color w:val="auto"/>
              </w:rPr>
              <w:t>XBRL Taxonomy Extension Label Linkbase Document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101.PRE*</w:t>
            </w:r>
          </w:p>
        </w:tc>
        <w:tc>
          <w:tcPr>
            <w:tcW w:w="40" w:type="dxa"/>
            <w:vAlign w:val="bottom"/>
            <w:shd w:val="clear" w:color="auto" w:fill="CCEEFF"/>
          </w:tcPr>
          <w:p>
            <w:pPr>
              <w:spacing w:after="0"/>
              <w:rPr>
                <w:sz w:val="16"/>
                <w:szCs w:val="16"/>
                <w:color w:val="auto"/>
              </w:rPr>
            </w:pPr>
          </w:p>
        </w:tc>
        <w:tc>
          <w:tcPr>
            <w:tcW w:w="6120" w:type="dxa"/>
            <w:vAlign w:val="bottom"/>
            <w:gridSpan w:val="9"/>
            <w:shd w:val="clear" w:color="auto" w:fill="CCEEFF"/>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240" w:top="175"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LANTHEUS HOLDINGS, INC.</w:t>
      </w:r>
    </w:p>
    <w:p>
      <w:pPr>
        <w:spacing w:after="0" w:line="397" w:lineRule="exact"/>
        <w:rPr>
          <w:sz w:val="20"/>
          <w:szCs w:val="20"/>
          <w:color w:val="auto"/>
        </w:rPr>
      </w:pPr>
    </w:p>
    <w:tbl>
      <w:tblPr>
        <w:tblLayout w:type="fixed"/>
        <w:tblInd w:w="7220" w:type="dxa"/>
        <w:tblCellMar>
          <w:top w:w="0" w:type="dxa"/>
          <w:left w:w="0" w:type="dxa"/>
          <w:bottom w:w="0" w:type="dxa"/>
          <w:right w:w="0" w:type="dxa"/>
        </w:tblCellMar>
      </w:tblPr>
      <w:tr>
        <w:trPr>
          <w:trHeight w:val="220"/>
        </w:trPr>
        <w:tc>
          <w:tcPr>
            <w:tcW w:w="620" w:type="dxa"/>
            <w:vAlign w:val="bottom"/>
          </w:tcPr>
          <w:p>
            <w:pPr>
              <w:spacing w:after="0"/>
              <w:rPr>
                <w:sz w:val="20"/>
                <w:szCs w:val="20"/>
                <w:color w:val="auto"/>
              </w:rPr>
            </w:pPr>
            <w:r>
              <w:rPr>
                <w:rFonts w:ascii="Arial" w:cs="Arial" w:eastAsia="Arial" w:hAnsi="Arial"/>
                <w:sz w:val="16"/>
                <w:szCs w:val="16"/>
                <w:color w:val="auto"/>
              </w:rPr>
              <w:t>By:</w:t>
            </w:r>
          </w:p>
        </w:tc>
        <w:tc>
          <w:tcPr>
            <w:tcW w:w="3580" w:type="dxa"/>
            <w:vAlign w:val="bottom"/>
          </w:tcPr>
          <w:p>
            <w:pPr>
              <w:ind w:left="20"/>
              <w:spacing w:after="0"/>
              <w:rPr>
                <w:sz w:val="20"/>
                <w:szCs w:val="20"/>
                <w:color w:val="auto"/>
              </w:rPr>
            </w:pPr>
            <w:r>
              <w:rPr>
                <w:rFonts w:ascii="Arial" w:cs="Arial" w:eastAsia="Arial" w:hAnsi="Arial"/>
                <w:sz w:val="16"/>
                <w:szCs w:val="16"/>
                <w:color w:val="auto"/>
              </w:rPr>
              <w:t>/s/ MARY ANNE HEINO</w:t>
            </w:r>
          </w:p>
        </w:tc>
        <w:tc>
          <w:tcPr>
            <w:tcW w:w="0" w:type="dxa"/>
            <w:vAlign w:val="bottom"/>
          </w:tcPr>
          <w:p>
            <w:pPr>
              <w:spacing w:after="0"/>
              <w:rPr>
                <w:sz w:val="1"/>
                <w:szCs w:val="1"/>
                <w:color w:val="auto"/>
              </w:rPr>
            </w:pPr>
          </w:p>
        </w:tc>
      </w:tr>
      <w:tr>
        <w:trPr>
          <w:trHeight w:val="33"/>
        </w:trPr>
        <w:tc>
          <w:tcPr>
            <w:tcW w:w="6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3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vMerge w:val="continue"/>
          </w:tcPr>
          <w:p>
            <w:pPr>
              <w:spacing w:after="0"/>
              <w:rPr>
                <w:sz w:val="18"/>
                <w:szCs w:val="18"/>
                <w:color w:val="auto"/>
              </w:rPr>
            </w:pPr>
          </w:p>
        </w:tc>
        <w:tc>
          <w:tcPr>
            <w:tcW w:w="3580" w:type="dxa"/>
            <w:vAlign w:val="bottom"/>
          </w:tcPr>
          <w:p>
            <w:pPr>
              <w:ind w:left="20"/>
              <w:spacing w:after="0"/>
              <w:rPr>
                <w:sz w:val="20"/>
                <w:szCs w:val="20"/>
                <w:color w:val="auto"/>
              </w:rPr>
            </w:pPr>
            <w:r>
              <w:rPr>
                <w:rFonts w:ascii="Arial" w:cs="Arial" w:eastAsia="Arial" w:hAnsi="Arial"/>
                <w:sz w:val="16"/>
                <w:szCs w:val="16"/>
                <w:color w:val="auto"/>
              </w:rPr>
              <w:t>Mary Anne Heino</w:t>
            </w:r>
          </w:p>
        </w:tc>
        <w:tc>
          <w:tcPr>
            <w:tcW w:w="0" w:type="dxa"/>
            <w:vAlign w:val="bottom"/>
          </w:tcPr>
          <w:p>
            <w:pPr>
              <w:spacing w:after="0"/>
              <w:rPr>
                <w:sz w:val="1"/>
                <w:szCs w:val="1"/>
                <w:color w:val="auto"/>
              </w:rPr>
            </w:pPr>
          </w:p>
        </w:tc>
      </w:tr>
      <w:tr>
        <w:trPr>
          <w:trHeight w:val="253"/>
        </w:trPr>
        <w:tc>
          <w:tcPr>
            <w:tcW w:w="620" w:type="dxa"/>
            <w:vAlign w:val="bottom"/>
          </w:tcPr>
          <w:p>
            <w:pPr>
              <w:spacing w:after="0"/>
              <w:rPr>
                <w:sz w:val="20"/>
                <w:szCs w:val="20"/>
                <w:color w:val="auto"/>
              </w:rPr>
            </w:pPr>
            <w:r>
              <w:rPr>
                <w:rFonts w:ascii="Arial" w:cs="Arial" w:eastAsia="Arial" w:hAnsi="Arial"/>
                <w:sz w:val="16"/>
                <w:szCs w:val="16"/>
                <w:color w:val="auto"/>
              </w:rPr>
              <w:t>Title:</w:t>
            </w:r>
          </w:p>
        </w:tc>
        <w:tc>
          <w:tcPr>
            <w:tcW w:w="3580" w:type="dxa"/>
            <w:vAlign w:val="bottom"/>
          </w:tcPr>
          <w:p>
            <w:pPr>
              <w:ind w:left="20"/>
              <w:spacing w:after="0"/>
              <w:rPr>
                <w:sz w:val="20"/>
                <w:szCs w:val="20"/>
                <w:color w:val="auto"/>
              </w:rPr>
            </w:pPr>
            <w:r>
              <w:rPr>
                <w:rFonts w:ascii="Arial" w:cs="Arial" w:eastAsia="Arial" w:hAnsi="Arial"/>
                <w:sz w:val="16"/>
                <w:szCs w:val="16"/>
                <w:i w:val="1"/>
                <w:iCs w:val="1"/>
                <w:color w:val="auto"/>
              </w:rPr>
              <w:t>President and Chief Executive Officer</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r>
        <w:trPr>
          <w:trHeight w:val="257"/>
        </w:trPr>
        <w:tc>
          <w:tcPr>
            <w:tcW w:w="620" w:type="dxa"/>
            <w:vAlign w:val="bottom"/>
          </w:tcPr>
          <w:p>
            <w:pPr>
              <w:spacing w:after="0"/>
              <w:rPr>
                <w:sz w:val="20"/>
                <w:szCs w:val="20"/>
                <w:color w:val="auto"/>
              </w:rPr>
            </w:pPr>
            <w:r>
              <w:rPr>
                <w:rFonts w:ascii="Arial" w:cs="Arial" w:eastAsia="Arial" w:hAnsi="Arial"/>
                <w:sz w:val="16"/>
                <w:szCs w:val="16"/>
                <w:color w:val="auto"/>
              </w:rPr>
              <w:t>Date:</w:t>
            </w:r>
          </w:p>
        </w:tc>
        <w:tc>
          <w:tcPr>
            <w:tcW w:w="3580" w:type="dxa"/>
            <w:vAlign w:val="bottom"/>
          </w:tcPr>
          <w:p>
            <w:pPr>
              <w:ind w:left="20"/>
              <w:spacing w:after="0"/>
              <w:rPr>
                <w:sz w:val="20"/>
                <w:szCs w:val="20"/>
                <w:color w:val="auto"/>
              </w:rPr>
            </w:pPr>
            <w:r>
              <w:rPr>
                <w:rFonts w:ascii="Arial" w:cs="Arial" w:eastAsia="Arial" w:hAnsi="Arial"/>
                <w:sz w:val="16"/>
                <w:szCs w:val="16"/>
                <w:color w:val="auto"/>
              </w:rPr>
              <w:t>October 30, 2018</w:t>
            </w:r>
          </w:p>
        </w:tc>
        <w:tc>
          <w:tcPr>
            <w:tcW w:w="0" w:type="dxa"/>
            <w:vAlign w:val="bottom"/>
          </w:tcPr>
          <w:p>
            <w:pPr>
              <w:spacing w:after="0"/>
              <w:rPr>
                <w:sz w:val="1"/>
                <w:szCs w:val="1"/>
                <w:color w:val="auto"/>
              </w:rPr>
            </w:pPr>
          </w:p>
        </w:tc>
      </w:tr>
      <w:tr>
        <w:trPr>
          <w:trHeight w:val="594"/>
        </w:trPr>
        <w:tc>
          <w:tcPr>
            <w:tcW w:w="4200" w:type="dxa"/>
            <w:vAlign w:val="bottom"/>
            <w:gridSpan w:val="2"/>
          </w:tcPr>
          <w:p>
            <w:pPr>
              <w:spacing w:after="0"/>
              <w:rPr>
                <w:sz w:val="20"/>
                <w:szCs w:val="20"/>
                <w:color w:val="auto"/>
              </w:rPr>
            </w:pPr>
            <w:r>
              <w:rPr>
                <w:rFonts w:ascii="Arial" w:cs="Arial" w:eastAsia="Arial" w:hAnsi="Arial"/>
                <w:sz w:val="16"/>
                <w:szCs w:val="16"/>
                <w:color w:val="auto"/>
              </w:rPr>
              <w:t>LANTHEUS HOLDINGS, INC.</w:t>
            </w:r>
          </w:p>
        </w:tc>
        <w:tc>
          <w:tcPr>
            <w:tcW w:w="0" w:type="dxa"/>
            <w:vAlign w:val="bottom"/>
          </w:tcPr>
          <w:p>
            <w:pPr>
              <w:spacing w:after="0"/>
              <w:rPr>
                <w:sz w:val="1"/>
                <w:szCs w:val="1"/>
                <w:color w:val="auto"/>
              </w:rPr>
            </w:pPr>
          </w:p>
        </w:tc>
      </w:tr>
      <w:tr>
        <w:trPr>
          <w:trHeight w:val="594"/>
        </w:trPr>
        <w:tc>
          <w:tcPr>
            <w:tcW w:w="620" w:type="dxa"/>
            <w:vAlign w:val="bottom"/>
          </w:tcPr>
          <w:p>
            <w:pPr>
              <w:spacing w:after="0"/>
              <w:rPr>
                <w:sz w:val="20"/>
                <w:szCs w:val="20"/>
                <w:color w:val="auto"/>
              </w:rPr>
            </w:pPr>
            <w:r>
              <w:rPr>
                <w:rFonts w:ascii="Arial" w:cs="Arial" w:eastAsia="Arial" w:hAnsi="Arial"/>
                <w:sz w:val="16"/>
                <w:szCs w:val="16"/>
                <w:color w:val="auto"/>
              </w:rPr>
              <w:t>By:</w:t>
            </w:r>
          </w:p>
        </w:tc>
        <w:tc>
          <w:tcPr>
            <w:tcW w:w="3580" w:type="dxa"/>
            <w:vAlign w:val="bottom"/>
          </w:tcPr>
          <w:p>
            <w:pPr>
              <w:ind w:left="20"/>
              <w:spacing w:after="0"/>
              <w:rPr>
                <w:sz w:val="20"/>
                <w:szCs w:val="20"/>
                <w:color w:val="auto"/>
              </w:rPr>
            </w:pPr>
            <w:r>
              <w:rPr>
                <w:rFonts w:ascii="Arial" w:cs="Arial" w:eastAsia="Arial" w:hAnsi="Arial"/>
                <w:sz w:val="16"/>
                <w:szCs w:val="16"/>
                <w:color w:val="auto"/>
              </w:rPr>
              <w:t>/s/ ROBERT J. MARSHALL, JR.</w:t>
            </w:r>
          </w:p>
        </w:tc>
        <w:tc>
          <w:tcPr>
            <w:tcW w:w="0" w:type="dxa"/>
            <w:vAlign w:val="bottom"/>
          </w:tcPr>
          <w:p>
            <w:pPr>
              <w:spacing w:after="0"/>
              <w:rPr>
                <w:sz w:val="1"/>
                <w:szCs w:val="1"/>
                <w:color w:val="auto"/>
              </w:rPr>
            </w:pPr>
          </w:p>
        </w:tc>
      </w:tr>
      <w:tr>
        <w:trPr>
          <w:trHeight w:val="33"/>
        </w:trPr>
        <w:tc>
          <w:tcPr>
            <w:tcW w:w="6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3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vMerge w:val="continue"/>
          </w:tcPr>
          <w:p>
            <w:pPr>
              <w:spacing w:after="0"/>
              <w:rPr>
                <w:sz w:val="18"/>
                <w:szCs w:val="18"/>
                <w:color w:val="auto"/>
              </w:rPr>
            </w:pPr>
          </w:p>
        </w:tc>
        <w:tc>
          <w:tcPr>
            <w:tcW w:w="3580" w:type="dxa"/>
            <w:vAlign w:val="bottom"/>
          </w:tcPr>
          <w:p>
            <w:pPr>
              <w:ind w:left="20"/>
              <w:spacing w:after="0"/>
              <w:rPr>
                <w:sz w:val="20"/>
                <w:szCs w:val="20"/>
                <w:color w:val="auto"/>
              </w:rPr>
            </w:pPr>
            <w:r>
              <w:rPr>
                <w:rFonts w:ascii="Arial" w:cs="Arial" w:eastAsia="Arial" w:hAnsi="Arial"/>
                <w:sz w:val="16"/>
                <w:szCs w:val="16"/>
                <w:color w:val="auto"/>
              </w:rPr>
              <w:t>Robert J. Marshall, Jr.</w:t>
            </w:r>
          </w:p>
        </w:tc>
        <w:tc>
          <w:tcPr>
            <w:tcW w:w="0" w:type="dxa"/>
            <w:vAlign w:val="bottom"/>
          </w:tcPr>
          <w:p>
            <w:pPr>
              <w:spacing w:after="0"/>
              <w:rPr>
                <w:sz w:val="1"/>
                <w:szCs w:val="1"/>
                <w:color w:val="auto"/>
              </w:rPr>
            </w:pPr>
          </w:p>
        </w:tc>
      </w:tr>
      <w:tr>
        <w:trPr>
          <w:trHeight w:val="253"/>
        </w:trPr>
        <w:tc>
          <w:tcPr>
            <w:tcW w:w="620" w:type="dxa"/>
            <w:vAlign w:val="bottom"/>
          </w:tcPr>
          <w:p>
            <w:pPr>
              <w:spacing w:after="0"/>
              <w:rPr>
                <w:sz w:val="20"/>
                <w:szCs w:val="20"/>
                <w:color w:val="auto"/>
              </w:rPr>
            </w:pPr>
            <w:r>
              <w:rPr>
                <w:rFonts w:ascii="Arial" w:cs="Arial" w:eastAsia="Arial" w:hAnsi="Arial"/>
                <w:sz w:val="16"/>
                <w:szCs w:val="16"/>
                <w:color w:val="auto"/>
              </w:rPr>
              <w:t>Title:</w:t>
            </w:r>
          </w:p>
        </w:tc>
        <w:tc>
          <w:tcPr>
            <w:tcW w:w="358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 and Treasurer</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 and Principal</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6"/>
                <w:szCs w:val="16"/>
                <w:i w:val="1"/>
                <w:iCs w:val="1"/>
                <w:color w:val="auto"/>
              </w:rPr>
              <w:t>Accounting Officer)</w:t>
            </w:r>
          </w:p>
        </w:tc>
        <w:tc>
          <w:tcPr>
            <w:tcW w:w="0" w:type="dxa"/>
            <w:vAlign w:val="bottom"/>
          </w:tcPr>
          <w:p>
            <w:pPr>
              <w:spacing w:after="0"/>
              <w:rPr>
                <w:sz w:val="1"/>
                <w:szCs w:val="1"/>
                <w:color w:val="auto"/>
              </w:rPr>
            </w:pPr>
          </w:p>
        </w:tc>
      </w:tr>
      <w:tr>
        <w:trPr>
          <w:trHeight w:val="257"/>
        </w:trPr>
        <w:tc>
          <w:tcPr>
            <w:tcW w:w="620" w:type="dxa"/>
            <w:vAlign w:val="bottom"/>
          </w:tcPr>
          <w:p>
            <w:pPr>
              <w:spacing w:after="0"/>
              <w:rPr>
                <w:sz w:val="20"/>
                <w:szCs w:val="20"/>
                <w:color w:val="auto"/>
              </w:rPr>
            </w:pPr>
            <w:r>
              <w:rPr>
                <w:rFonts w:ascii="Arial" w:cs="Arial" w:eastAsia="Arial" w:hAnsi="Arial"/>
                <w:sz w:val="16"/>
                <w:szCs w:val="16"/>
                <w:color w:val="auto"/>
              </w:rPr>
              <w:t>Date:</w:t>
            </w:r>
          </w:p>
        </w:tc>
        <w:tc>
          <w:tcPr>
            <w:tcW w:w="3580" w:type="dxa"/>
            <w:vAlign w:val="bottom"/>
          </w:tcPr>
          <w:p>
            <w:pPr>
              <w:ind w:left="20"/>
              <w:spacing w:after="0"/>
              <w:rPr>
                <w:sz w:val="20"/>
                <w:szCs w:val="20"/>
                <w:color w:val="auto"/>
              </w:rPr>
            </w:pPr>
            <w:r>
              <w:rPr>
                <w:rFonts w:ascii="Arial" w:cs="Arial" w:eastAsia="Arial" w:hAnsi="Arial"/>
                <w:sz w:val="16"/>
                <w:szCs w:val="16"/>
                <w:color w:val="auto"/>
              </w:rPr>
              <w:t>October 30, 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7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July 25,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HAND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Timothy Healey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Lantheus Medical Imaging,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331 Treble Cove Road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 Billerica, MA 01862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Tim:</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confirms the terms of your separation from Lantheus Medical Imaging, Inc. (the “</w:t>
      </w:r>
      <w:r>
        <w:rPr>
          <w:rFonts w:ascii="Arial" w:cs="Arial" w:eastAsia="Arial" w:hAnsi="Arial"/>
          <w:sz w:val="18"/>
          <w:szCs w:val="18"/>
          <w:u w:val="single" w:color="auto"/>
          <w:color w:val="auto"/>
        </w:rPr>
        <w:t>Company</w:t>
      </w:r>
      <w:r>
        <w:rPr>
          <w:rFonts w:ascii="Arial" w:cs="Arial" w:eastAsia="Arial" w:hAnsi="Arial"/>
          <w:sz w:val="18"/>
          <w:szCs w:val="18"/>
          <w:color w:val="auto"/>
        </w:rPr>
        <w:t>”), effective as of July 25, 2018 (the “</w:t>
      </w:r>
      <w:r>
        <w:rPr>
          <w:rFonts w:ascii="Arial" w:cs="Arial" w:eastAsia="Arial" w:hAnsi="Arial"/>
          <w:sz w:val="18"/>
          <w:szCs w:val="18"/>
          <w:u w:val="single" w:color="auto"/>
          <w:color w:val="auto"/>
        </w:rPr>
        <w:t>Separation Date</w:t>
      </w:r>
      <w:r>
        <w:rPr>
          <w:rFonts w:ascii="Arial" w:cs="Arial" w:eastAsia="Arial" w:hAnsi="Arial"/>
          <w:sz w:val="18"/>
          <w:szCs w:val="18"/>
          <w:color w:val="auto"/>
        </w:rPr>
        <w:t>”).</w:t>
      </w:r>
    </w:p>
    <w:p>
      <w:pPr>
        <w:spacing w:after="0" w:line="166" w:lineRule="exact"/>
        <w:rPr>
          <w:sz w:val="20"/>
          <w:szCs w:val="20"/>
          <w:color w:val="auto"/>
        </w:rPr>
      </w:pPr>
    </w:p>
    <w:p>
      <w:pPr>
        <w:jc w:val="both"/>
        <w:ind w:left="660" w:hanging="652"/>
        <w:spacing w:after="0" w:line="298"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Resignations. </w:t>
      </w:r>
      <w:r>
        <w:rPr>
          <w:rFonts w:ascii="Arial" w:cs="Arial" w:eastAsia="Arial" w:hAnsi="Arial"/>
          <w:sz w:val="16"/>
          <w:szCs w:val="16"/>
          <w:color w:val="auto"/>
        </w:rPr>
        <w:t>On the Separation Date, you will be deemed to have resigned from your position as Senior Vice President, Commercial and from any</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(i) officer positions you hold with the Company or any of its Affiliates (as defined below); (ii) memberships you hold on any boards of directors, boards of managers or other governing boards or bodies of the Company or any of its Affiliates; and (iii) memberships you hold on any of the committees of any of those boards or bodies. For purposes of this Agreement, “</w:t>
      </w:r>
      <w:r>
        <w:rPr>
          <w:rFonts w:ascii="Arial" w:cs="Arial" w:eastAsia="Arial" w:hAnsi="Arial"/>
          <w:sz w:val="16"/>
          <w:szCs w:val="16"/>
          <w:u w:val="single" w:color="auto"/>
          <w:color w:val="auto"/>
        </w:rPr>
        <w:t>Affiliates</w:t>
      </w:r>
      <w:r>
        <w:rPr>
          <w:rFonts w:ascii="Arial" w:cs="Arial" w:eastAsia="Arial" w:hAnsi="Arial"/>
          <w:sz w:val="16"/>
          <w:szCs w:val="16"/>
          <w:color w:val="auto"/>
        </w:rPr>
        <w:t>” means all persons and entities directly or indirectly controlling, controlled by or under common control with the Company, whether control by management authority, equity interest or otherwise.</w:t>
      </w:r>
    </w:p>
    <w:p>
      <w:pPr>
        <w:spacing w:after="0" w:line="154" w:lineRule="exact"/>
        <w:rPr>
          <w:rFonts w:ascii="Arial" w:cs="Arial" w:eastAsia="Arial" w:hAnsi="Arial"/>
          <w:sz w:val="16"/>
          <w:szCs w:val="16"/>
          <w:color w:val="auto"/>
        </w:rPr>
      </w:pPr>
    </w:p>
    <w:p>
      <w:pPr>
        <w:jc w:val="both"/>
        <w:ind w:left="660" w:hanging="652"/>
        <w:spacing w:after="0" w:line="273"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Final Compensation. </w:t>
      </w:r>
      <w:r>
        <w:rPr>
          <w:rFonts w:ascii="Arial" w:cs="Arial" w:eastAsia="Arial" w:hAnsi="Arial"/>
          <w:sz w:val="17"/>
          <w:szCs w:val="17"/>
          <w:color w:val="auto"/>
        </w:rPr>
        <w:t>You will receive, on or as soon as reasonably practicable following the Separation Date, in the form of one or more payroll</w:t>
      </w:r>
      <w:r>
        <w:rPr>
          <w:rFonts w:ascii="Arial" w:cs="Arial" w:eastAsia="Arial" w:hAnsi="Arial"/>
          <w:sz w:val="17"/>
          <w:szCs w:val="17"/>
          <w:b w:val="1"/>
          <w:bCs w:val="1"/>
          <w:color w:val="auto"/>
        </w:rPr>
        <w:t xml:space="preserve"> </w:t>
      </w:r>
      <w:r>
        <w:rPr>
          <w:rFonts w:ascii="Arial" w:cs="Arial" w:eastAsia="Arial" w:hAnsi="Arial"/>
          <w:sz w:val="17"/>
          <w:szCs w:val="17"/>
          <w:color w:val="auto"/>
        </w:rPr>
        <w:t>checks, (i) your base salary for the final, unpaid payroll period(s) of your employment through the Separation Date; (ii) compensation at the rate of your base salary for any vacation time accrued but not used as of the Separation Date; (iii) any contributions that you have made under any employee stock purchase plan of Lantheus Holdings, Inc.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or any of its Affiliates that are refundable to you under its respective terms and conditions; and (iv) reimbursement for business expenses incurred by you but not yet paid to you as of the Separation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you submit all expenses and supporting documentation required within thirty (30) days of the Separation Date and that those expenses are reimbursable under Company policies in effect as of the Separation Date.</w:t>
      </w:r>
    </w:p>
    <w:p>
      <w:pPr>
        <w:spacing w:after="0" w:line="172" w:lineRule="exact"/>
        <w:rPr>
          <w:rFonts w:ascii="Arial" w:cs="Arial" w:eastAsia="Arial" w:hAnsi="Arial"/>
          <w:sz w:val="17"/>
          <w:szCs w:val="17"/>
          <w:color w:val="auto"/>
        </w:rPr>
      </w:pPr>
    </w:p>
    <w:p>
      <w:pPr>
        <w:jc w:val="both"/>
        <w:ind w:left="660" w:hanging="652"/>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Employee Benefits. </w:t>
      </w:r>
      <w:r>
        <w:rPr>
          <w:rFonts w:ascii="Arial" w:cs="Arial" w:eastAsia="Arial" w:hAnsi="Arial"/>
          <w:sz w:val="18"/>
          <w:szCs w:val="18"/>
          <w:color w:val="auto"/>
        </w:rPr>
        <w:t>Except for any right you may have to continue your participation and that of your eligible dependents in the Company’s group</w:t>
      </w:r>
      <w:r>
        <w:rPr>
          <w:rFonts w:ascii="Arial" w:cs="Arial" w:eastAsia="Arial" w:hAnsi="Arial"/>
          <w:sz w:val="18"/>
          <w:szCs w:val="18"/>
          <w:b w:val="1"/>
          <w:bCs w:val="1"/>
          <w:color w:val="auto"/>
        </w:rPr>
        <w:t xml:space="preserve"> </w:t>
      </w:r>
      <w:r>
        <w:rPr>
          <w:rFonts w:ascii="Arial" w:cs="Arial" w:eastAsia="Arial" w:hAnsi="Arial"/>
          <w:sz w:val="18"/>
          <w:szCs w:val="18"/>
          <w:color w:val="auto"/>
        </w:rPr>
        <w:t>health plans under the Consolidated Omnibus Budget Reconciliation Act of 1985 (“</w:t>
      </w:r>
      <w:r>
        <w:rPr>
          <w:rFonts w:ascii="Arial" w:cs="Arial" w:eastAsia="Arial" w:hAnsi="Arial"/>
          <w:sz w:val="18"/>
          <w:szCs w:val="18"/>
          <w:u w:val="single" w:color="auto"/>
          <w:color w:val="auto"/>
        </w:rPr>
        <w:t>COBRA</w:t>
      </w:r>
      <w:r>
        <w:rPr>
          <w:rFonts w:ascii="Arial" w:cs="Arial" w:eastAsia="Arial" w:hAnsi="Arial"/>
          <w:sz w:val="18"/>
          <w:szCs w:val="18"/>
          <w:color w:val="auto"/>
        </w:rPr>
        <w:t>”) or similar state law, your participation in all employee benefit plans and programs of the Company and its Affiliates will end as of the last day of the month in which the Separation Date occurs. You will receive information about your COBRA continuation rights under separate cover.</w:t>
      </w:r>
    </w:p>
    <w:p>
      <w:pPr>
        <w:spacing w:after="0" w:line="180" w:lineRule="exact"/>
        <w:rPr>
          <w:rFonts w:ascii="Arial" w:cs="Arial" w:eastAsia="Arial" w:hAnsi="Arial"/>
          <w:sz w:val="18"/>
          <w:szCs w:val="18"/>
          <w:color w:val="auto"/>
        </w:rPr>
      </w:pPr>
    </w:p>
    <w:p>
      <w:pPr>
        <w:jc w:val="both"/>
        <w:ind w:left="660" w:hanging="652"/>
        <w:spacing w:after="0" w:line="29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Equity Awards. </w:t>
      </w:r>
      <w:r>
        <w:rPr>
          <w:rFonts w:ascii="Arial" w:cs="Arial" w:eastAsia="Arial" w:hAnsi="Arial"/>
          <w:sz w:val="16"/>
          <w:szCs w:val="16"/>
          <w:color w:val="auto"/>
        </w:rPr>
        <w:t>You hold certain equity awards granted to you by Lantheus Holdings, Inc. (“</w:t>
      </w:r>
      <w:r>
        <w:rPr>
          <w:rFonts w:ascii="Arial" w:cs="Arial" w:eastAsia="Arial" w:hAnsi="Arial"/>
          <w:sz w:val="16"/>
          <w:szCs w:val="16"/>
          <w:u w:val="single" w:color="auto"/>
          <w:color w:val="auto"/>
        </w:rPr>
        <w:t>Parent</w:t>
      </w:r>
      <w:r>
        <w:rPr>
          <w:rFonts w:ascii="Arial" w:cs="Arial" w:eastAsia="Arial" w:hAnsi="Arial"/>
          <w:sz w:val="16"/>
          <w:szCs w:val="16"/>
          <w:color w:val="auto"/>
        </w:rPr>
        <w:t>”), an Affiliate of the Company, under its 2008</w:t>
      </w:r>
      <w:r>
        <w:rPr>
          <w:rFonts w:ascii="Arial" w:cs="Arial" w:eastAsia="Arial" w:hAnsi="Arial"/>
          <w:sz w:val="16"/>
          <w:szCs w:val="16"/>
          <w:b w:val="1"/>
          <w:bCs w:val="1"/>
          <w:color w:val="auto"/>
        </w:rPr>
        <w:t xml:space="preserve"> </w:t>
      </w:r>
      <w:r>
        <w:rPr>
          <w:rFonts w:ascii="Arial" w:cs="Arial" w:eastAsia="Arial" w:hAnsi="Arial"/>
          <w:sz w:val="16"/>
          <w:szCs w:val="16"/>
          <w:color w:val="auto"/>
        </w:rPr>
        <w:t>Equity Incentive Plan, 2013 Equity Incentive Plan and/or 2015 Equity Incentive Plan, each as amended, and the equity incentive agreements evidencing those grants entered into between you and Parent under those plans (collectively, the “</w:t>
      </w:r>
      <w:r>
        <w:rPr>
          <w:rFonts w:ascii="Arial" w:cs="Arial" w:eastAsia="Arial" w:hAnsi="Arial"/>
          <w:sz w:val="16"/>
          <w:szCs w:val="16"/>
          <w:u w:val="single" w:color="auto"/>
          <w:color w:val="auto"/>
        </w:rPr>
        <w:t>Equity Agreements</w:t>
      </w:r>
      <w:r>
        <w:rPr>
          <w:rFonts w:ascii="Arial" w:cs="Arial" w:eastAsia="Arial" w:hAnsi="Arial"/>
          <w:sz w:val="16"/>
          <w:szCs w:val="16"/>
          <w:color w:val="auto"/>
        </w:rPr>
        <w:t>” and those equity awards, collectively, the “</w:t>
      </w:r>
      <w:r>
        <w:rPr>
          <w:rFonts w:ascii="Arial" w:cs="Arial" w:eastAsia="Arial" w:hAnsi="Arial"/>
          <w:sz w:val="16"/>
          <w:szCs w:val="16"/>
          <w:u w:val="single" w:color="auto"/>
          <w:color w:val="auto"/>
        </w:rPr>
        <w:t>Equity Awards</w:t>
      </w:r>
      <w:r>
        <w:rPr>
          <w:rFonts w:ascii="Arial" w:cs="Arial" w:eastAsia="Arial" w:hAnsi="Arial"/>
          <w:sz w:val="16"/>
          <w:szCs w:val="16"/>
          <w:color w:val="auto"/>
        </w:rPr>
        <w:t>”). You acknowledge and agree that all Equity Awards that are unvested as of the Separation Date are being forfeited for no consideration due to you in accordance with the Equity Agreements, and all of your then-vested Equity Awards will continue to be subject to the terms and conditions of the applicable Equity Agreements, including the post-termination of employment exercise provisions thereof.</w:t>
      </w:r>
    </w:p>
    <w:p>
      <w:pPr>
        <w:spacing w:after="0" w:line="155" w:lineRule="exact"/>
        <w:rPr>
          <w:rFonts w:ascii="Arial" w:cs="Arial" w:eastAsia="Arial" w:hAnsi="Arial"/>
          <w:sz w:val="16"/>
          <w:szCs w:val="16"/>
          <w:color w:val="auto"/>
        </w:rPr>
      </w:pPr>
    </w:p>
    <w:p>
      <w:pPr>
        <w:jc w:val="both"/>
        <w:ind w:left="660" w:hanging="652"/>
        <w:spacing w:after="0" w:line="289"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Severance Payments. </w:t>
      </w:r>
      <w:r>
        <w:rPr>
          <w:rFonts w:ascii="Arial" w:cs="Arial" w:eastAsia="Arial" w:hAnsi="Arial"/>
          <w:sz w:val="17"/>
          <w:szCs w:val="17"/>
          <w:color w:val="auto"/>
        </w:rPr>
        <w:t>Subject to your execution of this Agreement within fifty (50) days following the Separation Date and your not revoking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within the seven (7)-day period immediately thereafter, and subject to your meeting in full your obligations under this Agreement and the Continuing Obligations (as defined in Section 8(a) below), the Company will provide you with the following:</w:t>
      </w:r>
    </w:p>
    <w:p>
      <w:pPr>
        <w:spacing w:after="0" w:line="162"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amount equal to the sum of (x) $228,589.04, representing a pro rata portion of an amount equal to forty-five percent (45%) of your</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annual base salary on the Separation Date, based upon the percentage of the fiscal year elapsed through Separation Date, plus</w:t>
      </w:r>
    </w:p>
    <w:p>
      <w:pPr>
        <w:spacing w:after="0" w:line="21" w:lineRule="exact"/>
        <w:rPr>
          <w:sz w:val="20"/>
          <w:szCs w:val="20"/>
          <w:color w:val="auto"/>
        </w:rPr>
      </w:pPr>
    </w:p>
    <w:p>
      <w:pPr>
        <w:ind w:left="1300" w:firstLine="5"/>
        <w:spacing w:after="0" w:line="261" w:lineRule="auto"/>
        <w:tabs>
          <w:tab w:leader="none" w:pos="15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$407,000.00, representing your annual base salary, which amount (i.e., the sum of clauses (x) and (y)) will be paid in substantially equal installments over a period of twelve (12)</w:t>
      </w:r>
    </w:p>
    <w:p>
      <w:pPr>
        <w:sectPr>
          <w:pgSz w:w="11900" w:h="16838" w:orient="portrait"/>
          <w:cols w:equalWidth="0" w:num="1">
            <w:col w:w="11420"/>
          </w:cols>
          <w:pgMar w:left="240" w:top="634" w:right="239" w:bottom="1440" w:gutter="0" w:footer="0" w:header="0"/>
        </w:sectPr>
      </w:pPr>
    </w:p>
    <w:bookmarkStart w:id="41" w:name="page42"/>
    <w:bookmarkEnd w:id="41"/>
    <w:p>
      <w:pPr>
        <w:jc w:val="both"/>
        <w:ind w:left="1292"/>
        <w:spacing w:after="0" w:line="264" w:lineRule="auto"/>
        <w:rPr>
          <w:sz w:val="20"/>
          <w:szCs w:val="20"/>
          <w:color w:val="auto"/>
        </w:rPr>
      </w:pPr>
      <w:r>
        <w:rPr>
          <w:rFonts w:ascii="Arial" w:cs="Arial" w:eastAsia="Arial" w:hAnsi="Arial"/>
          <w:sz w:val="18"/>
          <w:szCs w:val="18"/>
          <w:color w:val="auto"/>
        </w:rPr>
        <w:t>months following the Separation Date (the “</w:t>
      </w:r>
      <w:r>
        <w:rPr>
          <w:rFonts w:ascii="Arial" w:cs="Arial" w:eastAsia="Arial" w:hAnsi="Arial"/>
          <w:sz w:val="18"/>
          <w:szCs w:val="18"/>
          <w:u w:val="single" w:color="auto"/>
          <w:color w:val="auto"/>
        </w:rPr>
        <w:t>Severance Period</w:t>
      </w:r>
      <w:r>
        <w:rPr>
          <w:rFonts w:ascii="Arial" w:cs="Arial" w:eastAsia="Arial" w:hAnsi="Arial"/>
          <w:sz w:val="18"/>
          <w:szCs w:val="18"/>
          <w:color w:val="auto"/>
        </w:rPr>
        <w:t>”) in accordance with the Company’s regular payroll practices, with the first payment commencing on the Company’s first payroll date after the sixtieth (60</w:t>
      </w:r>
      <w:r>
        <w:rPr>
          <w:rFonts w:ascii="Arial" w:cs="Arial" w:eastAsia="Arial" w:hAnsi="Arial"/>
          <w:sz w:val="25"/>
          <w:szCs w:val="25"/>
          <w:color w:val="auto"/>
          <w:vertAlign w:val="superscript"/>
        </w:rPr>
        <w:t>th</w:t>
      </w:r>
      <w:r>
        <w:rPr>
          <w:rFonts w:ascii="Arial" w:cs="Arial" w:eastAsia="Arial" w:hAnsi="Arial"/>
          <w:sz w:val="18"/>
          <w:szCs w:val="18"/>
          <w:color w:val="auto"/>
        </w:rPr>
        <w:t>) day following the Separation Date, and with the first payment including any of those amounts that would otherwise have been paid prior thereto; and</w:t>
      </w:r>
    </w:p>
    <w:p>
      <w:pPr>
        <w:spacing w:after="0" w:line="187" w:lineRule="exact"/>
        <w:rPr>
          <w:sz w:val="20"/>
          <w:szCs w:val="20"/>
          <w:color w:val="auto"/>
        </w:rPr>
      </w:pPr>
    </w:p>
    <w:p>
      <w:pPr>
        <w:jc w:val="both"/>
        <w:ind w:left="1292" w:hanging="644"/>
        <w:spacing w:after="0" w:line="272" w:lineRule="auto"/>
        <w:tabs>
          <w:tab w:leader="none" w:pos="1292" w:val="left"/>
        </w:tabs>
        <w:numPr>
          <w:ilvl w:val="1"/>
          <w:numId w:val="22"/>
        </w:numPr>
        <w:rPr>
          <w:rFonts w:ascii="Arial" w:cs="Arial" w:eastAsia="Arial" w:hAnsi="Arial"/>
          <w:sz w:val="17"/>
          <w:szCs w:val="17"/>
          <w:color w:val="auto"/>
        </w:rPr>
      </w:pPr>
      <w:r>
        <w:rPr>
          <w:rFonts w:ascii="Arial" w:cs="Arial" w:eastAsia="Arial" w:hAnsi="Arial"/>
          <w:sz w:val="17"/>
          <w:szCs w:val="17"/>
          <w:color w:val="auto"/>
        </w:rPr>
        <w:t>provided that you timely and properly elect to purchase continued healthcare coverage under COBRA, Company-subsidized COBRA benefits (in an amount representing the Company’s contribution level for active employees at the time of payment) for the period ending on the earliest of (i) the expiration of the Severance Period, (ii) the date on which you become covered under another employer’s health plan and (iii) the expiration of the maximum COBRA continuation coverage period for which you are eligible under federal law (for the avoidance of doubt, during this subsidized period, you will be responsible for paying a COBRA premium equal to the active employee contribution rate directly to the Company’s COBRA administrator, and you will be responsible for paying the entirety of the COBRA premium directly to the Company’s COBRA administrator after this period).</w:t>
      </w:r>
    </w:p>
    <w:p>
      <w:pPr>
        <w:spacing w:after="0" w:line="173" w:lineRule="exact"/>
        <w:rPr>
          <w:rFonts w:ascii="Arial" w:cs="Arial" w:eastAsia="Arial" w:hAnsi="Arial"/>
          <w:sz w:val="17"/>
          <w:szCs w:val="17"/>
          <w:color w:val="auto"/>
        </w:rPr>
      </w:pPr>
    </w:p>
    <w:p>
      <w:pPr>
        <w:jc w:val="both"/>
        <w:ind w:left="652" w:hanging="652"/>
        <w:spacing w:after="0" w:line="281" w:lineRule="auto"/>
        <w:tabs>
          <w:tab w:leader="none" w:pos="652"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Acknowledgement of Full Payment. </w:t>
      </w:r>
      <w:r>
        <w:rPr>
          <w:rFonts w:ascii="Arial" w:cs="Arial" w:eastAsia="Arial" w:hAnsi="Arial"/>
          <w:sz w:val="17"/>
          <w:szCs w:val="17"/>
          <w:color w:val="auto"/>
        </w:rPr>
        <w:t>You acknowledge and agree that the payments and other benefits provided under this Agreement are in</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 satisfaction of any and all compensation and benefits due to you from the Company or any of its Affiliates, whether for services provided to the Company or otherwise, through the Separation Date. You further acknowledge that, except as expressly provided under this Agreement, no further compensation or benefits are owed or will be provided to you by the Company or any of its Affiliates.</w:t>
      </w:r>
    </w:p>
    <w:p>
      <w:pPr>
        <w:spacing w:after="0" w:line="164" w:lineRule="exact"/>
        <w:rPr>
          <w:rFonts w:ascii="Arial" w:cs="Arial" w:eastAsia="Arial" w:hAnsi="Arial"/>
          <w:sz w:val="17"/>
          <w:szCs w:val="17"/>
          <w:color w:val="auto"/>
        </w:rPr>
      </w:pPr>
    </w:p>
    <w:p>
      <w:pPr>
        <w:jc w:val="both"/>
        <w:ind w:left="652" w:hanging="652"/>
        <w:spacing w:after="0" w:line="273" w:lineRule="auto"/>
        <w:tabs>
          <w:tab w:leader="none" w:pos="652"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Taxes and Withholding. </w:t>
      </w:r>
      <w:r>
        <w:rPr>
          <w:rFonts w:ascii="Arial" w:cs="Arial" w:eastAsia="Arial" w:hAnsi="Arial"/>
          <w:sz w:val="17"/>
          <w:szCs w:val="17"/>
          <w:color w:val="auto"/>
        </w:rPr>
        <w:t>All payments made by the Company under this Agreement will be reduced by any tax or other amounts required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withheld by the Company under applicable law. This Agreement and the payments and benefits provided under this Agreement are intended to be exempt from the requirements of Section 409A of the Internal Revenue Code of 1986, as amended (“</w:t>
      </w:r>
      <w:r>
        <w:rPr>
          <w:rFonts w:ascii="Arial" w:cs="Arial" w:eastAsia="Arial" w:hAnsi="Arial"/>
          <w:sz w:val="17"/>
          <w:szCs w:val="17"/>
          <w:u w:val="single" w:color="auto"/>
          <w:color w:val="auto"/>
        </w:rPr>
        <w:t>Section 409A</w:t>
      </w:r>
      <w:r>
        <w:rPr>
          <w:rFonts w:ascii="Arial" w:cs="Arial" w:eastAsia="Arial" w:hAnsi="Arial"/>
          <w:sz w:val="17"/>
          <w:szCs w:val="17"/>
          <w:color w:val="auto"/>
        </w:rPr>
        <w:t>”), and this Agreement will be construed consistently with that intent. Without limiting the foregoing, the severance payments set forth in Section 5 of this Agreement are intended to be exempt from Section 409A as “separation pay” within the meaning of Section 1.409A-1(b)(9)(iii) of the Treasury Regulations. Notwithstanding anything to the contrary, in no event will the Company have any liability relating to the failure or alleged failure of any payment or benefit under this Agreement to be exempt from the requirements of Section 409A.</w:t>
      </w:r>
    </w:p>
    <w:p>
      <w:pPr>
        <w:spacing w:after="0" w:line="172" w:lineRule="exact"/>
        <w:rPr>
          <w:rFonts w:ascii="Arial" w:cs="Arial" w:eastAsia="Arial" w:hAnsi="Arial"/>
          <w:sz w:val="17"/>
          <w:szCs w:val="17"/>
          <w:color w:val="auto"/>
        </w:rPr>
      </w:pPr>
    </w:p>
    <w:p>
      <w:pPr>
        <w:ind w:left="652" w:hanging="652"/>
        <w:spacing w:after="0"/>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Continuing Obligations.</w:t>
      </w:r>
    </w:p>
    <w:p>
      <w:pPr>
        <w:spacing w:after="0" w:line="229" w:lineRule="exact"/>
        <w:rPr>
          <w:rFonts w:ascii="Arial" w:cs="Arial" w:eastAsia="Arial" w:hAnsi="Arial"/>
          <w:sz w:val="18"/>
          <w:szCs w:val="18"/>
          <w:color w:val="auto"/>
        </w:rPr>
      </w:pPr>
    </w:p>
    <w:p>
      <w:pPr>
        <w:jc w:val="both"/>
        <w:ind w:left="1292" w:hanging="644"/>
        <w:spacing w:after="0" w:line="287" w:lineRule="auto"/>
        <w:tabs>
          <w:tab w:leader="none" w:pos="1292" w:val="left"/>
        </w:tabs>
        <w:numPr>
          <w:ilvl w:val="1"/>
          <w:numId w:val="23"/>
        </w:numPr>
        <w:rPr>
          <w:rFonts w:ascii="Arial" w:cs="Arial" w:eastAsia="Arial" w:hAnsi="Arial"/>
          <w:sz w:val="16"/>
          <w:szCs w:val="16"/>
          <w:color w:val="auto"/>
        </w:rPr>
      </w:pPr>
      <w:r>
        <w:rPr>
          <w:rFonts w:ascii="Arial" w:cs="Arial" w:eastAsia="Arial" w:hAnsi="Arial"/>
          <w:sz w:val="16"/>
          <w:szCs w:val="16"/>
          <w:color w:val="auto"/>
        </w:rPr>
        <w:t>You acknowledge and recognize the highly competitive nature of the businesses of the Company and its Affiliates and, accordingly, in consideration of the severance pay and benefits set forth in Section 5 and other valuable consideration, you acknowledge and agree that you will continue to be bound by your obligations relating to confidentiality, non-competition, non-solicitation, no-hire, invention assignment, non-disparagement and/or any other restrictive covenant set forth in any agreement by and between you and the Company or any of its Affiliates, including, without limitation, those set forth in Sections 10-13 of the employment agreement, dated November 16, 2015, between you and the Company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(all such obligations, collectively, the “</w:t>
      </w:r>
      <w:r>
        <w:rPr>
          <w:rFonts w:ascii="Arial" w:cs="Arial" w:eastAsia="Arial" w:hAnsi="Arial"/>
          <w:sz w:val="16"/>
          <w:szCs w:val="16"/>
          <w:u w:val="single" w:color="auto"/>
          <w:color w:val="auto"/>
        </w:rPr>
        <w:t>Continuing Obligations</w:t>
      </w:r>
      <w:r>
        <w:rPr>
          <w:rFonts w:ascii="Arial" w:cs="Arial" w:eastAsia="Arial" w:hAnsi="Arial"/>
          <w:sz w:val="16"/>
          <w:szCs w:val="16"/>
          <w:color w:val="auto"/>
        </w:rPr>
        <w:t>”). Each of the Continuing Obligations is an individual right, separately enforceable by the Company and/or its applicable Affiliate(s), notwithstanding any conflict or other inconsistency among any provisions (or any parts of any provisions) of any of the Continuing Obligations, and no such conflict or other inconsistency will have the effect of superseding, restricting or otherwise limiting any of the Continuing Obligations. The obligation of the Company to make payments to you under Section 5, and your right to retain those payments, are expressly conditioned upon your continued full performance of your obligations under this Agreement and of the Continuing Obligations.</w:t>
      </w:r>
    </w:p>
    <w:p>
      <w:pPr>
        <w:spacing w:after="0" w:line="172" w:lineRule="exact"/>
        <w:rPr>
          <w:rFonts w:ascii="Arial" w:cs="Arial" w:eastAsia="Arial" w:hAnsi="Arial"/>
          <w:sz w:val="16"/>
          <w:szCs w:val="16"/>
          <w:color w:val="auto"/>
        </w:rPr>
      </w:pPr>
    </w:p>
    <w:p>
      <w:pPr>
        <w:ind w:left="1292" w:right="20" w:hanging="644"/>
        <w:spacing w:after="0" w:line="277" w:lineRule="auto"/>
        <w:tabs>
          <w:tab w:leader="none" w:pos="12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You agree not to disclose to any individual or entity any of the terms of, or amounts paid under, this Agreement; provided, however, that you will not be prohibited from making disclosures to your spouse or domestic partner, attorney or tax advisor.</w:t>
      </w:r>
    </w:p>
    <w:p>
      <w:pPr>
        <w:spacing w:after="0" w:line="170" w:lineRule="exact"/>
        <w:rPr>
          <w:rFonts w:ascii="Arial" w:cs="Arial" w:eastAsia="Arial" w:hAnsi="Arial"/>
          <w:sz w:val="18"/>
          <w:szCs w:val="18"/>
          <w:color w:val="auto"/>
        </w:rPr>
      </w:pPr>
    </w:p>
    <w:p>
      <w:pPr>
        <w:jc w:val="both"/>
        <w:ind w:left="1292" w:hanging="644"/>
        <w:spacing w:after="0" w:line="273" w:lineRule="auto"/>
        <w:tabs>
          <w:tab w:leader="none" w:pos="1292" w:val="left"/>
        </w:tabs>
        <w:numPr>
          <w:ilvl w:val="1"/>
          <w:numId w:val="23"/>
        </w:numPr>
        <w:rPr>
          <w:rFonts w:ascii="Arial" w:cs="Arial" w:eastAsia="Arial" w:hAnsi="Arial"/>
          <w:sz w:val="17"/>
          <w:szCs w:val="17"/>
          <w:color w:val="auto"/>
        </w:rPr>
      </w:pPr>
      <w:r>
        <w:rPr>
          <w:rFonts w:ascii="Arial" w:cs="Arial" w:eastAsia="Arial" w:hAnsi="Arial"/>
          <w:sz w:val="17"/>
          <w:szCs w:val="17"/>
          <w:color w:val="auto"/>
        </w:rPr>
        <w:t>You hereby assign to the Company all right, title and interest that you have in any discovery, invention or innovation conceived or reduced to practice by you in the performance of your employment with the Company (including all intellectual property rights related to any discovery, invention or innovation), which you acknowledge and agree is solely and exclusively owned by the Company. You will cooperate and assist the Company (at the Company’s expense) in obtaining patent protection for any such discovery, invention or innovation, including executing all documents required for such purpose, and you hereby irrevocably appoint the Company as your lawful attorney-in-fact for such purpose. This Agreement will also be deemed a transfer</w:t>
      </w:r>
    </w:p>
    <w:p>
      <w:pPr>
        <w:sectPr>
          <w:pgSz w:w="11900" w:h="16838" w:orient="portrait"/>
          <w:cols w:equalWidth="0" w:num="1">
            <w:col w:w="11412"/>
          </w:cols>
          <w:pgMar w:left="248" w:top="611" w:right="239" w:bottom="1440" w:gutter="0" w:footer="0" w:header="0"/>
        </w:sectPr>
      </w:pPr>
    </w:p>
    <w:bookmarkStart w:id="42" w:name="page43"/>
    <w:bookmarkEnd w:id="42"/>
    <w:p>
      <w:pPr>
        <w:ind w:left="1292" w:right="20"/>
        <w:spacing w:after="0" w:line="324" w:lineRule="auto"/>
        <w:rPr>
          <w:sz w:val="20"/>
          <w:szCs w:val="20"/>
          <w:color w:val="auto"/>
        </w:rPr>
      </w:pPr>
      <w:r>
        <w:rPr>
          <w:rFonts w:ascii="Arial" w:cs="Arial" w:eastAsia="Arial" w:hAnsi="Arial"/>
          <w:sz w:val="18"/>
          <w:szCs w:val="18"/>
          <w:color w:val="auto"/>
        </w:rPr>
        <w:t>to the Company of, and you hereby assign to the Company, the copyright of any copyrightable subject matter created by you in the performance of your employment with the Company.</w:t>
      </w:r>
    </w:p>
    <w:p>
      <w:pPr>
        <w:spacing w:after="0" w:line="143" w:lineRule="exact"/>
        <w:rPr>
          <w:sz w:val="20"/>
          <w:szCs w:val="20"/>
          <w:color w:val="auto"/>
        </w:rPr>
      </w:pPr>
    </w:p>
    <w:p>
      <w:pPr>
        <w:jc w:val="both"/>
        <w:ind w:left="1292" w:hanging="644"/>
        <w:spacing w:after="0" w:line="271" w:lineRule="auto"/>
        <w:tabs>
          <w:tab w:leader="none" w:pos="1292"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For the avoidance of doubt, (i) nothing contained in the Employment Agreement or this Agreement, or any of the Continuing Obligations, limits, restricts or in any other way affects your communicating with any governmental agency or entity, or communicating with any official or staff person of any governmental agency or entity, concerning matters relevant to that governmental agency or entity; and (ii) you will not be held criminally or civilly liable under any federal or state trade secret law for disclosing a trade secret (y) in confidence to a federal, state or local government official, either directly or indirectly, or to an attorney, solely for the purpose of reporting or investigating a suspected violation of law, or (z) in a complaint or other document filed under seal in a lawsuit or other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this immunity from liability, you may be held liable if you unlawfully access trade secrets by unauthorized means or disclose (except as permitted above) or use any trade secrets.</w:t>
      </w:r>
    </w:p>
    <w:p>
      <w:pPr>
        <w:spacing w:after="0" w:line="174" w:lineRule="exact"/>
        <w:rPr>
          <w:rFonts w:ascii="Arial" w:cs="Arial" w:eastAsia="Arial" w:hAnsi="Arial"/>
          <w:sz w:val="17"/>
          <w:szCs w:val="17"/>
          <w:color w:val="auto"/>
        </w:rPr>
      </w:pPr>
    </w:p>
    <w:p>
      <w:pPr>
        <w:jc w:val="both"/>
        <w:ind w:left="652" w:hanging="652"/>
        <w:spacing w:after="0" w:line="291" w:lineRule="auto"/>
        <w:tabs>
          <w:tab w:leader="none" w:pos="652"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Return of Company Documents and Other Property. </w:t>
      </w:r>
      <w:r>
        <w:rPr>
          <w:rFonts w:ascii="Arial" w:cs="Arial" w:eastAsia="Arial" w:hAnsi="Arial"/>
          <w:sz w:val="16"/>
          <w:szCs w:val="16"/>
          <w:color w:val="auto"/>
        </w:rPr>
        <w:t>In signing this Agreement, you represent, warrant and covenant that you have returned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any and all documents, materials and information (whether in hardcopy, on electronic media or otherwise) related to the business of the Company and its Affiliates (whether present or otherwise), and all keys, access cards, credit cards, computer hardware and software, telephones and telephone-related equipment and all other property of the Company or any of its Affiliates in your possession or control. Further, you represent, warrant and covenant that you have not retained any copy or derivation of any documents, materials or information (whether in hardcopy, on electronic media or otherwise) of the Company or any of its Affiliates. Further, you represent, warrant and covenant that you have disclosed to the Company all passwords necessary or desirable to obtain access to, or that would assist in obtaining access to, all information which you have password-protected on any computer equipment, network or system of the Company or any of its Affiliates.</w:t>
      </w:r>
    </w:p>
    <w:p>
      <w:pPr>
        <w:spacing w:after="0" w:line="160" w:lineRule="exact"/>
        <w:rPr>
          <w:rFonts w:ascii="Arial" w:cs="Arial" w:eastAsia="Arial" w:hAnsi="Arial"/>
          <w:sz w:val="16"/>
          <w:szCs w:val="16"/>
          <w:color w:val="auto"/>
        </w:rPr>
      </w:pPr>
    </w:p>
    <w:p>
      <w:pPr>
        <w:ind w:left="652" w:hanging="652"/>
        <w:spacing w:after="0"/>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General Release and Waiver of Claims.</w:t>
      </w:r>
    </w:p>
    <w:p>
      <w:pPr>
        <w:spacing w:after="0" w:line="229" w:lineRule="exact"/>
        <w:rPr>
          <w:rFonts w:ascii="Arial" w:cs="Arial" w:eastAsia="Arial" w:hAnsi="Arial"/>
          <w:sz w:val="18"/>
          <w:szCs w:val="18"/>
          <w:color w:val="auto"/>
        </w:rPr>
      </w:pPr>
    </w:p>
    <w:p>
      <w:pPr>
        <w:jc w:val="both"/>
        <w:ind w:left="1292" w:hanging="644"/>
        <w:spacing w:after="0" w:line="267" w:lineRule="auto"/>
        <w:tabs>
          <w:tab w:leader="none" w:pos="1292" w:val="left"/>
        </w:tabs>
        <w:numPr>
          <w:ilvl w:val="1"/>
          <w:numId w:val="25"/>
        </w:numPr>
        <w:rPr>
          <w:rFonts w:ascii="Arial" w:cs="Arial" w:eastAsia="Arial" w:hAnsi="Arial"/>
          <w:sz w:val="17"/>
          <w:szCs w:val="17"/>
          <w:color w:val="auto"/>
        </w:rPr>
      </w:pPr>
      <w:r>
        <w:rPr>
          <w:rFonts w:ascii="Arial" w:cs="Arial" w:eastAsia="Arial" w:hAnsi="Arial"/>
          <w:sz w:val="17"/>
          <w:szCs w:val="17"/>
          <w:color w:val="auto"/>
        </w:rPr>
        <w:t>You agree to and do waive any claims you may have for employment by the Company. You, on your own behalf and on behalf of your heirs, estate and beneficiaries, further do hereby release the Company, and in those capacities, any of its Affiliates, and each of their respective past, present and future officers, directors, agents, employees, shareholders, investors, employee benefit plans and their administrators, trustees or fiduciaries, insurers of any of those entities, and its and their successors and assigns and others related to those entities (collectively,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xml:space="preserve">”) from any and all claims made, to be made, or which might have been made of whatever nature, whether known or unknown, from the beginning of time, including those that arose as a consequence of your employment with the Company, or arising out of the termination of your employment with the Company, or any act committed or omitted during or after the existence of that employment relationship, all up through and including the date on which this Agreement is executed, including, but not limited to, those which were, could have been or could be the subject of an administrative or judicial proceeding filed by you or on your behalf under federal, state or local law, whether by statute, regulation, in contract or tort, and including, but not limited to, for front pay, back pay, wages, bonus, fringe benefit, any form of discrimination, wrongful termination, tort, emotional distress, pain and suffering, breach of contract, fraud, defamation, compensatory or punitive damages, interest, attorney’s fees, reinstatement or reemployment, and any rights or claims under the Civil Rights Act of 1866, the Age Discrimination in Employment Act of 1967, 29 U.S.C. sec. 621, </w:t>
      </w:r>
      <w:r>
        <w:rPr>
          <w:rFonts w:ascii="Arial" w:cs="Arial" w:eastAsia="Arial" w:hAnsi="Arial"/>
          <w:sz w:val="17"/>
          <w:szCs w:val="17"/>
          <w:i w:val="1"/>
          <w:iCs w:val="1"/>
          <w:color w:val="auto"/>
        </w:rPr>
        <w:t>et seq.</w:t>
      </w:r>
      <w:r>
        <w:rPr>
          <w:rFonts w:ascii="Arial" w:cs="Arial" w:eastAsia="Arial" w:hAnsi="Arial"/>
          <w:sz w:val="17"/>
          <w:szCs w:val="17"/>
          <w:color w:val="auto"/>
        </w:rPr>
        <w:t>, the Older Workers Benefit Protection Act, the Americans with Disabilities Act, the Family and Medical Leave Act, the Civil Rights Act of 1964, Title VII, the Civil Rights Act of 1991, the Employee Retirement Income Security Act of 1974, the Equal Pay Act, the Worker Adjustment and Retraining Notification Act, the Massachusetts Fair Employment Practices Act (M.G.L. c.151B), the Massachusetts Civil Rights Act, the Massachusetts Equal Pay and Maternity Benefits Law, the Massachusetts Equal Rights for Elderly and Disabled Law, the Massachusetts Small Necessities Leave Act, the Massachusetts Age Discrimination Law, the Massachusetts Wage Payment Statutes (M.G.L. c.149, 148, 150), the Massachusetts Earned Sick Tim Law (MGL Ch. 149, Section 148C) and any other federal, state or local law, in each case, as amended, relating to employment, discrimination in employment, termination of employment, wages, benefits or otherwise. You acknowledge and agree that even though claims and facts in addition to those now known or believed by you to exist may subsequently be discovered, it is your intention to fully settle and release all claims you may have against the Company and the Released Parties, whether known, unknown or suspected. The Released Parties who are not party to this Agreement will be third-party beneficiaries of this Section 10(a).</w:t>
      </w:r>
    </w:p>
    <w:p>
      <w:pPr>
        <w:spacing w:after="0" w:line="182" w:lineRule="exact"/>
        <w:rPr>
          <w:rFonts w:ascii="Arial" w:cs="Arial" w:eastAsia="Arial" w:hAnsi="Arial"/>
          <w:sz w:val="17"/>
          <w:szCs w:val="17"/>
          <w:color w:val="auto"/>
        </w:rPr>
      </w:pPr>
    </w:p>
    <w:p>
      <w:pPr>
        <w:ind w:left="1292" w:hanging="644"/>
        <w:spacing w:after="0" w:line="277" w:lineRule="auto"/>
        <w:tabs>
          <w:tab w:leader="none" w:pos="12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Notwithstanding the generality of the foregoing, you do not waive your right to (i) have a complaint, charge or related lawsuit filed with the Equal Employment Opportunity Commission (“</w:t>
      </w:r>
      <w:r>
        <w:rPr>
          <w:rFonts w:ascii="Arial" w:cs="Arial" w:eastAsia="Arial" w:hAnsi="Arial"/>
          <w:sz w:val="18"/>
          <w:szCs w:val="18"/>
          <w:u w:val="single" w:color="auto"/>
          <w:color w:val="auto"/>
        </w:rPr>
        <w:t>EEOC</w:t>
      </w:r>
      <w:r>
        <w:rPr>
          <w:rFonts w:ascii="Arial" w:cs="Arial" w:eastAsia="Arial" w:hAnsi="Arial"/>
          <w:sz w:val="18"/>
          <w:szCs w:val="18"/>
          <w:color w:val="auto"/>
        </w:rPr>
        <w:t>”) or any similar state or</w:t>
      </w:r>
    </w:p>
    <w:p>
      <w:pPr>
        <w:sectPr>
          <w:pgSz w:w="11900" w:h="16838" w:orient="portrait"/>
          <w:cols w:equalWidth="0" w:num="1">
            <w:col w:w="11412"/>
          </w:cols>
          <w:pgMar w:left="248" w:top="611" w:right="239" w:bottom="1440" w:gutter="0" w:footer="0" w:header="0"/>
        </w:sectPr>
      </w:pPr>
    </w:p>
    <w:bookmarkStart w:id="43" w:name="page44"/>
    <w:bookmarkEnd w:id="43"/>
    <w:p>
      <w:pPr>
        <w:jc w:val="both"/>
        <w:ind w:left="1292"/>
        <w:spacing w:after="0" w:line="306" w:lineRule="auto"/>
        <w:rPr>
          <w:sz w:val="20"/>
          <w:szCs w:val="20"/>
          <w:color w:val="auto"/>
        </w:rPr>
      </w:pPr>
      <w:r>
        <w:rPr>
          <w:rFonts w:ascii="Arial" w:cs="Arial" w:eastAsia="Arial" w:hAnsi="Arial"/>
          <w:sz w:val="18"/>
          <w:szCs w:val="18"/>
          <w:color w:val="auto"/>
        </w:rPr>
        <w:t>local governmental agency by you or by anyone on your behalf or to participate in an investigation conducted by the EEOC or any similar state or local governmental agency; however, you expressly waive your right to recover any personal relief, recovery or monies should you or anyone on your behalf pursue any of those complaints, claims or related lawsuits; or (ii) pursue a claim that cannot be waived by law, such as a claim for unemployment benefit rights.</w:t>
      </w:r>
    </w:p>
    <w:p>
      <w:pPr>
        <w:spacing w:after="0" w:line="160" w:lineRule="exact"/>
        <w:rPr>
          <w:sz w:val="20"/>
          <w:szCs w:val="20"/>
          <w:color w:val="auto"/>
        </w:rPr>
      </w:pPr>
    </w:p>
    <w:p>
      <w:pPr>
        <w:jc w:val="both"/>
        <w:ind w:left="1292" w:hanging="644"/>
        <w:spacing w:after="0" w:line="255" w:lineRule="auto"/>
        <w:tabs>
          <w:tab w:leader="none" w:pos="12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and you acknowledge and agree that the release contained in Section 10(a) above does not, and will not be construed to, release or limit the scope of any existing obligation of the Company and/or any of its Affiliates (i) if and as applicable, to indemnify you for your acts as an officer or director of the Company and/or its Affiliates in accordance with their respective charters or bylaws or under an indemnification agreement to which you and the Company or any of its Affiliates are parties or under any applicable Directors and Officers insurance policies or under any applicable law; or (ii) to you and your eligible, participating dependents or beneficiaries under the terms of any existing group welfare (excluding severance) or retirement plan of the Company in which you and/or any of those dependents or beneficiaries are participants.</w:t>
      </w:r>
    </w:p>
    <w:p>
      <w:pPr>
        <w:spacing w:after="0" w:line="189" w:lineRule="exact"/>
        <w:rPr>
          <w:rFonts w:ascii="Arial" w:cs="Arial" w:eastAsia="Arial" w:hAnsi="Arial"/>
          <w:sz w:val="18"/>
          <w:szCs w:val="18"/>
          <w:color w:val="auto"/>
        </w:rPr>
      </w:pPr>
    </w:p>
    <w:p>
      <w:pPr>
        <w:jc w:val="both"/>
        <w:ind w:left="1292" w:hanging="644"/>
        <w:spacing w:after="0" w:line="273" w:lineRule="auto"/>
        <w:tabs>
          <w:tab w:leader="none" w:pos="1292" w:val="left"/>
        </w:tabs>
        <w:numPr>
          <w:ilvl w:val="1"/>
          <w:numId w:val="26"/>
        </w:numPr>
        <w:rPr>
          <w:rFonts w:ascii="Arial" w:cs="Arial" w:eastAsia="Arial" w:hAnsi="Arial"/>
          <w:sz w:val="17"/>
          <w:szCs w:val="17"/>
          <w:color w:val="auto"/>
        </w:rPr>
      </w:pPr>
      <w:r>
        <w:rPr>
          <w:rFonts w:ascii="Arial" w:cs="Arial" w:eastAsia="Arial" w:hAnsi="Arial"/>
          <w:sz w:val="17"/>
          <w:szCs w:val="17"/>
          <w:color w:val="auto"/>
        </w:rPr>
        <w:t>You acknowledge and agree that before entering into this Agreement, you have had the opportunity to consult with any attorney or other advisor of your choice, and you are hereby advised to consult with an attorney. You further acknowledge and agree that by signing this Agreement, you do so of your own free will and act, that it is your intention to be legally bound by its terms, and that no promises or representations have been made to you by any person to induce you to enter into this Agreement other than the express terms set forth herein. You further acknowledge and agree that you have carefully read this Agreement, know and understand its contents and its binding legal effect, including the waiver and release of claims set forth in Section 10(a) above.</w:t>
      </w:r>
    </w:p>
    <w:p>
      <w:pPr>
        <w:spacing w:after="0" w:line="174" w:lineRule="exact"/>
        <w:rPr>
          <w:rFonts w:ascii="Arial" w:cs="Arial" w:eastAsia="Arial" w:hAnsi="Arial"/>
          <w:sz w:val="17"/>
          <w:szCs w:val="17"/>
          <w:color w:val="auto"/>
        </w:rPr>
      </w:pPr>
    </w:p>
    <w:p>
      <w:pPr>
        <w:jc w:val="both"/>
        <w:ind w:left="652" w:hanging="652"/>
        <w:spacing w:after="0" w:line="289" w:lineRule="auto"/>
        <w:tabs>
          <w:tab w:leader="none" w:pos="652"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Unemployment Benefits. </w:t>
      </w:r>
      <w:r>
        <w:rPr>
          <w:rFonts w:ascii="Arial" w:cs="Arial" w:eastAsia="Arial" w:hAnsi="Arial"/>
          <w:sz w:val="17"/>
          <w:szCs w:val="17"/>
          <w:color w:val="auto"/>
        </w:rPr>
        <w:t>To the extent permitted by applicable law, the Company will not actively contest any application you make for</w:t>
      </w:r>
      <w:r>
        <w:rPr>
          <w:rFonts w:ascii="Arial" w:cs="Arial" w:eastAsia="Arial" w:hAnsi="Arial"/>
          <w:sz w:val="17"/>
          <w:szCs w:val="17"/>
          <w:b w:val="1"/>
          <w:bCs w:val="1"/>
          <w:color w:val="auto"/>
        </w:rPr>
        <w:t xml:space="preserve"> </w:t>
      </w:r>
      <w:r>
        <w:rPr>
          <w:rFonts w:ascii="Arial" w:cs="Arial" w:eastAsia="Arial" w:hAnsi="Arial"/>
          <w:sz w:val="17"/>
          <w:szCs w:val="17"/>
          <w:color w:val="auto"/>
        </w:rPr>
        <w:t>unemployment benefits. However, the Company will respond truthfully, completely, and timely to any inquiries by the Massachusetts Department of Unemployment Assistance or any other governmental agency or court concerning the termination of your employment.</w:t>
      </w:r>
    </w:p>
    <w:p>
      <w:pPr>
        <w:spacing w:after="0" w:line="158" w:lineRule="exact"/>
        <w:rPr>
          <w:rFonts w:ascii="Arial" w:cs="Arial" w:eastAsia="Arial" w:hAnsi="Arial"/>
          <w:sz w:val="17"/>
          <w:szCs w:val="17"/>
          <w:color w:val="auto"/>
        </w:rPr>
      </w:pPr>
    </w:p>
    <w:p>
      <w:pPr>
        <w:jc w:val="both"/>
        <w:ind w:left="652" w:hanging="652"/>
        <w:spacing w:after="0" w:line="258" w:lineRule="auto"/>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Cooperation. </w:t>
      </w:r>
      <w:r>
        <w:rPr>
          <w:rFonts w:ascii="Arial" w:cs="Arial" w:eastAsia="Arial" w:hAnsi="Arial"/>
          <w:sz w:val="18"/>
          <w:szCs w:val="18"/>
          <w:color w:val="auto"/>
        </w:rPr>
        <w:t>Upon reasonable prior request, you agree to cooperate with the Company or its Affiliates in connection with any present or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litigation or regulatory proceeding brought against the Company or any of its Affiliates, to the extent the Company or its Affiliate deems your cooperation necessary. This cooperation may include, but will not be limited to, meeting with the Company’s or its Affiliate’s counsel and providing testimony if so requested. The Company or its Affiliate will reimburse you for reasonable pre-approved out-of-pocket expenses incurred by you as a result of this cooperation.</w:t>
      </w:r>
    </w:p>
    <w:p>
      <w:pPr>
        <w:spacing w:after="0" w:line="183" w:lineRule="exact"/>
        <w:rPr>
          <w:rFonts w:ascii="Arial" w:cs="Arial" w:eastAsia="Arial" w:hAnsi="Arial"/>
          <w:sz w:val="18"/>
          <w:szCs w:val="18"/>
          <w:color w:val="auto"/>
        </w:rPr>
      </w:pPr>
    </w:p>
    <w:p>
      <w:pPr>
        <w:jc w:val="both"/>
        <w:ind w:left="652" w:hanging="652"/>
        <w:spacing w:after="0" w:line="269" w:lineRule="auto"/>
        <w:tabs>
          <w:tab w:leader="none" w:pos="652"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No Admission; Affirmations. </w:t>
      </w:r>
      <w:r>
        <w:rPr>
          <w:rFonts w:ascii="Arial" w:cs="Arial" w:eastAsia="Arial" w:hAnsi="Arial"/>
          <w:sz w:val="17"/>
          <w:szCs w:val="17"/>
          <w:color w:val="auto"/>
        </w:rPr>
        <w:t>Neither by offering to make nor by making this Agreement does the Company or you admit any failure of</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wrongdoing or violation of law. You also affirm that you have not filed, caused to be filed, nor are you presently a party to any claim against the Company, unless noted below under your signature. You also affirm that you have been paid and/or have received all compensation, wages, bonuses, commissions and/or benefits to which you may be entitled from the Company. You further affirm that you have been granted by the Company any leave to which you were entitled under the Family and Medical Leave Act or related state or local leave or disability accommodation laws. You further affirm that you have no known workplace injuries or occupational diseases regarding your employment at the Company, unless previously reported to the Company in writing. You also affirm that you have not divulged any proprietary or confidential information of the Company and that you have disclosed to the Company any discovery, invention or innovation conceived or reduced to practice by you in the performance of your employment with the Company. You further affirm that you have not been retaliated against for reporting any allegations of wrongdoing by the Company or its officers, including any allegations of corporate fraud. You also affirm by your signature below that you are not aware of any wrongdoing, regulatory violations or corporate fraud committed by the Company, its Affiliates or any employees or independent contractors of any of the foregoing, unless previously reported to the Company in writing.</w:t>
      </w:r>
    </w:p>
    <w:p>
      <w:pPr>
        <w:spacing w:after="0" w:line="179" w:lineRule="exact"/>
        <w:rPr>
          <w:rFonts w:ascii="Arial" w:cs="Arial" w:eastAsia="Arial" w:hAnsi="Arial"/>
          <w:sz w:val="17"/>
          <w:szCs w:val="17"/>
          <w:color w:val="auto"/>
        </w:rPr>
      </w:pPr>
    </w:p>
    <w:p>
      <w:pPr>
        <w:ind w:left="652" w:hanging="652"/>
        <w:spacing w:after="0"/>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color w:val="auto"/>
        </w:rPr>
      </w:pPr>
    </w:p>
    <w:p>
      <w:pPr>
        <w:jc w:val="both"/>
        <w:ind w:left="1292" w:hanging="644"/>
        <w:spacing w:after="0" w:line="259" w:lineRule="auto"/>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you and the Company or any of its Affiliates, and supersedes all prior and contemporaneous communications, agreements and understandings, whether written or oral, with respect to your employment, its termination and all related matters, excluding only the Continuing Obligations, which will remain in full force and effect in accordance with their terms.</w:t>
      </w:r>
    </w:p>
    <w:p>
      <w:pPr>
        <w:sectPr>
          <w:pgSz w:w="11900" w:h="16838" w:orient="portrait"/>
          <w:cols w:equalWidth="0" w:num="1">
            <w:col w:w="11412"/>
          </w:cols>
          <w:pgMar w:left="248" w:top="611" w:right="239" w:bottom="1440" w:gutter="0" w:footer="0" w:header="0"/>
        </w:sectPr>
      </w:pPr>
    </w:p>
    <w:bookmarkStart w:id="44" w:name="page45"/>
    <w:bookmarkEnd w:id="44"/>
    <w:p>
      <w:pPr>
        <w:jc w:val="both"/>
        <w:ind w:left="644" w:hanging="644"/>
        <w:spacing w:after="0" w:line="257" w:lineRule="auto"/>
        <w:tabs>
          <w:tab w:leader="none" w:pos="6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Agreement is a Massachusetts contract, and this Agreement (and all claims, controversies and causes of action arising under or otherwise relating to this Agreement) will be governed and construed in accordance with the laws of the Commonwealth of Massachusetts, without regard to any conflict of laws principles that would result in the application of the laws of another jurisdiction. Each party agrees to submit to the exclusive jurisdiction of the courts of the Commonwealth of Massachusetts in connection with any dispute arising out of or otherwise relating to this Agreement.</w:t>
      </w:r>
    </w:p>
    <w:p>
      <w:pPr>
        <w:spacing w:after="0" w:line="188" w:lineRule="exact"/>
        <w:rPr>
          <w:rFonts w:ascii="Arial" w:cs="Arial" w:eastAsia="Arial" w:hAnsi="Arial"/>
          <w:sz w:val="18"/>
          <w:szCs w:val="18"/>
          <w:color w:val="auto"/>
        </w:rPr>
      </w:pPr>
    </w:p>
    <w:p>
      <w:pPr>
        <w:jc w:val="both"/>
        <w:ind w:left="644" w:hanging="644"/>
        <w:spacing w:after="0" w:line="264" w:lineRule="auto"/>
        <w:tabs>
          <w:tab w:leader="none" w:pos="6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Agreement may not be modified or amended, and no breach will be deemed to be waived, unless agreed to in writing by you and an expressly authorized representative of the Company. The captions and headings in this Agreement are for convenience only, and in no way define or describe the scope or content of any provision of this Agreement.</w:t>
      </w:r>
    </w:p>
    <w:p>
      <w:pPr>
        <w:spacing w:after="0" w:line="181" w:lineRule="exact"/>
        <w:rPr>
          <w:rFonts w:ascii="Arial" w:cs="Arial" w:eastAsia="Arial" w:hAnsi="Arial"/>
          <w:sz w:val="18"/>
          <w:szCs w:val="18"/>
          <w:color w:val="auto"/>
        </w:rPr>
      </w:pPr>
    </w:p>
    <w:p>
      <w:pPr>
        <w:jc w:val="both"/>
        <w:ind w:left="644" w:hanging="644"/>
        <w:spacing w:after="0" w:line="279" w:lineRule="auto"/>
        <w:tabs>
          <w:tab w:leader="none" w:pos="6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the event that any one or more of the provisions of this Agreement is held to be invalid, illegal or unenforceable, the validity, legality and enforceability of the remaining provisions will not in any way be affected or impaired thereby. Moreover, if any one or more of the provisions contained in this Agreement is held to be excessively broad as to duration, scope or activity or subject, those provisions will be construed by limiting and reducing them so as to be enforceable to the maximum extent compatible with applicable law.</w:t>
      </w:r>
    </w:p>
    <w:p>
      <w:pPr>
        <w:spacing w:after="0" w:line="171"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Agreement will inure to the benefit of and be binding upon personal or legal representatives, executors, administrators, successors, heirs, distributees, devisees and legatees.</w:t>
      </w:r>
    </w:p>
    <w:p>
      <w:pPr>
        <w:spacing w:after="0" w:line="170"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Agreement, and all of your rights and duties under this Agreement, will not be assignable or delegable by you. Any purported assignment or delegation by you in violation of the foregoing will be null and void and of no force and effect. This Agreement may be assigned by the Company to an individual or entity which is an Affiliate or a successor in interest to substantially all of the business operations of the Company. Upon any assignment, the rights and obligations of the Company under this Agreement will become the rights and obligations of that Affiliate or successor individual or entity.</w:t>
      </w:r>
    </w:p>
    <w:p>
      <w:pPr>
        <w:spacing w:after="0" w:line="188" w:lineRule="exact"/>
        <w:rPr>
          <w:rFonts w:ascii="Arial" w:cs="Arial" w:eastAsia="Arial" w:hAnsi="Arial"/>
          <w:sz w:val="18"/>
          <w:szCs w:val="18"/>
          <w:color w:val="auto"/>
        </w:rPr>
      </w:pPr>
    </w:p>
    <w:p>
      <w:pPr>
        <w:ind w:left="644" w:right="20" w:hanging="644"/>
        <w:spacing w:after="0" w:line="308" w:lineRule="auto"/>
        <w:tabs>
          <w:tab w:leader="none" w:pos="6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Company’s obligation to pay you the amounts set forth under this Agreement and to make the arrangements provided under this agreement are subject to set-off, counterclaim and recoupment of amounts owed by you to the Company or its Affiliates.</w:t>
      </w:r>
    </w:p>
    <w:p>
      <w:pPr>
        <w:spacing w:after="0" w:line="146" w:lineRule="exact"/>
        <w:rPr>
          <w:rFonts w:ascii="Arial" w:cs="Arial" w:eastAsia="Arial" w:hAnsi="Arial"/>
          <w:sz w:val="17"/>
          <w:szCs w:val="17"/>
          <w:color w:val="auto"/>
        </w:rPr>
      </w:pPr>
    </w:p>
    <w:p>
      <w:pPr>
        <w:jc w:val="both"/>
        <w:ind w:left="644" w:hanging="644"/>
        <w:spacing w:after="0" w:line="264" w:lineRule="auto"/>
        <w:tabs>
          <w:tab w:leader="none" w:pos="6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Agreement may be executed in separate counterparts (including by electronically delivered .pdf files or copies of manually signed signature pages), each of which will be deemed to be an original and all of which taken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page is left blank intentionally.</w:t>
      </w:r>
      <w:r>
        <w:rPr>
          <w:rFonts w:ascii="Arial" w:cs="Arial" w:eastAsia="Arial" w:hAnsi="Arial"/>
          <w:sz w:val="18"/>
          <w:szCs w:val="18"/>
          <w:color w:val="auto"/>
        </w:rPr>
        <w:t>]</w:t>
      </w:r>
    </w:p>
    <w:p>
      <w:pPr>
        <w:sectPr>
          <w:pgSz w:w="11900" w:h="16838" w:orient="portrait"/>
          <w:cols w:equalWidth="0" w:num="1">
            <w:col w:w="10764"/>
          </w:cols>
          <w:pgMar w:left="896" w:top="584" w:right="239" w:bottom="1440" w:gutter="0" w:footer="0" w:header="0"/>
        </w:sectPr>
      </w:pPr>
    </w:p>
    <w:bookmarkStart w:id="45" w:name="page46"/>
    <w:bookmarkEnd w:id="45"/>
    <w:p>
      <w:pPr>
        <w:jc w:val="both"/>
        <w:spacing w:after="0" w:line="251" w:lineRule="auto"/>
        <w:rPr>
          <w:sz w:val="20"/>
          <w:szCs w:val="20"/>
          <w:color w:val="auto"/>
        </w:rPr>
      </w:pPr>
      <w:r>
        <w:rPr>
          <w:rFonts w:ascii="Arial" w:cs="Arial" w:eastAsia="Arial" w:hAnsi="Arial"/>
          <w:sz w:val="17"/>
          <w:szCs w:val="17"/>
          <w:color w:val="auto"/>
        </w:rPr>
        <w:t>If the terms of this Agreement are acceptable to you, please sign, date and return it to me within fifty (50) days following the date of this Agreement, but in no event prior to the Separation Date. You may revoke this Agreement at any time during the seven (7)-day period immediately following the date of your signing by notifying me in writing of your revocation within that period, and this Agreement will not become effective or enforceable until that seven (7)-day revocation period has expired. If you do not revoke this Agreement, then, on the eighth (8</w:t>
      </w:r>
      <w:r>
        <w:rPr>
          <w:rFonts w:ascii="Arial" w:cs="Arial" w:eastAsia="Arial" w:hAnsi="Arial"/>
          <w:sz w:val="24"/>
          <w:szCs w:val="24"/>
          <w:color w:val="auto"/>
          <w:vertAlign w:val="superscript"/>
        </w:rPr>
        <w:t>th</w:t>
      </w:r>
      <w:r>
        <w:rPr>
          <w:rFonts w:ascii="Arial" w:cs="Arial" w:eastAsia="Arial" w:hAnsi="Arial"/>
          <w:sz w:val="17"/>
          <w:szCs w:val="17"/>
          <w:color w:val="auto"/>
        </w:rPr>
        <w:t>) day following the date that you signed it, this Agreement will take effect as a legally binding agreement between you and the Company on the basis set forth above.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Lantheus medical imaging,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31750</wp:posOffset>
            </wp:positionV>
            <wp:extent cx="3053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2740"/>
        <w:spacing w:after="0"/>
        <w:tabs>
          <w:tab w:leader="none" w:pos="39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Mary Anne Heino</w:t>
      </w:r>
    </w:p>
    <w:p>
      <w:pPr>
        <w:spacing w:after="0" w:line="63" w:lineRule="exact"/>
        <w:rPr>
          <w:sz w:val="20"/>
          <w:szCs w:val="20"/>
          <w:color w:val="auto"/>
        </w:rPr>
      </w:pPr>
    </w:p>
    <w:p>
      <w:pPr>
        <w:ind w:left="2740"/>
        <w:spacing w:after="0"/>
        <w:tabs>
          <w:tab w:leader="none" w:pos="3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TIMOTHY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31750</wp:posOffset>
            </wp:positionV>
            <wp:extent cx="3053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Timothy Healey</w:t>
      </w:r>
    </w:p>
    <w:p>
      <w:pPr>
        <w:spacing w:after="0" w:line="63" w:lineRule="exact"/>
        <w:rPr>
          <w:sz w:val="20"/>
          <w:szCs w:val="20"/>
          <w:color w:val="auto"/>
        </w:rPr>
      </w:pPr>
    </w:p>
    <w:p>
      <w:pPr>
        <w:ind w:left="40"/>
        <w:spacing w:after="0"/>
        <w:tabs>
          <w:tab w:leader="none" w:pos="12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9/12/2018</w:t>
      </w:r>
    </w:p>
    <w:p>
      <w:pPr>
        <w:sectPr>
          <w:pgSz w:w="11900" w:h="16838" w:orient="portrait"/>
          <w:cols w:equalWidth="0" w:num="1">
            <w:col w:w="11420"/>
          </w:cols>
          <w:pgMar w:left="240" w:top="584" w:right="239" w:bottom="1440" w:gutter="0" w:footer="0" w:header="0"/>
        </w:sectPr>
      </w:pPr>
    </w:p>
    <w:bookmarkStart w:id="46" w:name="page47"/>
    <w:bookmarkEnd w:id="46"/>
    <w:p>
      <w:pPr>
        <w:ind w:left="10480"/>
        <w:spacing w:after="0"/>
        <w:rPr>
          <w:sz w:val="20"/>
          <w:szCs w:val="20"/>
          <w:color w:val="auto"/>
        </w:rPr>
      </w:pPr>
      <w:r>
        <w:rPr>
          <w:rFonts w:ascii="Arial" w:cs="Arial" w:eastAsia="Arial" w:hAnsi="Arial"/>
          <w:sz w:val="16"/>
          <w:szCs w:val="16"/>
          <w:b w:val="1"/>
          <w:bCs w:val="1"/>
          <w:color w:val="auto"/>
        </w:rPr>
        <w:t>Exhibit 10.2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August 20,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HAND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 Crowley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Lantheus Medical Imaging,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331 Treble Cove Road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 Billerica, MA 01862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Jack:</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confirms the terms of your separation from Lantheus Medical Imaging, Inc. (the “</w:t>
      </w:r>
      <w:r>
        <w:rPr>
          <w:rFonts w:ascii="Arial" w:cs="Arial" w:eastAsia="Arial" w:hAnsi="Arial"/>
          <w:sz w:val="18"/>
          <w:szCs w:val="18"/>
          <w:u w:val="single" w:color="auto"/>
          <w:color w:val="auto"/>
        </w:rPr>
        <w:t>Company</w:t>
      </w:r>
      <w:r>
        <w:rPr>
          <w:rFonts w:ascii="Arial" w:cs="Arial" w:eastAsia="Arial" w:hAnsi="Arial"/>
          <w:sz w:val="18"/>
          <w:szCs w:val="18"/>
          <w:color w:val="auto"/>
        </w:rPr>
        <w:t>”), effective as of August 20, 2018 (the “</w:t>
      </w:r>
      <w:r>
        <w:rPr>
          <w:rFonts w:ascii="Arial" w:cs="Arial" w:eastAsia="Arial" w:hAnsi="Arial"/>
          <w:sz w:val="18"/>
          <w:szCs w:val="18"/>
          <w:u w:val="single" w:color="auto"/>
          <w:color w:val="auto"/>
        </w:rPr>
        <w:t>Separation Date</w:t>
      </w:r>
      <w:r>
        <w:rPr>
          <w:rFonts w:ascii="Arial" w:cs="Arial" w:eastAsia="Arial" w:hAnsi="Arial"/>
          <w:sz w:val="18"/>
          <w:szCs w:val="18"/>
          <w:color w:val="auto"/>
        </w:rPr>
        <w:t>”).</w:t>
      </w:r>
    </w:p>
    <w:p>
      <w:pPr>
        <w:spacing w:after="0" w:line="166" w:lineRule="exact"/>
        <w:rPr>
          <w:sz w:val="20"/>
          <w:szCs w:val="20"/>
          <w:color w:val="auto"/>
        </w:rPr>
      </w:pPr>
    </w:p>
    <w:p>
      <w:pPr>
        <w:jc w:val="both"/>
        <w:ind w:left="660" w:hanging="652"/>
        <w:spacing w:after="0" w:line="298"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Resignations. </w:t>
      </w:r>
      <w:r>
        <w:rPr>
          <w:rFonts w:ascii="Arial" w:cs="Arial" w:eastAsia="Arial" w:hAnsi="Arial"/>
          <w:sz w:val="16"/>
          <w:szCs w:val="16"/>
          <w:color w:val="auto"/>
        </w:rPr>
        <w:t>On the Separation Date, you will be deemed to have resigned from your position as Chief Financial Officer and Treasurer and from</w:t>
      </w:r>
      <w:r>
        <w:rPr>
          <w:rFonts w:ascii="Arial" w:cs="Arial" w:eastAsia="Arial" w:hAnsi="Arial"/>
          <w:sz w:val="16"/>
          <w:szCs w:val="16"/>
          <w:b w:val="1"/>
          <w:bCs w:val="1"/>
          <w:color w:val="auto"/>
        </w:rPr>
        <w:t xml:space="preserve"> </w:t>
      </w:r>
      <w:r>
        <w:rPr>
          <w:rFonts w:ascii="Arial" w:cs="Arial" w:eastAsia="Arial" w:hAnsi="Arial"/>
          <w:sz w:val="16"/>
          <w:szCs w:val="16"/>
          <w:color w:val="auto"/>
        </w:rPr>
        <w:t>any and all (i) officer positions you hold with the Company or any of its Affiliates (as defined below); (ii) memberships you hold on any boards of directors, boards of managers or other governing boards or bodies of the Company or any of its Affiliates; and (iii) memberships you hold on any of the committees of any of those boards or bodies. For purposes of this Agreement, “</w:t>
      </w:r>
      <w:r>
        <w:rPr>
          <w:rFonts w:ascii="Arial" w:cs="Arial" w:eastAsia="Arial" w:hAnsi="Arial"/>
          <w:sz w:val="16"/>
          <w:szCs w:val="16"/>
          <w:u w:val="single" w:color="auto"/>
          <w:color w:val="auto"/>
        </w:rPr>
        <w:t>Affiliates</w:t>
      </w:r>
      <w:r>
        <w:rPr>
          <w:rFonts w:ascii="Arial" w:cs="Arial" w:eastAsia="Arial" w:hAnsi="Arial"/>
          <w:sz w:val="16"/>
          <w:szCs w:val="16"/>
          <w:color w:val="auto"/>
        </w:rPr>
        <w:t>” means all persons and entities directly or indirectly controlling, controlled by or under common control with the Company, whether control by management authority, equity interest or otherwise.</w:t>
      </w:r>
    </w:p>
    <w:p>
      <w:pPr>
        <w:spacing w:after="0" w:line="154" w:lineRule="exact"/>
        <w:rPr>
          <w:rFonts w:ascii="Arial" w:cs="Arial" w:eastAsia="Arial" w:hAnsi="Arial"/>
          <w:sz w:val="16"/>
          <w:szCs w:val="16"/>
          <w:color w:val="auto"/>
        </w:rPr>
      </w:pPr>
    </w:p>
    <w:p>
      <w:pPr>
        <w:jc w:val="both"/>
        <w:ind w:left="660" w:hanging="652"/>
        <w:spacing w:after="0" w:line="303"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Advisory Period</w:t>
      </w:r>
      <w:r>
        <w:rPr>
          <w:rFonts w:ascii="Arial" w:cs="Arial" w:eastAsia="Arial" w:hAnsi="Arial"/>
          <w:sz w:val="16"/>
          <w:szCs w:val="16"/>
          <w:color w:val="auto"/>
        </w:rPr>
        <w:t>. In consideration of the terms of this Agreement, you agree to be engaged by the Company as an employee beginning on the</w:t>
      </w:r>
      <w:r>
        <w:rPr>
          <w:rFonts w:ascii="Arial" w:cs="Arial" w:eastAsia="Arial" w:hAnsi="Arial"/>
          <w:sz w:val="16"/>
          <w:szCs w:val="16"/>
          <w:b w:val="1"/>
          <w:bCs w:val="1"/>
          <w:color w:val="auto"/>
        </w:rPr>
        <w:t xml:space="preserve"> </w:t>
      </w:r>
      <w:r>
        <w:rPr>
          <w:rFonts w:ascii="Arial" w:cs="Arial" w:eastAsia="Arial" w:hAnsi="Arial"/>
          <w:sz w:val="16"/>
          <w:szCs w:val="16"/>
          <w:color w:val="auto"/>
        </w:rPr>
        <w:t>Separation Date and continuing through September 28, 2018 (the “</w:t>
      </w:r>
      <w:r>
        <w:rPr>
          <w:rFonts w:ascii="Arial" w:cs="Arial" w:eastAsia="Arial" w:hAnsi="Arial"/>
          <w:sz w:val="16"/>
          <w:szCs w:val="16"/>
          <w:u w:val="single" w:color="auto"/>
          <w:color w:val="auto"/>
        </w:rPr>
        <w:t>Advisory Period</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During the Advisory Period, you will provide services on an as-requested basis and will be compensated at the same rate as your salary in effect as of immediately prior to the Separation Date. Such services will be performed at mutually agreeable times. You will not be required to be present at the Company’s offices unless requested by the Company.</w:t>
      </w:r>
    </w:p>
    <w:p>
      <w:pPr>
        <w:spacing w:after="0" w:line="151" w:lineRule="exact"/>
        <w:rPr>
          <w:rFonts w:ascii="Arial" w:cs="Arial" w:eastAsia="Arial" w:hAnsi="Arial"/>
          <w:sz w:val="16"/>
          <w:szCs w:val="16"/>
          <w:color w:val="auto"/>
        </w:rPr>
      </w:pPr>
    </w:p>
    <w:p>
      <w:pPr>
        <w:jc w:val="both"/>
        <w:ind w:left="660" w:hanging="652"/>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Final Compensation. </w:t>
      </w:r>
      <w:r>
        <w:rPr>
          <w:rFonts w:ascii="Arial" w:cs="Arial" w:eastAsia="Arial" w:hAnsi="Arial"/>
          <w:sz w:val="18"/>
          <w:szCs w:val="18"/>
          <w:color w:val="auto"/>
        </w:rPr>
        <w:t>You will receive, on or as soon as reasonably practicable following the Separation Date, in the form of one or more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checks, (i) your base salary for the final, unpaid payroll period(s) of your employment through the Separation Date; (ii) compensation at the rate of your base salary for any vacation time accrued but not used as of the Separation Date; (iii) any contributions that you have made under the Lantheus Holdings, Inc. 2017 Employee Stock Purchase Plan that are refundable to you under its terms and conditions; and (iv) reimbursement for business expenses incurred by you but not yet paid to you as of the Separation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you submit all expenses and supporting documentation required within thirty (30) days of the Separation Date and that those expenses are reimbursable under Company policies in effect as of the Separation Date.</w:t>
      </w:r>
    </w:p>
    <w:p>
      <w:pPr>
        <w:spacing w:after="0" w:line="189" w:lineRule="exact"/>
        <w:rPr>
          <w:rFonts w:ascii="Arial" w:cs="Arial" w:eastAsia="Arial" w:hAnsi="Arial"/>
          <w:sz w:val="18"/>
          <w:szCs w:val="18"/>
          <w:color w:val="auto"/>
        </w:rPr>
      </w:pPr>
    </w:p>
    <w:p>
      <w:pPr>
        <w:jc w:val="both"/>
        <w:ind w:left="660" w:hanging="652"/>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Employee Benefits. </w:t>
      </w:r>
      <w:r>
        <w:rPr>
          <w:rFonts w:ascii="Arial" w:cs="Arial" w:eastAsia="Arial" w:hAnsi="Arial"/>
          <w:sz w:val="18"/>
          <w:szCs w:val="18"/>
          <w:color w:val="auto"/>
        </w:rPr>
        <w:t>Except for any right you may have to continue your participation and that of your eligible dependents in the Company’s group</w:t>
      </w:r>
      <w:r>
        <w:rPr>
          <w:rFonts w:ascii="Arial" w:cs="Arial" w:eastAsia="Arial" w:hAnsi="Arial"/>
          <w:sz w:val="18"/>
          <w:szCs w:val="18"/>
          <w:b w:val="1"/>
          <w:bCs w:val="1"/>
          <w:color w:val="auto"/>
        </w:rPr>
        <w:t xml:space="preserve"> </w:t>
      </w:r>
      <w:r>
        <w:rPr>
          <w:rFonts w:ascii="Arial" w:cs="Arial" w:eastAsia="Arial" w:hAnsi="Arial"/>
          <w:sz w:val="18"/>
          <w:szCs w:val="18"/>
          <w:color w:val="auto"/>
        </w:rPr>
        <w:t>health plans under the Consolidated Omnibus Budget Reconciliation Act of 1985 (“</w:t>
      </w:r>
      <w:r>
        <w:rPr>
          <w:rFonts w:ascii="Arial" w:cs="Arial" w:eastAsia="Arial" w:hAnsi="Arial"/>
          <w:sz w:val="18"/>
          <w:szCs w:val="18"/>
          <w:u w:val="single" w:color="auto"/>
          <w:color w:val="auto"/>
        </w:rPr>
        <w:t>COBRA</w:t>
      </w:r>
      <w:r>
        <w:rPr>
          <w:rFonts w:ascii="Arial" w:cs="Arial" w:eastAsia="Arial" w:hAnsi="Arial"/>
          <w:sz w:val="18"/>
          <w:szCs w:val="18"/>
          <w:color w:val="auto"/>
        </w:rPr>
        <w:t>”) or similar state law, your participation in all employee benefit plans and programs of the Company and its Affiliates will end as of the Separation Date, except for participation in the Company’s group health plans, which will end as of the last day of the month in which the Separation Date occurs. You will receive information about your COBRA continuation rights under separate cover.</w:t>
      </w:r>
    </w:p>
    <w:p>
      <w:pPr>
        <w:spacing w:after="0" w:line="183"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Equity Awards. </w:t>
      </w:r>
      <w:r>
        <w:rPr>
          <w:rFonts w:ascii="Arial" w:cs="Arial" w:eastAsia="Arial" w:hAnsi="Arial"/>
          <w:sz w:val="16"/>
          <w:szCs w:val="16"/>
          <w:color w:val="auto"/>
        </w:rPr>
        <w:t>You hold certain equity awards granted to you by Lantheus Holdings, Inc. (“</w:t>
      </w:r>
      <w:r>
        <w:rPr>
          <w:rFonts w:ascii="Arial" w:cs="Arial" w:eastAsia="Arial" w:hAnsi="Arial"/>
          <w:sz w:val="16"/>
          <w:szCs w:val="16"/>
          <w:u w:val="single" w:color="auto"/>
          <w:color w:val="auto"/>
        </w:rPr>
        <w:t>Parent</w:t>
      </w:r>
      <w:r>
        <w:rPr>
          <w:rFonts w:ascii="Arial" w:cs="Arial" w:eastAsia="Arial" w:hAnsi="Arial"/>
          <w:sz w:val="16"/>
          <w:szCs w:val="16"/>
          <w:color w:val="auto"/>
        </w:rPr>
        <w:t>”), an Affiliate of the Company, under its 2013</w:t>
      </w:r>
      <w:r>
        <w:rPr>
          <w:rFonts w:ascii="Arial" w:cs="Arial" w:eastAsia="Arial" w:hAnsi="Arial"/>
          <w:sz w:val="16"/>
          <w:szCs w:val="16"/>
          <w:b w:val="1"/>
          <w:bCs w:val="1"/>
          <w:color w:val="auto"/>
        </w:rPr>
        <w:t xml:space="preserve"> </w:t>
      </w:r>
      <w:r>
        <w:rPr>
          <w:rFonts w:ascii="Arial" w:cs="Arial" w:eastAsia="Arial" w:hAnsi="Arial"/>
          <w:sz w:val="16"/>
          <w:szCs w:val="16"/>
          <w:color w:val="auto"/>
        </w:rPr>
        <w:t>Equity Incentive Plan and/or 2015 Equity Incentive Plan, each as amended, and the equity incentive agreements evidencing those grants entered into between you and Parent under those plans (collectively, the “</w:t>
      </w:r>
      <w:r>
        <w:rPr>
          <w:rFonts w:ascii="Arial" w:cs="Arial" w:eastAsia="Arial" w:hAnsi="Arial"/>
          <w:sz w:val="16"/>
          <w:szCs w:val="16"/>
          <w:u w:val="single" w:color="auto"/>
          <w:color w:val="auto"/>
        </w:rPr>
        <w:t>Equity Agreements</w:t>
      </w:r>
      <w:r>
        <w:rPr>
          <w:rFonts w:ascii="Arial" w:cs="Arial" w:eastAsia="Arial" w:hAnsi="Arial"/>
          <w:sz w:val="16"/>
          <w:szCs w:val="16"/>
          <w:color w:val="auto"/>
        </w:rPr>
        <w:t>” and those equity awards, collectively, the “</w:t>
      </w:r>
      <w:r>
        <w:rPr>
          <w:rFonts w:ascii="Arial" w:cs="Arial" w:eastAsia="Arial" w:hAnsi="Arial"/>
          <w:sz w:val="16"/>
          <w:szCs w:val="16"/>
          <w:u w:val="single" w:color="auto"/>
          <w:color w:val="auto"/>
        </w:rPr>
        <w:t>Equity Awards</w:t>
      </w:r>
      <w:r>
        <w:rPr>
          <w:rFonts w:ascii="Arial" w:cs="Arial" w:eastAsia="Arial" w:hAnsi="Arial"/>
          <w:sz w:val="16"/>
          <w:szCs w:val="16"/>
          <w:color w:val="auto"/>
        </w:rPr>
        <w:t xml:space="preserve">”). Subject to your execution of this Agreement within twenty-one (21) days following the Separation Date and your not revoking this Agreement within the seven (7)-day period immediately thereafter, and subject to your meeting in full your obligations under this Agreement and the Continuing Obligations (as defined in Section 9(a) below), the restricted stock awards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will remain outstanding as to that number of shares, and will become freely transferable on the dates, in each case,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You acknowledge and agree that all Equity Awards that are unvested as of the Separation Date will be forfeited (with the exception of the restricted stock awards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for no consideration due to you on the Separation Date, and all of your then-vested Equity Awards will continue to be subject</w:t>
      </w:r>
    </w:p>
    <w:p>
      <w:pPr>
        <w:sectPr>
          <w:pgSz w:w="11900" w:h="16838" w:orient="portrait"/>
          <w:cols w:equalWidth="0" w:num="1">
            <w:col w:w="11420"/>
          </w:cols>
          <w:pgMar w:left="240" w:top="580" w:right="23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18"/>
          <w:szCs w:val="18"/>
          <w:color w:val="auto"/>
        </w:rPr>
        <w:t>to the terms and conditions of the applicable Equity Agreements, including the post-termination of employment exercise provisions thereof.</w:t>
      </w:r>
    </w:p>
    <w:p>
      <w:pPr>
        <w:spacing w:after="0" w:line="235" w:lineRule="exact"/>
        <w:rPr>
          <w:sz w:val="20"/>
          <w:szCs w:val="20"/>
          <w:color w:val="auto"/>
        </w:rPr>
      </w:pPr>
    </w:p>
    <w:p>
      <w:pPr>
        <w:jc w:val="both"/>
        <w:ind w:left="660" w:hanging="652"/>
        <w:spacing w:after="0" w:line="289"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Severance Payments. </w:t>
      </w:r>
      <w:r>
        <w:rPr>
          <w:rFonts w:ascii="Arial" w:cs="Arial" w:eastAsia="Arial" w:hAnsi="Arial"/>
          <w:sz w:val="17"/>
          <w:szCs w:val="17"/>
          <w:color w:val="auto"/>
        </w:rPr>
        <w:t>Subject to your execution of this Agreement within twenty-one (21) days following the Separation Date and your not</w:t>
      </w:r>
      <w:r>
        <w:rPr>
          <w:rFonts w:ascii="Arial" w:cs="Arial" w:eastAsia="Arial" w:hAnsi="Arial"/>
          <w:sz w:val="17"/>
          <w:szCs w:val="17"/>
          <w:b w:val="1"/>
          <w:bCs w:val="1"/>
          <w:color w:val="auto"/>
        </w:rPr>
        <w:t xml:space="preserve"> </w:t>
      </w:r>
      <w:r>
        <w:rPr>
          <w:rFonts w:ascii="Arial" w:cs="Arial" w:eastAsia="Arial" w:hAnsi="Arial"/>
          <w:sz w:val="17"/>
          <w:szCs w:val="17"/>
          <w:color w:val="auto"/>
        </w:rPr>
        <w:t>revoking this Agreement within the seven (7)-day period immediately thereafter, and subject to your meeting in full your obligations under this Agreement and the Continuing Obligations (as defined in Section 9(a) below), the Company will provide you with the following:</w:t>
      </w:r>
    </w:p>
    <w:p>
      <w:pPr>
        <w:spacing w:after="0" w:line="162" w:lineRule="exact"/>
        <w:rPr>
          <w:rFonts w:ascii="Arial" w:cs="Arial" w:eastAsia="Arial" w:hAnsi="Arial"/>
          <w:sz w:val="17"/>
          <w:szCs w:val="17"/>
          <w:color w:val="auto"/>
        </w:rPr>
      </w:pPr>
    </w:p>
    <w:p>
      <w:pPr>
        <w:jc w:val="both"/>
        <w:ind w:left="1300" w:hanging="644"/>
        <w:spacing w:after="0" w:line="23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 amount equal to the sum of (x) $209,550, representing an amount equal to fifty-five percent (55%) of your annual base salary on the Separation Date, plus (y) $381,000, representing your annual base salary, which amount (i.e., the sum of clauses (x) and (y)) will be paid in substantially equal installments over a period of twelve (12) months following the Separation Date (the “</w:t>
      </w:r>
      <w:r>
        <w:rPr>
          <w:rFonts w:ascii="Arial" w:cs="Arial" w:eastAsia="Arial" w:hAnsi="Arial"/>
          <w:sz w:val="18"/>
          <w:szCs w:val="18"/>
          <w:u w:val="single" w:color="auto"/>
          <w:color w:val="auto"/>
        </w:rPr>
        <w:t>Severance Period</w:t>
      </w:r>
      <w:r>
        <w:rPr>
          <w:rFonts w:ascii="Arial" w:cs="Arial" w:eastAsia="Arial" w:hAnsi="Arial"/>
          <w:sz w:val="18"/>
          <w:szCs w:val="18"/>
          <w:color w:val="auto"/>
        </w:rPr>
        <w:t>”) in accordance with the Company’s regular payroll practices, with the first payment commencing on the Company’s first payroll date after the thirtieth (30</w:t>
      </w:r>
      <w:r>
        <w:rPr>
          <w:rFonts w:ascii="Arial" w:cs="Arial" w:eastAsia="Arial" w:hAnsi="Arial"/>
          <w:sz w:val="25"/>
          <w:szCs w:val="25"/>
          <w:color w:val="auto"/>
          <w:vertAlign w:val="superscript"/>
        </w:rPr>
        <w:t>th</w:t>
      </w:r>
      <w:r>
        <w:rPr>
          <w:rFonts w:ascii="Arial" w:cs="Arial" w:eastAsia="Arial" w:hAnsi="Arial"/>
          <w:sz w:val="18"/>
          <w:szCs w:val="18"/>
          <w:color w:val="auto"/>
        </w:rPr>
        <w:t>) day following the Separation Date, and with the first payment including any of those amounts that would otherwise have been paid prior thereto; and</w:t>
      </w:r>
    </w:p>
    <w:p>
      <w:pPr>
        <w:spacing w:after="0" w:line="206"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 amount equal to $66,000, representing the cash portion of the long-term incentive plan that has been achieved based on performance through the Separation Date, which amount will be payable at the same time it is payable to the other participants in the long-term incentive plan, which is currently expected to be March 31, 2019 but in no event will be later than December 31, 2019; and</w:t>
      </w:r>
    </w:p>
    <w:p>
      <w:pPr>
        <w:spacing w:after="0" w:line="165" w:lineRule="exact"/>
        <w:rPr>
          <w:rFonts w:ascii="Arial" w:cs="Arial" w:eastAsia="Arial" w:hAnsi="Arial"/>
          <w:sz w:val="17"/>
          <w:szCs w:val="17"/>
          <w:color w:val="auto"/>
        </w:rPr>
      </w:pPr>
    </w:p>
    <w:p>
      <w:pPr>
        <w:jc w:val="both"/>
        <w:ind w:left="1300" w:hanging="644"/>
        <w:spacing w:after="0" w:line="255"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provided that you timely and properly elect to purchase continued healthcare coverage under COBRA, reimbursement for COBRA benefits, in an amount representing the Company’s contribution level for active employees at the time of payment, for the period ending on the earliest of (i) the expiration of the Severance Period, (ii) the date on which you become covered under another employer’s health plan and (iii) the expiration of the maximum COBRA continuation coverage period for which you are eligible under federal law; provided that you submit supporting documentation of your payment of COBRA premiums, as provided for below, within thirty (30) days of paying such premiums (for the avoidance of doubt, you will be responsible for paying the applicable COBRA premiums directly to the Company’s COBRA administrator); and</w:t>
      </w:r>
    </w:p>
    <w:p>
      <w:pPr>
        <w:spacing w:after="0" w:line="189"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reimbursement for outplacement executive services incurred by you during the twelve (12) months following the Separation Date in an amount up to $25,000;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you submit such expenses and supporting documentation required within thirty (30) days of incurring such expenses.</w:t>
      </w:r>
    </w:p>
    <w:p>
      <w:pPr>
        <w:spacing w:after="0" w:line="177" w:lineRule="exact"/>
        <w:rPr>
          <w:rFonts w:ascii="Arial" w:cs="Arial" w:eastAsia="Arial" w:hAnsi="Arial"/>
          <w:sz w:val="18"/>
          <w:szCs w:val="18"/>
          <w:color w:val="auto"/>
        </w:rPr>
      </w:pPr>
    </w:p>
    <w:p>
      <w:pPr>
        <w:jc w:val="both"/>
        <w:ind w:left="660" w:hanging="652"/>
        <w:spacing w:after="0" w:line="281"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Acknowledgement of Full Payment. </w:t>
      </w:r>
      <w:r>
        <w:rPr>
          <w:rFonts w:ascii="Arial" w:cs="Arial" w:eastAsia="Arial" w:hAnsi="Arial"/>
          <w:sz w:val="17"/>
          <w:szCs w:val="17"/>
          <w:color w:val="auto"/>
        </w:rPr>
        <w:t>You acknowledge and agree that the payments and other benefits provided under this Agreement are in</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 satisfaction of any and all compensation and benefits due to you from the Company or any of its Affiliates, whether for services provided to the Company or otherwise, through the Separation Date. You further acknowledge that, except as expressly provided under this Agreement, no further compensation or benefits are owed or will be provided to you by the Company or any of its Affiliates.</w:t>
      </w:r>
    </w:p>
    <w:p>
      <w:pPr>
        <w:spacing w:after="0" w:line="164" w:lineRule="exact"/>
        <w:rPr>
          <w:rFonts w:ascii="Arial" w:cs="Arial" w:eastAsia="Arial" w:hAnsi="Arial"/>
          <w:sz w:val="17"/>
          <w:szCs w:val="17"/>
          <w:color w:val="auto"/>
        </w:rPr>
      </w:pPr>
    </w:p>
    <w:p>
      <w:pPr>
        <w:jc w:val="both"/>
        <w:ind w:left="660" w:hanging="652"/>
        <w:spacing w:after="0" w:line="287"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Taxes and Withholding. </w:t>
      </w:r>
      <w:r>
        <w:rPr>
          <w:rFonts w:ascii="Arial" w:cs="Arial" w:eastAsia="Arial" w:hAnsi="Arial"/>
          <w:sz w:val="16"/>
          <w:szCs w:val="16"/>
          <w:color w:val="auto"/>
        </w:rPr>
        <w:t>All payments made by the Company under this Agreement will be reduced by any tax or other amounts required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withheld by the Company under applicable law. In addition, on the Separation Date, the Company will withhold from the restricted stock awards that remain outstanding as set forth on Schedule A that number of shares of Parent common stock having a fair market value equal to the minimum statutory amount required by law to be withheld to satisfy the Company’s withholding obligations with respect to such restricted stock (it being understood that no such withholding shall relieve you of any tax obligations you may have with respect to such restricted stock awards). This Agreement and the payments and benefits provided under this Agreement are intended to be exempt from the requirements of Section 409A of the Internal Revenue Code of 1986, as amended (“</w:t>
      </w:r>
      <w:r>
        <w:rPr>
          <w:rFonts w:ascii="Arial" w:cs="Arial" w:eastAsia="Arial" w:hAnsi="Arial"/>
          <w:sz w:val="16"/>
          <w:szCs w:val="16"/>
          <w:u w:val="single" w:color="auto"/>
          <w:color w:val="auto"/>
        </w:rPr>
        <w:t>Section 409A</w:t>
      </w:r>
      <w:r>
        <w:rPr>
          <w:rFonts w:ascii="Arial" w:cs="Arial" w:eastAsia="Arial" w:hAnsi="Arial"/>
          <w:sz w:val="16"/>
          <w:szCs w:val="16"/>
          <w:color w:val="auto"/>
        </w:rPr>
        <w:t>”), and this Agreement will be construed consistently with that intent. Without limiting the foregoing, the severance payments set forth in Section 6 of this Agreement are intended to be exempt from Section 409A as “separation pay” within the meaning of Section 1.409A-1(b)(9)(iii) of the Treasury Regulations and/or “short-term deferrals” within the meaning of Section 1.409A-1(b)(4) of the Treasury Regulations. Your right to receive any installments payments pursuant to this Agreement shall be treated as a right to receive a series of separate and distinct payments. Notwithstanding anything to the contrary, in no event will the Company have any liability relating to the failure or alleged failure of any payment or benefit under this Agreement to be exempt from the requirements of Section 409A.</w:t>
      </w:r>
    </w:p>
    <w:p>
      <w:pPr>
        <w:sectPr>
          <w:pgSz w:w="11900" w:h="16838" w:orient="portrait"/>
          <w:cols w:equalWidth="0" w:num="1">
            <w:col w:w="11420"/>
          </w:cols>
          <w:pgMar w:left="240" w:top="611" w:right="239" w:bottom="1440" w:gutter="0" w:footer="0" w:header="0"/>
        </w:sectPr>
      </w:pPr>
    </w:p>
    <w:bookmarkStart w:id="48" w:name="page49"/>
    <w:bookmarkEnd w:id="48"/>
    <w:p>
      <w:pPr>
        <w:ind w:left="652" w:hanging="652"/>
        <w:spacing w:after="0"/>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Continuing Obligations.</w:t>
      </w:r>
    </w:p>
    <w:p>
      <w:pPr>
        <w:spacing w:after="0" w:line="229" w:lineRule="exact"/>
        <w:rPr>
          <w:rFonts w:ascii="Arial" w:cs="Arial" w:eastAsia="Arial" w:hAnsi="Arial"/>
          <w:sz w:val="18"/>
          <w:szCs w:val="18"/>
          <w:color w:val="auto"/>
        </w:rPr>
      </w:pPr>
    </w:p>
    <w:p>
      <w:pPr>
        <w:jc w:val="both"/>
        <w:ind w:left="1292" w:hanging="644"/>
        <w:spacing w:after="0" w:line="269" w:lineRule="auto"/>
        <w:tabs>
          <w:tab w:leader="none" w:pos="1292" w:val="left"/>
        </w:tabs>
        <w:numPr>
          <w:ilvl w:val="1"/>
          <w:numId w:val="31"/>
        </w:numPr>
        <w:rPr>
          <w:rFonts w:ascii="Arial" w:cs="Arial" w:eastAsia="Arial" w:hAnsi="Arial"/>
          <w:sz w:val="17"/>
          <w:szCs w:val="17"/>
          <w:color w:val="auto"/>
        </w:rPr>
      </w:pPr>
      <w:r>
        <w:rPr>
          <w:rFonts w:ascii="Arial" w:cs="Arial" w:eastAsia="Arial" w:hAnsi="Arial"/>
          <w:sz w:val="17"/>
          <w:szCs w:val="17"/>
          <w:color w:val="auto"/>
        </w:rPr>
        <w:t>You acknowledge and recognize the highly competitive nature of the businesses of the Company and its Affiliates and, accordingly, in consideration of the severance pay and benefits set forth in Section 5 and 6 and other valuable consideration, you acknowledge and agree that you will continue to be bound by your obligations relating to confidentiality, non-competition, non-solicitation, no-hire, invention assignment, non-disparagement and/or any other restrictive covenant set forth in any agreement by and between you and the Company or any of its Affiliates, including, without limitation, those set forth in Sections 9-11 of the employment agreement, effective as of August 12, 2013, between you and the Company (as amended,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(all such obligations, collectively, the “</w:t>
      </w:r>
      <w:r>
        <w:rPr>
          <w:rFonts w:ascii="Arial" w:cs="Arial" w:eastAsia="Arial" w:hAnsi="Arial"/>
          <w:sz w:val="17"/>
          <w:szCs w:val="17"/>
          <w:u w:val="single" w:color="auto"/>
          <w:color w:val="auto"/>
        </w:rPr>
        <w:t>Continuing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Obligations</w:t>
      </w:r>
      <w:r>
        <w:rPr>
          <w:rFonts w:ascii="Arial" w:cs="Arial" w:eastAsia="Arial" w:hAnsi="Arial"/>
          <w:sz w:val="17"/>
          <w:szCs w:val="17"/>
          <w:color w:val="auto"/>
        </w:rPr>
        <w:t>”). Each of the Continuing Obligations is an individual right, separately enforceable by the Company and/or its applicable Affiliate(s), notwithstanding any conflict or other inconsistency among any provisions (or any parts of any provisions) of any of the Continuing Obligations, and no such conflict or other inconsistency will have the effect of superseding, restricting or otherwise limiting any of the Continuing Obligations. The obligation of the Company to make payments and provide the benefits described under Sections 5 and 6, and your right to retain those payments and benefits, are expressly conditioned upon your continued full performance of your obligations under this Agreement and of the Continuing Obligations.</w:t>
      </w:r>
    </w:p>
    <w:p>
      <w:pPr>
        <w:spacing w:after="0" w:line="179" w:lineRule="exact"/>
        <w:rPr>
          <w:rFonts w:ascii="Arial" w:cs="Arial" w:eastAsia="Arial" w:hAnsi="Arial"/>
          <w:sz w:val="17"/>
          <w:szCs w:val="17"/>
          <w:color w:val="auto"/>
        </w:rPr>
      </w:pPr>
    </w:p>
    <w:p>
      <w:pPr>
        <w:jc w:val="both"/>
        <w:ind w:left="1292" w:hanging="644"/>
        <w:spacing w:after="0" w:line="291" w:lineRule="auto"/>
        <w:tabs>
          <w:tab w:leader="none" w:pos="1292" w:val="left"/>
        </w:tabs>
        <w:numPr>
          <w:ilvl w:val="1"/>
          <w:numId w:val="31"/>
        </w:numPr>
        <w:rPr>
          <w:rFonts w:ascii="Arial" w:cs="Arial" w:eastAsia="Arial" w:hAnsi="Arial"/>
          <w:sz w:val="16"/>
          <w:szCs w:val="16"/>
          <w:color w:val="auto"/>
        </w:rPr>
      </w:pPr>
      <w:r>
        <w:rPr>
          <w:rFonts w:ascii="Arial" w:cs="Arial" w:eastAsia="Arial" w:hAnsi="Arial"/>
          <w:sz w:val="16"/>
          <w:szCs w:val="16"/>
          <w:color w:val="auto"/>
        </w:rPr>
        <w:t>You hereby assign to the Company all right, title and interest that you have in any discovery, invention or innovation conceived or reduced to practice by you in the performance of your employment with the Company (including all intellectual property rights related to any discovery, invention or innovation), which you acknowledge and agree is solely and exclusively owned by the Company. You will cooperate and assist the Company (at the Company’s expense) in obtaining patent protection for any such discovery, invention or innovation, including executing all documents required for such purpose, and you hereby irrevocably appoint the Company as your lawful attorney-in-fact for such purpose. This Agreement will also be deemed a transfer to the Company of, and you hereby assign to the Company, the copyright of any copyrightable subject matter created by you in the performance of your employment with the Company.</w:t>
      </w:r>
    </w:p>
    <w:p>
      <w:pPr>
        <w:spacing w:after="0" w:line="167" w:lineRule="exact"/>
        <w:rPr>
          <w:rFonts w:ascii="Arial" w:cs="Arial" w:eastAsia="Arial" w:hAnsi="Arial"/>
          <w:sz w:val="16"/>
          <w:szCs w:val="16"/>
          <w:color w:val="auto"/>
        </w:rPr>
      </w:pPr>
    </w:p>
    <w:p>
      <w:pPr>
        <w:jc w:val="both"/>
        <w:ind w:left="1292" w:hanging="644"/>
        <w:spacing w:after="0" w:line="271" w:lineRule="auto"/>
        <w:tabs>
          <w:tab w:leader="none" w:pos="1292"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For the avoidance of doubt, (i) nothing contained in the Employment Agreement or this Agreement, or any of the Continuing Obligations, limits, restricts or in any other way affects your communicating with any governmental agency or entity, or communicating with any official or staff person of any governmental agency or entity, concerning matters relevant to that governmental agency or entity; and (ii) you will not be held criminally or civilly liable under any federal or state trade secret law for disclosing a trade secret (y) in confidence to a federal, state or local government official, either directly or indirectly, or to an attorney, solely for the purpose of reporting or investigating a suspected violation of law, or (z) in a complaint or other document filed under seal in a lawsuit or other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this immunity from liability, you may be held liable if you unlawfully access trade secrets by unauthorized means or disclose (except as permitted above) or use any trade secrets.</w:t>
      </w:r>
    </w:p>
    <w:p>
      <w:pPr>
        <w:spacing w:after="0" w:line="174" w:lineRule="exact"/>
        <w:rPr>
          <w:rFonts w:ascii="Arial" w:cs="Arial" w:eastAsia="Arial" w:hAnsi="Arial"/>
          <w:sz w:val="17"/>
          <w:szCs w:val="17"/>
          <w:color w:val="auto"/>
        </w:rPr>
      </w:pPr>
    </w:p>
    <w:p>
      <w:pPr>
        <w:jc w:val="both"/>
        <w:ind w:left="652" w:hanging="652"/>
        <w:spacing w:after="0" w:line="291" w:lineRule="auto"/>
        <w:tabs>
          <w:tab w:leader="none" w:pos="652"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Return of Company Documents and Other Property. </w:t>
      </w:r>
      <w:r>
        <w:rPr>
          <w:rFonts w:ascii="Arial" w:cs="Arial" w:eastAsia="Arial" w:hAnsi="Arial"/>
          <w:sz w:val="16"/>
          <w:szCs w:val="16"/>
          <w:color w:val="auto"/>
        </w:rPr>
        <w:t>In signing this Agreement, you represent, warrant and covenant that you have returned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any and all documents, materials and information (whether in hardcopy, on electronic media or otherwise) related to the business of the Company and its Affiliates (whether present or otherwise), and all keys, access cards, credit cards, computer hardware and software, telephones and telephone-related equipment and all other property of the Company or any of its Affiliates in your possession or control. Further, you represent, warrant and covenant that you have not retained any copy or derivation of any documents, materials or information (whether in hardcopy, on electronic media or otherwise) of the Company or any of its Affiliates. Further, you represent, warrant and covenant that you have disclosed to the Company all passwords necessary or desirable to obtain access to, or that would assist in obtaining access to, all information which you have password-protected on any computer equipment, network or system of the Company or any of its Affiliates.</w:t>
      </w:r>
    </w:p>
    <w:p>
      <w:pPr>
        <w:spacing w:after="0" w:line="160" w:lineRule="exact"/>
        <w:rPr>
          <w:rFonts w:ascii="Arial" w:cs="Arial" w:eastAsia="Arial" w:hAnsi="Arial"/>
          <w:sz w:val="16"/>
          <w:szCs w:val="16"/>
          <w:color w:val="auto"/>
        </w:rPr>
      </w:pPr>
    </w:p>
    <w:p>
      <w:pPr>
        <w:ind w:left="652" w:hanging="652"/>
        <w:spacing w:after="0"/>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General Release and Waiver of Claims.</w:t>
      </w:r>
    </w:p>
    <w:p>
      <w:pPr>
        <w:spacing w:after="0" w:line="229" w:lineRule="exact"/>
        <w:rPr>
          <w:rFonts w:ascii="Arial" w:cs="Arial" w:eastAsia="Arial" w:hAnsi="Arial"/>
          <w:sz w:val="18"/>
          <w:szCs w:val="18"/>
          <w:color w:val="auto"/>
        </w:rPr>
      </w:pPr>
    </w:p>
    <w:p>
      <w:pPr>
        <w:jc w:val="both"/>
        <w:ind w:left="1292" w:hanging="644"/>
        <w:spacing w:after="0" w:line="273" w:lineRule="auto"/>
        <w:tabs>
          <w:tab w:leader="none" w:pos="1292" w:val="left"/>
        </w:tabs>
        <w:numPr>
          <w:ilvl w:val="1"/>
          <w:numId w:val="31"/>
        </w:numPr>
        <w:rPr>
          <w:rFonts w:ascii="Arial" w:cs="Arial" w:eastAsia="Arial" w:hAnsi="Arial"/>
          <w:sz w:val="17"/>
          <w:szCs w:val="17"/>
          <w:color w:val="auto"/>
        </w:rPr>
      </w:pPr>
      <w:r>
        <w:rPr>
          <w:rFonts w:ascii="Arial" w:cs="Arial" w:eastAsia="Arial" w:hAnsi="Arial"/>
          <w:sz w:val="17"/>
          <w:szCs w:val="17"/>
          <w:color w:val="auto"/>
        </w:rPr>
        <w:t>You agree to and do waive any claims you may have for employment by the Company. You, on your own behalf and on behalf of your heirs, estate and beneficiaries, further do hereby release the Company, and in those capacities, any of its Affiliates, and each of their respective past, present and future officers, directors, agents, employees, shareholders, investors, employee benefit plans and their administrators, trustees or fiduciaries, insurers of any of those entities, and its and their successors and assigns and others related to those entities (collectively,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from any and all claims made, to be made, or which might have been made of whatever nature, whether known or unknown, from the beginning of time, including those that arose as a</w:t>
      </w:r>
    </w:p>
    <w:p>
      <w:pPr>
        <w:sectPr>
          <w:pgSz w:w="11900" w:h="16838" w:orient="portrait"/>
          <w:cols w:equalWidth="0" w:num="1">
            <w:col w:w="11412"/>
          </w:cols>
          <w:pgMar w:left="248" w:top="580" w:right="239" w:bottom="1440" w:gutter="0" w:footer="0" w:header="0"/>
        </w:sectPr>
      </w:pPr>
    </w:p>
    <w:bookmarkStart w:id="49" w:name="page50"/>
    <w:bookmarkEnd w:id="49"/>
    <w:p>
      <w:pPr>
        <w:jc w:val="both"/>
        <w:ind w:left="1292"/>
        <w:spacing w:after="0" w:line="338" w:lineRule="auto"/>
        <w:rPr>
          <w:sz w:val="20"/>
          <w:szCs w:val="20"/>
          <w:color w:val="auto"/>
        </w:rPr>
      </w:pPr>
      <w:r>
        <w:rPr>
          <w:rFonts w:ascii="Arial" w:cs="Arial" w:eastAsia="Arial" w:hAnsi="Arial"/>
          <w:sz w:val="16"/>
          <w:szCs w:val="16"/>
          <w:color w:val="auto"/>
        </w:rPr>
        <w:t xml:space="preserve">consequence of your employment with the Company, or arising out of the termination of your employment with the Company, or any act committed or omitted during or after the existence of that employment relationship, all up through and including the date on which this Agreement is executed, including, but not limited to, those which were, could have been or could be the subject of an administrative or judicial proceeding filed by you or on your behalf under federal, state or local law, whether by statute, regulation, in contract or tort, and including, but not limited to, for front pay, back pay, wages, bonus, fringe benefit, any form of discrimination, wrongful termination, tort, emotional distress, pain and suffering, breach of contract, fraud, defamation, compensatory or punitive damages, interest, attorney’s fees, reinstatement or reemployment, and any rights or claims under the Civil Rights Act of 1866, the Age Discrimination in Employment Act of 1967, 29 U.S.C. sec. 621, </w:t>
      </w:r>
      <w:r>
        <w:rPr>
          <w:rFonts w:ascii="Arial" w:cs="Arial" w:eastAsia="Arial" w:hAnsi="Arial"/>
          <w:sz w:val="16"/>
          <w:szCs w:val="16"/>
          <w:i w:val="1"/>
          <w:iCs w:val="1"/>
          <w:color w:val="auto"/>
        </w:rPr>
        <w:t>et seq.</w:t>
      </w:r>
      <w:r>
        <w:rPr>
          <w:rFonts w:ascii="Arial" w:cs="Arial" w:eastAsia="Arial" w:hAnsi="Arial"/>
          <w:sz w:val="16"/>
          <w:szCs w:val="16"/>
          <w:color w:val="auto"/>
        </w:rPr>
        <w:t>, the Older Workers Benefit Protection Act, the Americans with Disabilities Act, the Family and Medical Leave Act, the Civil Rights Act of 1964, Title VII, the Civil Rights Act of 1991, the Employee Retirement Income Security Act of 1974, the Equal Pay Act, the Worker Adjustment and Retraining Notification Act, the Massachusetts Fair Employment Practices Act (M.G.L. c.151B), the Massachusetts Civil Rights Act, the Massachusetts Equal Pay and Maternity Benefits Law, the Massachusetts Equal Rights for Elderly and Disabled Law, the Massachusetts Small Necessities Leave Act, the Massachusetts Age Discrimination Law, the Massachusetts Wage Payment Statutes (M.G.L. c.149, 148, 150), the Massachusetts Earned Sick Tim Law (MGL Ch. 149, Section 148C) and any other federal, state or local law, in each case, as amended, relating to employment, discrimination in employment, termination of employment, wages, benefits or otherwise. You acknowledge and agree that even though claims and facts in addition to those now known or believed by you to exist may subsequently be discovered, it is your intention to fully settle and release all claims you may have against the Company and the Released Parties, whether known, unknown or suspected. The Released Parties who are not party to this Agreement will be third-party beneficiaries of this Section 11(a).</w:t>
      </w:r>
    </w:p>
    <w:p>
      <w:pPr>
        <w:spacing w:after="0" w:line="200" w:lineRule="exact"/>
        <w:rPr>
          <w:sz w:val="20"/>
          <w:szCs w:val="20"/>
          <w:color w:val="auto"/>
        </w:rPr>
      </w:pPr>
    </w:p>
    <w:p>
      <w:pPr>
        <w:spacing w:after="0" w:line="203" w:lineRule="exact"/>
        <w:rPr>
          <w:sz w:val="20"/>
          <w:szCs w:val="20"/>
          <w:color w:val="auto"/>
        </w:rPr>
      </w:pPr>
    </w:p>
    <w:p>
      <w:pPr>
        <w:jc w:val="both"/>
        <w:ind w:left="1292" w:hanging="644"/>
        <w:spacing w:after="0" w:line="297" w:lineRule="auto"/>
        <w:tabs>
          <w:tab w:leader="none" w:pos="1292" w:val="left"/>
        </w:tabs>
        <w:numPr>
          <w:ilvl w:val="1"/>
          <w:numId w:val="32"/>
        </w:numPr>
        <w:rPr>
          <w:rFonts w:ascii="Arial" w:cs="Arial" w:eastAsia="Arial" w:hAnsi="Arial"/>
          <w:sz w:val="16"/>
          <w:szCs w:val="16"/>
          <w:color w:val="auto"/>
        </w:rPr>
      </w:pPr>
      <w:r>
        <w:rPr>
          <w:rFonts w:ascii="Arial" w:cs="Arial" w:eastAsia="Arial" w:hAnsi="Arial"/>
          <w:sz w:val="16"/>
          <w:szCs w:val="16"/>
          <w:color w:val="auto"/>
        </w:rPr>
        <w:t>Notwithstanding the generality of the foregoing, you do not waive your right to (i) have a complaint, charge or related lawsuit filed with the Equal Employment Opportunity Commission (“</w:t>
      </w:r>
      <w:r>
        <w:rPr>
          <w:rFonts w:ascii="Arial" w:cs="Arial" w:eastAsia="Arial" w:hAnsi="Arial"/>
          <w:sz w:val="16"/>
          <w:szCs w:val="16"/>
          <w:u w:val="single" w:color="auto"/>
          <w:color w:val="auto"/>
        </w:rPr>
        <w:t>EEOC</w:t>
      </w:r>
      <w:r>
        <w:rPr>
          <w:rFonts w:ascii="Arial" w:cs="Arial" w:eastAsia="Arial" w:hAnsi="Arial"/>
          <w:sz w:val="16"/>
          <w:szCs w:val="16"/>
          <w:color w:val="auto"/>
        </w:rPr>
        <w:t>”) or any similar state or local governmental agency by you or by anyone on your behalf or to participate in an investigation conducted by the EEOC or any similar state or local governmental agency; however, you expressly waive your right to recover any personal relief, recovery or monies should you or anyone on your behalf pursue any of those complaints, claims or related lawsuits; or (ii) pursue a claim that cannot be waived by law, such as a claim for unemployment benefit rights.</w:t>
      </w:r>
    </w:p>
    <w:p>
      <w:pPr>
        <w:spacing w:after="0" w:line="158" w:lineRule="exact"/>
        <w:rPr>
          <w:rFonts w:ascii="Arial" w:cs="Arial" w:eastAsia="Arial" w:hAnsi="Arial"/>
          <w:sz w:val="16"/>
          <w:szCs w:val="16"/>
          <w:color w:val="auto"/>
        </w:rPr>
      </w:pPr>
    </w:p>
    <w:p>
      <w:pPr>
        <w:jc w:val="both"/>
        <w:ind w:left="1292" w:hanging="644"/>
        <w:spacing w:after="0" w:line="272" w:lineRule="auto"/>
        <w:tabs>
          <w:tab w:leader="none" w:pos="1292"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Company and you acknowledge and agree that the release contained in Section 11(a) above does not, and will not be construed to, release or limit the scope of any existing obligation of the Company and/or any of its Affiliates (i) if and as applicable, to indemnify you for your acts as an officer or director of the Company and/or its Affiliates in accordance with their respective charters or bylaws or under an indemnification agreement to which you and the Company or any of its Affiliates are parties or under any applicable Directors and Officers insurance policies or under any applicable law; or (ii) to you and your eligible, participating dependents or beneficiaries under the terms of any existing group welfare (excluding severance) or retirement plan of the Company in which you and/or any of those dependents or beneficiaries are participants with respect vested benefits under such plans.</w:t>
      </w:r>
    </w:p>
    <w:p>
      <w:pPr>
        <w:spacing w:after="0" w:line="177" w:lineRule="exact"/>
        <w:rPr>
          <w:rFonts w:ascii="Arial" w:cs="Arial" w:eastAsia="Arial" w:hAnsi="Arial"/>
          <w:sz w:val="17"/>
          <w:szCs w:val="17"/>
          <w:color w:val="auto"/>
        </w:rPr>
      </w:pPr>
    </w:p>
    <w:p>
      <w:pPr>
        <w:jc w:val="both"/>
        <w:ind w:left="1292" w:hanging="644"/>
        <w:spacing w:after="0" w:line="273" w:lineRule="auto"/>
        <w:tabs>
          <w:tab w:leader="none" w:pos="1292" w:val="left"/>
        </w:tabs>
        <w:numPr>
          <w:ilvl w:val="1"/>
          <w:numId w:val="32"/>
        </w:numPr>
        <w:rPr>
          <w:rFonts w:ascii="Arial" w:cs="Arial" w:eastAsia="Arial" w:hAnsi="Arial"/>
          <w:sz w:val="17"/>
          <w:szCs w:val="17"/>
          <w:color w:val="auto"/>
        </w:rPr>
      </w:pPr>
      <w:r>
        <w:rPr>
          <w:rFonts w:ascii="Arial" w:cs="Arial" w:eastAsia="Arial" w:hAnsi="Arial"/>
          <w:sz w:val="17"/>
          <w:szCs w:val="17"/>
          <w:color w:val="auto"/>
        </w:rPr>
        <w:t>You acknowledge and agree that before entering into this Agreement, you have had the opportunity to consult with any attorney or other advisor of your choice, and you are hereby advised to consult with an attorney. You further acknowledge and agree that by signing this Agreement, you do so of your own free will and act, that it is your intention to be legally bound by its terms, and that no promises or representations have been made to you by any person to induce you to enter into this Agreement other than the express terms set forth herein. You further acknowledge and agree that you have carefully read this Agreement, know and understand its contents and its binding legal effect, including the waiver and release of claims set forth in Section 11(a) above.</w:t>
      </w:r>
    </w:p>
    <w:p>
      <w:pPr>
        <w:spacing w:after="0" w:line="174" w:lineRule="exact"/>
        <w:rPr>
          <w:rFonts w:ascii="Arial" w:cs="Arial" w:eastAsia="Arial" w:hAnsi="Arial"/>
          <w:sz w:val="17"/>
          <w:szCs w:val="17"/>
          <w:color w:val="auto"/>
        </w:rPr>
      </w:pPr>
    </w:p>
    <w:p>
      <w:pPr>
        <w:jc w:val="both"/>
        <w:ind w:left="652" w:hanging="652"/>
        <w:spacing w:after="0" w:line="289" w:lineRule="auto"/>
        <w:tabs>
          <w:tab w:leader="none" w:pos="652"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Unemployment Benefits. </w:t>
      </w:r>
      <w:r>
        <w:rPr>
          <w:rFonts w:ascii="Arial" w:cs="Arial" w:eastAsia="Arial" w:hAnsi="Arial"/>
          <w:sz w:val="17"/>
          <w:szCs w:val="17"/>
          <w:color w:val="auto"/>
        </w:rPr>
        <w:t>To the extent permitted by applicable law, the Company will not actively contest any application you make for</w:t>
      </w:r>
      <w:r>
        <w:rPr>
          <w:rFonts w:ascii="Arial" w:cs="Arial" w:eastAsia="Arial" w:hAnsi="Arial"/>
          <w:sz w:val="17"/>
          <w:szCs w:val="17"/>
          <w:b w:val="1"/>
          <w:bCs w:val="1"/>
          <w:color w:val="auto"/>
        </w:rPr>
        <w:t xml:space="preserve"> </w:t>
      </w:r>
      <w:r>
        <w:rPr>
          <w:rFonts w:ascii="Arial" w:cs="Arial" w:eastAsia="Arial" w:hAnsi="Arial"/>
          <w:sz w:val="17"/>
          <w:szCs w:val="17"/>
          <w:color w:val="auto"/>
        </w:rPr>
        <w:t>unemployment benefits. However, the Company will respond truthfully, completely, and timely to any inquiries by the Massachusetts Department of Unemployment Assistance or any other governmental agency or court concerning the termination of your employment.</w:t>
      </w:r>
    </w:p>
    <w:p>
      <w:pPr>
        <w:spacing w:after="0" w:line="158" w:lineRule="exact"/>
        <w:rPr>
          <w:rFonts w:ascii="Arial" w:cs="Arial" w:eastAsia="Arial" w:hAnsi="Arial"/>
          <w:sz w:val="17"/>
          <w:szCs w:val="17"/>
          <w:color w:val="auto"/>
        </w:rPr>
      </w:pPr>
    </w:p>
    <w:p>
      <w:pPr>
        <w:jc w:val="both"/>
        <w:ind w:left="652" w:hanging="652"/>
        <w:spacing w:after="0" w:line="261" w:lineRule="auto"/>
        <w:tabs>
          <w:tab w:leader="none" w:pos="65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Cooperation. </w:t>
      </w:r>
      <w:r>
        <w:rPr>
          <w:rFonts w:ascii="Arial" w:cs="Arial" w:eastAsia="Arial" w:hAnsi="Arial"/>
          <w:sz w:val="18"/>
          <w:szCs w:val="18"/>
          <w:color w:val="auto"/>
        </w:rPr>
        <w:t>Upon reasonable prior request, you agree to cooperate with the Company or its Affiliates in connection with any present or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litigation or regulatory proceeding brought against the Company or any of its Affiliates, to the extent the Company or its Affiliate deems your cooperation necessary. This cooperation may include, but will not be limited to, meeting with the Company’s or its Affiliate’s counsel and providing testimony if so requested. The Company</w:t>
      </w:r>
    </w:p>
    <w:p>
      <w:pPr>
        <w:sectPr>
          <w:pgSz w:w="11900" w:h="16838" w:orient="portrait"/>
          <w:cols w:equalWidth="0" w:num="1">
            <w:col w:w="11412"/>
          </w:cols>
          <w:pgMar w:left="248" w:top="611" w:right="239" w:bottom="1440" w:gutter="0" w:footer="0" w:header="0"/>
        </w:sectPr>
      </w:pPr>
    </w:p>
    <w:bookmarkStart w:id="50" w:name="page51"/>
    <w:bookmarkEnd w:id="50"/>
    <w:p>
      <w:pPr>
        <w:ind w:left="652"/>
        <w:spacing w:after="0"/>
        <w:rPr>
          <w:sz w:val="20"/>
          <w:szCs w:val="20"/>
          <w:color w:val="auto"/>
        </w:rPr>
      </w:pPr>
      <w:r>
        <w:rPr>
          <w:rFonts w:ascii="Arial" w:cs="Arial" w:eastAsia="Arial" w:hAnsi="Arial"/>
          <w:sz w:val="18"/>
          <w:szCs w:val="18"/>
          <w:color w:val="auto"/>
        </w:rPr>
        <w:t>or its Affiliate will reimburse you for reasonable pre-approved out-of-pocket expenses incurred by you as a result of this cooperation.</w:t>
      </w:r>
    </w:p>
    <w:p>
      <w:pPr>
        <w:spacing w:after="0" w:line="235" w:lineRule="exact"/>
        <w:rPr>
          <w:sz w:val="20"/>
          <w:szCs w:val="20"/>
          <w:color w:val="auto"/>
        </w:rPr>
      </w:pPr>
    </w:p>
    <w:p>
      <w:pPr>
        <w:jc w:val="both"/>
        <w:ind w:left="652" w:hanging="652"/>
        <w:spacing w:after="0" w:line="270" w:lineRule="auto"/>
        <w:tabs>
          <w:tab w:leader="none" w:pos="652"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No Admission; Affirmations. </w:t>
      </w:r>
      <w:r>
        <w:rPr>
          <w:rFonts w:ascii="Arial" w:cs="Arial" w:eastAsia="Arial" w:hAnsi="Arial"/>
          <w:sz w:val="17"/>
          <w:szCs w:val="17"/>
          <w:color w:val="auto"/>
        </w:rPr>
        <w:t>Neither by offering to make nor by making this Agreement does the Company or you admit any failure of</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wrongdoing or violation of law. You also affirm that you have been paid and/or have received all compensation, wages, bonuses, commissions and/or benefits to which you may be entitled from the Company. You further affirm that you have been granted by the Company any leave to which you were entitled under the Family and Medical Leave Act or related state or local leave or disability accommodation laws. You further affirm that you have no known workplace injuries or occupational diseases regarding your employment at the Company, unless previously reported to the Company in writing. You also affirm that you have not divulged any proprietary or confidential information of the Company and that you have disclosed to the Company any discovery, invention or innovation conceived or reduced to practice by you in the performance of your employment with the Company. You further affirm that you have not been retaliated against for reporting any allegations of wrongdoing by the Company or its officers, including any allegations of corporate fraud. You also affirm by your signature below that you are not aware of any wrongdoing, regulatory violations or corporate fraud committed by the Company, its Affiliates or any employees or independent contractors of any of the foregoing, unless previously reported to the Company in writing.</w:t>
      </w:r>
    </w:p>
    <w:p>
      <w:pPr>
        <w:spacing w:after="0" w:line="174" w:lineRule="exact"/>
        <w:rPr>
          <w:rFonts w:ascii="Arial" w:cs="Arial" w:eastAsia="Arial" w:hAnsi="Arial"/>
          <w:sz w:val="17"/>
          <w:szCs w:val="17"/>
          <w:color w:val="auto"/>
        </w:rPr>
      </w:pPr>
    </w:p>
    <w:p>
      <w:pPr>
        <w:ind w:left="652" w:hanging="652"/>
        <w:spacing w:after="0"/>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color w:val="auto"/>
        </w:rPr>
      </w:pPr>
    </w:p>
    <w:p>
      <w:pPr>
        <w:jc w:val="both"/>
        <w:ind w:left="1292" w:hanging="644"/>
        <w:spacing w:after="0" w:line="259" w:lineRule="auto"/>
        <w:tabs>
          <w:tab w:leader="none" w:pos="12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you and the Company or any of its Affiliates, and supersedes all prior and contemporaneous communications, agreements and understandings, whether written or oral, with respect to your employment, its termination and all related matters, excluding only the Continuing Obligations, which will remain in full force and effect in accordance with their terms.</w:t>
      </w:r>
    </w:p>
    <w:p>
      <w:pPr>
        <w:spacing w:after="0" w:line="186" w:lineRule="exact"/>
        <w:rPr>
          <w:rFonts w:ascii="Arial" w:cs="Arial" w:eastAsia="Arial" w:hAnsi="Arial"/>
          <w:sz w:val="18"/>
          <w:szCs w:val="18"/>
          <w:color w:val="auto"/>
        </w:rPr>
      </w:pPr>
    </w:p>
    <w:p>
      <w:pPr>
        <w:jc w:val="both"/>
        <w:ind w:left="1292" w:hanging="644"/>
        <w:spacing w:after="0" w:line="257" w:lineRule="auto"/>
        <w:tabs>
          <w:tab w:leader="none" w:pos="12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This Agreement is a Massachusetts contract, and this Agreement (and all claims, controversies and causes of action arising under or otherwise relating to this Agreement) will be governed and construed in accordance with the laws of the Commonwealth of Massachusetts, without regard to any conflict of laws principles that would result in the application of the laws of another jurisdiction. Each party agrees to submit to the exclusive jurisdiction of the courts of the Commonwealth of Massachusetts in connection with any dispute arising out of or otherwise relating to this Agreement.</w:t>
      </w:r>
    </w:p>
    <w:p>
      <w:pPr>
        <w:spacing w:after="0" w:line="188"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This Agreement may not be modified or amended, and no breach will be deemed to be waived, unless agreed to in writing by you and an expressly authorized representative of the Company. The captions and headings in this Agreement are for convenience only, and in no way define or describe the scope or content of any provision of this Agreement.</w:t>
      </w:r>
    </w:p>
    <w:p>
      <w:pPr>
        <w:spacing w:after="0" w:line="181" w:lineRule="exact"/>
        <w:rPr>
          <w:rFonts w:ascii="Arial" w:cs="Arial" w:eastAsia="Arial" w:hAnsi="Arial"/>
          <w:sz w:val="18"/>
          <w:szCs w:val="18"/>
          <w:color w:val="auto"/>
        </w:rPr>
      </w:pPr>
    </w:p>
    <w:p>
      <w:pPr>
        <w:jc w:val="both"/>
        <w:ind w:left="1292" w:hanging="644"/>
        <w:spacing w:after="0" w:line="279" w:lineRule="auto"/>
        <w:tabs>
          <w:tab w:leader="none" w:pos="1292" w:val="left"/>
        </w:tabs>
        <w:numPr>
          <w:ilvl w:val="1"/>
          <w:numId w:val="34"/>
        </w:numPr>
        <w:rPr>
          <w:rFonts w:ascii="Arial" w:cs="Arial" w:eastAsia="Arial" w:hAnsi="Arial"/>
          <w:sz w:val="17"/>
          <w:szCs w:val="17"/>
          <w:color w:val="auto"/>
        </w:rPr>
      </w:pPr>
      <w:r>
        <w:rPr>
          <w:rFonts w:ascii="Arial" w:cs="Arial" w:eastAsia="Arial" w:hAnsi="Arial"/>
          <w:sz w:val="17"/>
          <w:szCs w:val="17"/>
          <w:color w:val="auto"/>
        </w:rPr>
        <w:t>In the event that any one or more of the provisions of this Agreement is held to be invalid, illegal or unenforceable, the validity, legality and enforceability of the remaining provisions will not in any way be affected or impaired thereby. Moreover, if any one or more of the provisions contained in this Agreement is held to be excessively broad as to duration, scope or activity or subject, those provisions will be construed by limiting and reducing them so as to be enforceable to the maximum extent compatible with applicable law.</w:t>
      </w:r>
    </w:p>
    <w:p>
      <w:pPr>
        <w:spacing w:after="0" w:line="171" w:lineRule="exact"/>
        <w:rPr>
          <w:rFonts w:ascii="Arial" w:cs="Arial" w:eastAsia="Arial" w:hAnsi="Arial"/>
          <w:sz w:val="17"/>
          <w:szCs w:val="17"/>
          <w:color w:val="auto"/>
        </w:rPr>
      </w:pPr>
    </w:p>
    <w:p>
      <w:pPr>
        <w:jc w:val="both"/>
        <w:ind w:left="1292" w:hanging="644"/>
        <w:spacing w:after="0" w:line="264" w:lineRule="auto"/>
        <w:tabs>
          <w:tab w:leader="none" w:pos="12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This Agreement (including, without limitation, the Company’s obligation to make severance payments and restricted stock awards as specifically provided herein) will remain and inure to the benefit of and be binding upon personal or legal representatives, executors, administrators, successors, heirs, distributees, devisees and legatees.</w:t>
      </w:r>
    </w:p>
    <w:p>
      <w:pPr>
        <w:spacing w:after="0" w:line="181" w:lineRule="exact"/>
        <w:rPr>
          <w:rFonts w:ascii="Arial" w:cs="Arial" w:eastAsia="Arial" w:hAnsi="Arial"/>
          <w:sz w:val="18"/>
          <w:szCs w:val="18"/>
          <w:color w:val="auto"/>
        </w:rPr>
      </w:pPr>
    </w:p>
    <w:p>
      <w:pPr>
        <w:jc w:val="both"/>
        <w:ind w:left="1292" w:hanging="644"/>
        <w:spacing w:after="0" w:line="257" w:lineRule="auto"/>
        <w:tabs>
          <w:tab w:leader="none" w:pos="12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This Agreement, and all of your rights and duties under this Agreement, will not be assignable or delegable by you. Any purported assignment or delegation by you in violation of the foregoing will be null and void and of no force and effect. This Agreement may be assigned by the Company to an individual or entity which is an Affiliate or a successor in interest to substantially all of the business operations of the Company. Upon any assignment, the rights and obligations of the Company under this Agreement will become the rights and obligations of that Affiliate or successor individual or entity.</w:t>
      </w:r>
    </w:p>
    <w:p>
      <w:pPr>
        <w:spacing w:after="0" w:line="188" w:lineRule="exact"/>
        <w:rPr>
          <w:rFonts w:ascii="Arial" w:cs="Arial" w:eastAsia="Arial" w:hAnsi="Arial"/>
          <w:sz w:val="18"/>
          <w:szCs w:val="18"/>
          <w:color w:val="auto"/>
        </w:rPr>
      </w:pPr>
    </w:p>
    <w:p>
      <w:pPr>
        <w:ind w:left="1292" w:right="20" w:hanging="644"/>
        <w:spacing w:after="0" w:line="308" w:lineRule="auto"/>
        <w:tabs>
          <w:tab w:leader="none" w:pos="1292"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Company’s obligation to pay you the amounts set forth under this Agreement and to make the arrangements provided under this agreement are subject to set-off, counterclaim and recoupment of amounts owed by you to the Company or its Affiliates.</w:t>
      </w:r>
    </w:p>
    <w:p>
      <w:pPr>
        <w:sectPr>
          <w:pgSz w:w="11900" w:h="16838" w:orient="portrait"/>
          <w:cols w:equalWidth="0" w:num="1">
            <w:col w:w="11412"/>
          </w:cols>
          <w:pgMar w:left="248" w:top="611" w:right="239" w:bottom="1440" w:gutter="0" w:footer="0" w:header="0"/>
        </w:sectPr>
      </w:pPr>
    </w:p>
    <w:bookmarkStart w:id="51" w:name="page52"/>
    <w:bookmarkEnd w:id="51"/>
    <w:p>
      <w:pPr>
        <w:jc w:val="both"/>
        <w:ind w:left="644" w:hanging="644"/>
        <w:spacing w:after="0" w:line="264" w:lineRule="auto"/>
        <w:tabs>
          <w:tab w:leader="none" w:pos="6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Agreement may be executed in separate counterparts (including by electronically delivered .pdf files or copies of manually signed signature pages), each of which will be deemed to be an original and all of which taken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page is left blank intentionally.</w:t>
      </w:r>
      <w:r>
        <w:rPr>
          <w:rFonts w:ascii="Arial" w:cs="Arial" w:eastAsia="Arial" w:hAnsi="Arial"/>
          <w:sz w:val="18"/>
          <w:szCs w:val="18"/>
          <w:color w:val="auto"/>
        </w:rPr>
        <w:t>]</w:t>
      </w:r>
    </w:p>
    <w:p>
      <w:pPr>
        <w:sectPr>
          <w:pgSz w:w="11900" w:h="16838" w:orient="portrait"/>
          <w:cols w:equalWidth="0" w:num="1">
            <w:col w:w="10764"/>
          </w:cols>
          <w:pgMar w:left="896" w:top="584" w:right="239" w:bottom="1440" w:gutter="0" w:footer="0" w:header="0"/>
        </w:sectPr>
      </w:pPr>
    </w:p>
    <w:bookmarkStart w:id="52" w:name="page53"/>
    <w:bookmarkEnd w:id="52"/>
    <w:p>
      <w:pPr>
        <w:jc w:val="both"/>
        <w:spacing w:after="0" w:line="286" w:lineRule="auto"/>
        <w:rPr>
          <w:sz w:val="20"/>
          <w:szCs w:val="20"/>
          <w:color w:val="auto"/>
        </w:rPr>
      </w:pPr>
      <w:r>
        <w:rPr>
          <w:rFonts w:ascii="Arial" w:cs="Arial" w:eastAsia="Arial" w:hAnsi="Arial"/>
          <w:sz w:val="16"/>
          <w:szCs w:val="16"/>
          <w:color w:val="auto"/>
        </w:rPr>
        <w:t>If the terms of this Agreement are acceptable to you, please sign, date and return it to me within twenty-one (21) days following the date of this Agreement, but in no event prior to the Separation Date. You may revoke this Agreement at any time during the seven (7)-day period immediately following the date of your signing by notifying me in writing of your revocation within that period, and this Agreement will not become effective or enforceable until that seven</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(7)-day revocation period has expired. If you do not revoke this Agreement, then, on the eighth (8</w:t>
      </w:r>
      <w:r>
        <w:rPr>
          <w:rFonts w:ascii="Arial" w:cs="Arial" w:eastAsia="Arial" w:hAnsi="Arial"/>
          <w:sz w:val="25"/>
          <w:szCs w:val="25"/>
          <w:color w:val="auto"/>
          <w:vertAlign w:val="superscript"/>
        </w:rPr>
        <w:t>th</w:t>
      </w:r>
      <w:r>
        <w:rPr>
          <w:rFonts w:ascii="Arial" w:cs="Arial" w:eastAsia="Arial" w:hAnsi="Arial"/>
          <w:sz w:val="18"/>
          <w:szCs w:val="18"/>
          <w:color w:val="auto"/>
        </w:rPr>
        <w:t>) day following the date that you signed it, this Agreement will take effect as a legally binding agreement between you and the Company on the basis set forth above.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Lantheus medical imaging,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31750</wp:posOffset>
            </wp:positionV>
            <wp:extent cx="3053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2740"/>
        <w:spacing w:after="0"/>
        <w:tabs>
          <w:tab w:leader="none" w:pos="39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Mary Anne Heino</w:t>
      </w:r>
    </w:p>
    <w:p>
      <w:pPr>
        <w:spacing w:after="0" w:line="63" w:lineRule="exact"/>
        <w:rPr>
          <w:sz w:val="20"/>
          <w:szCs w:val="20"/>
          <w:color w:val="auto"/>
        </w:rPr>
      </w:pPr>
    </w:p>
    <w:p>
      <w:pPr>
        <w:ind w:left="2740"/>
        <w:spacing w:after="0"/>
        <w:tabs>
          <w:tab w:leader="none" w:pos="3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JOHN W.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31750</wp:posOffset>
            </wp:positionV>
            <wp:extent cx="305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W. Crowley</w:t>
      </w:r>
    </w:p>
    <w:p>
      <w:pPr>
        <w:spacing w:after="0" w:line="63" w:lineRule="exact"/>
        <w:rPr>
          <w:sz w:val="20"/>
          <w:szCs w:val="20"/>
          <w:color w:val="auto"/>
        </w:rPr>
      </w:pPr>
    </w:p>
    <w:p>
      <w:pPr>
        <w:ind w:left="40"/>
        <w:spacing w:after="0"/>
        <w:tabs>
          <w:tab w:leader="none" w:pos="12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9/2018</w:t>
      </w:r>
    </w:p>
    <w:p>
      <w:pPr>
        <w:sectPr>
          <w:pgSz w:w="11900" w:h="16838" w:orient="portrait"/>
          <w:cols w:equalWidth="0" w:num="1">
            <w:col w:w="11420"/>
          </w:cols>
          <w:pgMar w:left="240" w:top="584" w:right="239" w:bottom="1440" w:gutter="0" w:footer="0" w:header="0"/>
        </w:sectPr>
      </w:pPr>
    </w:p>
    <w:bookmarkStart w:id="53" w:name="page54"/>
    <w:bookmarkEnd w:id="53"/>
    <w:p>
      <w:pPr>
        <w:jc w:val="center"/>
        <w:ind w:right="-99"/>
        <w:spacing w:after="0"/>
        <w:rPr>
          <w:sz w:val="20"/>
          <w:szCs w:val="20"/>
          <w:color w:val="auto"/>
        </w:rPr>
      </w:pPr>
      <w:r>
        <w:rPr>
          <w:rFonts w:ascii="Arial" w:cs="Arial" w:eastAsia="Arial" w:hAnsi="Arial"/>
          <w:sz w:val="18"/>
          <w:szCs w:val="18"/>
          <w:u w:val="single" w:color="auto"/>
          <w:color w:val="auto"/>
        </w:rPr>
        <w:t>Schedule A</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Subject to the terms and conditions of this Agreement, the following restricted stock awards shall remain outstanding after the Separation Date as to that number of shares set forth below and shall become freely transferable by you in accordance with the schedule below:</w:t>
      </w:r>
    </w:p>
    <w:p>
      <w:pPr>
        <w:spacing w:after="0" w:line="320" w:lineRule="exact"/>
        <w:rPr>
          <w:sz w:val="20"/>
          <w:szCs w:val="20"/>
          <w:color w:val="auto"/>
        </w:rPr>
      </w:pPr>
    </w:p>
    <w:tbl>
      <w:tblPr>
        <w:tblLayout w:type="fixed"/>
        <w:tblInd w:w="550" w:type="dxa"/>
        <w:tblCellMar>
          <w:top w:w="0" w:type="dxa"/>
          <w:left w:w="0" w:type="dxa"/>
          <w:bottom w:w="0" w:type="dxa"/>
          <w:right w:w="0" w:type="dxa"/>
        </w:tblCellMar>
      </w:tblPr>
      <w:tr>
        <w:trPr>
          <w:trHeight w:val="238"/>
        </w:trPr>
        <w:tc>
          <w:tcPr>
            <w:tcW w:w="2100" w:type="dxa"/>
            <w:vAlign w:val="bottom"/>
            <w:tcBorders>
              <w:left w:val="single" w:sz="8" w:color="4F81BD"/>
              <w:right w:val="single" w:sz="8" w:color="4F81BD"/>
            </w:tcBorders>
            <w:shd w:val="clear" w:color="auto" w:fill="4F81BD"/>
          </w:tcPr>
          <w:p>
            <w:pPr>
              <w:spacing w:after="0"/>
              <w:rPr>
                <w:sz w:val="20"/>
                <w:szCs w:val="20"/>
                <w:color w:val="auto"/>
              </w:rPr>
            </w:pPr>
          </w:p>
        </w:tc>
        <w:tc>
          <w:tcPr>
            <w:tcW w:w="2080" w:type="dxa"/>
            <w:vAlign w:val="bottom"/>
            <w:tcBorders>
              <w:right w:val="single" w:sz="8" w:color="4F81BD"/>
            </w:tcBorders>
            <w:shd w:val="clear" w:color="auto" w:fill="4F81BD"/>
          </w:tcPr>
          <w:p>
            <w:pPr>
              <w:spacing w:after="0"/>
              <w:rPr>
                <w:sz w:val="20"/>
                <w:szCs w:val="20"/>
                <w:color w:val="auto"/>
              </w:rPr>
            </w:pPr>
          </w:p>
        </w:tc>
        <w:tc>
          <w:tcPr>
            <w:tcW w:w="2060" w:type="dxa"/>
            <w:vAlign w:val="bottom"/>
            <w:tcBorders>
              <w:right w:val="single" w:sz="8" w:color="4F81BD"/>
            </w:tcBorders>
            <w:shd w:val="clear" w:color="auto" w:fill="4F81BD"/>
          </w:tcPr>
          <w:p>
            <w:pPr>
              <w:spacing w:after="0"/>
              <w:rPr>
                <w:sz w:val="20"/>
                <w:szCs w:val="20"/>
                <w:color w:val="auto"/>
              </w:rPr>
            </w:pPr>
          </w:p>
        </w:tc>
        <w:tc>
          <w:tcPr>
            <w:tcW w:w="2060" w:type="dxa"/>
            <w:vAlign w:val="bottom"/>
            <w:tcBorders>
              <w:right w:val="single" w:sz="8" w:color="4F81BD"/>
            </w:tcBorders>
            <w:shd w:val="clear" w:color="auto" w:fill="4F81BD"/>
          </w:tcPr>
          <w:p>
            <w:pPr>
              <w:jc w:val="center"/>
              <w:spacing w:after="0"/>
              <w:rPr>
                <w:sz w:val="20"/>
                <w:szCs w:val="20"/>
                <w:color w:val="auto"/>
              </w:rPr>
            </w:pPr>
            <w:r>
              <w:rPr>
                <w:rFonts w:ascii="Arial" w:cs="Arial" w:eastAsia="Arial" w:hAnsi="Arial"/>
                <w:sz w:val="18"/>
                <w:szCs w:val="18"/>
                <w:b w:val="1"/>
                <w:bCs w:val="1"/>
                <w:color w:val="FFFFFF"/>
                <w:w w:val="91"/>
              </w:rPr>
              <w:t>Date on Which</w:t>
            </w:r>
          </w:p>
        </w:tc>
        <w:tc>
          <w:tcPr>
            <w:tcW w:w="2080" w:type="dxa"/>
            <w:vAlign w:val="bottom"/>
            <w:tcBorders>
              <w:right w:val="single" w:sz="8" w:color="4F81BD"/>
            </w:tcBorders>
            <w:shd w:val="clear" w:color="auto" w:fill="4F81BD"/>
          </w:tcPr>
          <w:p>
            <w:pPr>
              <w:spacing w:after="0"/>
              <w:rPr>
                <w:sz w:val="20"/>
                <w:szCs w:val="20"/>
                <w:color w:val="auto"/>
              </w:rPr>
            </w:pPr>
          </w:p>
        </w:tc>
      </w:tr>
      <w:tr>
        <w:trPr>
          <w:trHeight w:val="216"/>
        </w:trPr>
        <w:tc>
          <w:tcPr>
            <w:tcW w:w="2100" w:type="dxa"/>
            <w:vAlign w:val="bottom"/>
            <w:tcBorders>
              <w:left w:val="single" w:sz="8" w:color="4F81BD"/>
              <w:right w:val="single" w:sz="8" w:color="4F81BD"/>
            </w:tcBorders>
            <w:shd w:val="clear" w:color="auto" w:fill="4F81BD"/>
          </w:tcPr>
          <w:p>
            <w:pPr>
              <w:spacing w:after="0"/>
              <w:rPr>
                <w:sz w:val="18"/>
                <w:szCs w:val="18"/>
                <w:color w:val="auto"/>
              </w:rPr>
            </w:pPr>
          </w:p>
        </w:tc>
        <w:tc>
          <w:tcPr>
            <w:tcW w:w="2080" w:type="dxa"/>
            <w:vAlign w:val="bottom"/>
            <w:tcBorders>
              <w:right w:val="single" w:sz="8" w:color="4F81BD"/>
            </w:tcBorders>
            <w:shd w:val="clear" w:color="auto" w:fill="4F81BD"/>
          </w:tcPr>
          <w:p>
            <w:pPr>
              <w:spacing w:after="0"/>
              <w:rPr>
                <w:sz w:val="18"/>
                <w:szCs w:val="18"/>
                <w:color w:val="auto"/>
              </w:rPr>
            </w:pPr>
          </w:p>
        </w:tc>
        <w:tc>
          <w:tcPr>
            <w:tcW w:w="2060" w:type="dxa"/>
            <w:vAlign w:val="bottom"/>
            <w:tcBorders>
              <w:right w:val="single" w:sz="8" w:color="4F81BD"/>
            </w:tcBorders>
            <w:shd w:val="clear" w:color="auto" w:fill="4F81BD"/>
          </w:tcPr>
          <w:p>
            <w:pPr>
              <w:spacing w:after="0"/>
              <w:rPr>
                <w:sz w:val="18"/>
                <w:szCs w:val="18"/>
                <w:color w:val="auto"/>
              </w:rPr>
            </w:pPr>
          </w:p>
        </w:tc>
        <w:tc>
          <w:tcPr>
            <w:tcW w:w="2060" w:type="dxa"/>
            <w:vAlign w:val="bottom"/>
            <w:tcBorders>
              <w:right w:val="single" w:sz="8" w:color="4F81BD"/>
            </w:tcBorders>
            <w:shd w:val="clear" w:color="auto" w:fill="4F81BD"/>
          </w:tcPr>
          <w:p>
            <w:pPr>
              <w:jc w:val="center"/>
              <w:spacing w:after="0"/>
              <w:rPr>
                <w:sz w:val="20"/>
                <w:szCs w:val="20"/>
                <w:color w:val="auto"/>
              </w:rPr>
            </w:pPr>
            <w:r>
              <w:rPr>
                <w:rFonts w:ascii="Arial" w:cs="Arial" w:eastAsia="Arial" w:hAnsi="Arial"/>
                <w:sz w:val="18"/>
                <w:szCs w:val="18"/>
                <w:b w:val="1"/>
                <w:bCs w:val="1"/>
                <w:color w:val="FFFFFF"/>
                <w:w w:val="88"/>
              </w:rPr>
              <w:t>Restrictions on</w:t>
            </w:r>
          </w:p>
        </w:tc>
        <w:tc>
          <w:tcPr>
            <w:tcW w:w="2080" w:type="dxa"/>
            <w:vAlign w:val="bottom"/>
            <w:tcBorders>
              <w:right w:val="single" w:sz="8" w:color="4F81BD"/>
            </w:tcBorders>
            <w:shd w:val="clear" w:color="auto" w:fill="4F81BD"/>
          </w:tcPr>
          <w:p>
            <w:pPr>
              <w:spacing w:after="0"/>
              <w:rPr>
                <w:sz w:val="18"/>
                <w:szCs w:val="18"/>
                <w:color w:val="auto"/>
              </w:rPr>
            </w:pPr>
          </w:p>
        </w:tc>
      </w:tr>
      <w:tr>
        <w:trPr>
          <w:trHeight w:val="255"/>
        </w:trPr>
        <w:tc>
          <w:tcPr>
            <w:tcW w:w="2100" w:type="dxa"/>
            <w:vAlign w:val="bottom"/>
            <w:tcBorders>
              <w:left w:val="single" w:sz="8" w:color="4F81BD"/>
              <w:bottom w:val="single" w:sz="8" w:color="4F81BD"/>
              <w:right w:val="single" w:sz="8" w:color="4F81BD"/>
            </w:tcBorders>
            <w:shd w:val="clear" w:color="auto" w:fill="4F81BD"/>
          </w:tcPr>
          <w:p>
            <w:pPr>
              <w:jc w:val="center"/>
              <w:spacing w:after="0"/>
              <w:rPr>
                <w:sz w:val="20"/>
                <w:szCs w:val="20"/>
                <w:color w:val="auto"/>
              </w:rPr>
            </w:pPr>
            <w:r>
              <w:rPr>
                <w:rFonts w:ascii="Arial" w:cs="Arial" w:eastAsia="Arial" w:hAnsi="Arial"/>
                <w:sz w:val="18"/>
                <w:szCs w:val="18"/>
                <w:b w:val="1"/>
                <w:bCs w:val="1"/>
                <w:color w:val="FFFFFF"/>
                <w:w w:val="93"/>
              </w:rPr>
              <w:t>Equity Award</w:t>
            </w:r>
          </w:p>
        </w:tc>
        <w:tc>
          <w:tcPr>
            <w:tcW w:w="2080" w:type="dxa"/>
            <w:vAlign w:val="bottom"/>
            <w:tcBorders>
              <w:bottom w:val="single" w:sz="8" w:color="4F81BD"/>
              <w:right w:val="single" w:sz="8" w:color="4F81BD"/>
            </w:tcBorders>
            <w:shd w:val="clear" w:color="auto" w:fill="4F81BD"/>
          </w:tcPr>
          <w:p>
            <w:pPr>
              <w:jc w:val="center"/>
              <w:spacing w:after="0"/>
              <w:rPr>
                <w:sz w:val="20"/>
                <w:szCs w:val="20"/>
                <w:color w:val="auto"/>
              </w:rPr>
            </w:pPr>
            <w:r>
              <w:rPr>
                <w:rFonts w:ascii="Arial" w:cs="Arial" w:eastAsia="Arial" w:hAnsi="Arial"/>
                <w:sz w:val="18"/>
                <w:szCs w:val="18"/>
                <w:b w:val="1"/>
                <w:bCs w:val="1"/>
                <w:color w:val="FFFFFF"/>
                <w:w w:val="95"/>
              </w:rPr>
              <w:t>Grant Date</w:t>
            </w:r>
          </w:p>
        </w:tc>
        <w:tc>
          <w:tcPr>
            <w:tcW w:w="2060" w:type="dxa"/>
            <w:vAlign w:val="bottom"/>
            <w:tcBorders>
              <w:bottom w:val="single" w:sz="8" w:color="4F81BD"/>
              <w:right w:val="single" w:sz="8" w:color="4F81BD"/>
            </w:tcBorders>
            <w:shd w:val="clear" w:color="auto" w:fill="4F81BD"/>
          </w:tcPr>
          <w:p>
            <w:pPr>
              <w:ind w:left="660"/>
              <w:spacing w:after="0"/>
              <w:rPr>
                <w:sz w:val="20"/>
                <w:szCs w:val="20"/>
                <w:color w:val="auto"/>
              </w:rPr>
            </w:pPr>
            <w:r>
              <w:rPr>
                <w:rFonts w:ascii="Arial" w:cs="Arial" w:eastAsia="Arial" w:hAnsi="Arial"/>
                <w:sz w:val="18"/>
                <w:szCs w:val="18"/>
                <w:b w:val="1"/>
                <w:bCs w:val="1"/>
                <w:color w:val="FFFFFF"/>
              </w:rPr>
              <w:t>Grant ID</w:t>
            </w:r>
          </w:p>
        </w:tc>
        <w:tc>
          <w:tcPr>
            <w:tcW w:w="2060" w:type="dxa"/>
            <w:vAlign w:val="bottom"/>
            <w:tcBorders>
              <w:bottom w:val="single" w:sz="8" w:color="4F81BD"/>
              <w:right w:val="single" w:sz="8" w:color="4F81BD"/>
            </w:tcBorders>
            <w:shd w:val="clear" w:color="auto" w:fill="4F81BD"/>
          </w:tcPr>
          <w:p>
            <w:pPr>
              <w:jc w:val="center"/>
              <w:spacing w:after="0"/>
              <w:rPr>
                <w:sz w:val="20"/>
                <w:szCs w:val="20"/>
                <w:color w:val="auto"/>
              </w:rPr>
            </w:pPr>
            <w:r>
              <w:rPr>
                <w:rFonts w:ascii="Arial" w:cs="Arial" w:eastAsia="Arial" w:hAnsi="Arial"/>
                <w:sz w:val="18"/>
                <w:szCs w:val="18"/>
                <w:b w:val="1"/>
                <w:bCs w:val="1"/>
                <w:color w:val="FFFFFF"/>
                <w:w w:val="92"/>
              </w:rPr>
              <w:t>Transferability Lapse*</w:t>
            </w:r>
          </w:p>
        </w:tc>
        <w:tc>
          <w:tcPr>
            <w:tcW w:w="2080" w:type="dxa"/>
            <w:vAlign w:val="bottom"/>
            <w:tcBorders>
              <w:bottom w:val="single" w:sz="8" w:color="4F81BD"/>
              <w:right w:val="single" w:sz="8" w:color="4F81BD"/>
            </w:tcBorders>
            <w:shd w:val="clear" w:color="auto" w:fill="4F81BD"/>
          </w:tcPr>
          <w:p>
            <w:pPr>
              <w:ind w:left="320"/>
              <w:spacing w:after="0"/>
              <w:rPr>
                <w:sz w:val="20"/>
                <w:szCs w:val="20"/>
                <w:color w:val="auto"/>
              </w:rPr>
            </w:pPr>
            <w:r>
              <w:rPr>
                <w:rFonts w:ascii="Arial" w:cs="Arial" w:eastAsia="Arial" w:hAnsi="Arial"/>
                <w:sz w:val="18"/>
                <w:szCs w:val="18"/>
                <w:b w:val="1"/>
                <w:bCs w:val="1"/>
                <w:color w:val="FFFFFF"/>
              </w:rPr>
              <w:t>Number of Shares</w:t>
            </w:r>
          </w:p>
        </w:tc>
      </w:tr>
      <w:tr>
        <w:trPr>
          <w:trHeight w:val="275"/>
        </w:trPr>
        <w:tc>
          <w:tcPr>
            <w:tcW w:w="2100" w:type="dxa"/>
            <w:vAlign w:val="bottom"/>
            <w:tcBorders>
              <w:left w:val="single" w:sz="8" w:color="95B3D7"/>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8"/>
                <w:szCs w:val="18"/>
                <w:b w:val="1"/>
                <w:bCs w:val="1"/>
                <w:color w:val="auto"/>
                <w:w w:val="87"/>
              </w:rPr>
              <w:t>Unvested restricted stock</w:t>
            </w:r>
          </w:p>
        </w:tc>
        <w:tc>
          <w:tcPr>
            <w:tcW w:w="208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90"/>
              </w:rPr>
              <w:t>09/01/2015</w:t>
            </w:r>
          </w:p>
        </w:tc>
        <w:tc>
          <w:tcPr>
            <w:tcW w:w="2060" w:type="dxa"/>
            <w:vAlign w:val="bottom"/>
            <w:tcBorders>
              <w:bottom w:val="single" w:sz="8" w:color="DBE5F1"/>
              <w:right w:val="single" w:sz="8" w:color="95B3D7"/>
            </w:tcBorders>
            <w:shd w:val="clear" w:color="auto" w:fill="DBE5F1"/>
          </w:tcPr>
          <w:p>
            <w:pPr>
              <w:ind w:left="640"/>
              <w:spacing w:after="0"/>
              <w:rPr>
                <w:sz w:val="20"/>
                <w:szCs w:val="20"/>
                <w:color w:val="auto"/>
              </w:rPr>
            </w:pPr>
            <w:r>
              <w:rPr>
                <w:rFonts w:ascii="Arial" w:cs="Arial" w:eastAsia="Arial" w:hAnsi="Arial"/>
                <w:sz w:val="18"/>
                <w:szCs w:val="18"/>
                <w:color w:val="auto"/>
              </w:rPr>
              <w:t>[LRSA15]</w:t>
            </w:r>
          </w:p>
        </w:tc>
        <w:tc>
          <w:tcPr>
            <w:tcW w:w="206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90"/>
              </w:rPr>
              <w:t>09/01/2018</w:t>
            </w:r>
          </w:p>
        </w:tc>
        <w:tc>
          <w:tcPr>
            <w:tcW w:w="208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90"/>
              </w:rPr>
              <w:t>10,000</w:t>
            </w:r>
          </w:p>
        </w:tc>
      </w:tr>
      <w:tr>
        <w:trPr>
          <w:trHeight w:val="237"/>
        </w:trPr>
        <w:tc>
          <w:tcPr>
            <w:tcW w:w="2100" w:type="dxa"/>
            <w:vAlign w:val="bottom"/>
            <w:tcBorders>
              <w:top w:val="single" w:sz="8" w:color="95B3D7"/>
              <w:left w:val="single" w:sz="8" w:color="95B3D7"/>
              <w:right w:val="single" w:sz="8" w:color="95B3D7"/>
            </w:tcBorders>
          </w:tcPr>
          <w:p>
            <w:pPr>
              <w:jc w:val="center"/>
              <w:spacing w:after="0"/>
              <w:rPr>
                <w:sz w:val="20"/>
                <w:szCs w:val="20"/>
                <w:color w:val="auto"/>
              </w:rPr>
            </w:pPr>
            <w:r>
              <w:rPr>
                <w:rFonts w:ascii="Arial" w:cs="Arial" w:eastAsia="Arial" w:hAnsi="Arial"/>
                <w:sz w:val="18"/>
                <w:szCs w:val="18"/>
                <w:b w:val="1"/>
                <w:bCs w:val="1"/>
                <w:color w:val="auto"/>
                <w:w w:val="87"/>
              </w:rPr>
              <w:t>Unvested restricted stock</w:t>
            </w:r>
          </w:p>
        </w:tc>
        <w:tc>
          <w:tcPr>
            <w:tcW w:w="2080" w:type="dxa"/>
            <w:vAlign w:val="bottom"/>
            <w:tcBorders>
              <w:top w:val="single" w:sz="8" w:color="95B3D7"/>
              <w:right w:val="single" w:sz="8" w:color="95B3D7"/>
            </w:tcBorders>
          </w:tcPr>
          <w:p>
            <w:pPr>
              <w:jc w:val="center"/>
              <w:spacing w:after="0"/>
              <w:rPr>
                <w:sz w:val="20"/>
                <w:szCs w:val="20"/>
                <w:color w:val="auto"/>
              </w:rPr>
            </w:pPr>
            <w:r>
              <w:rPr>
                <w:rFonts w:ascii="Arial" w:cs="Arial" w:eastAsia="Arial" w:hAnsi="Arial"/>
                <w:sz w:val="18"/>
                <w:szCs w:val="18"/>
                <w:color w:val="auto"/>
                <w:w w:val="90"/>
              </w:rPr>
              <w:t>09/01/2015</w:t>
            </w:r>
          </w:p>
        </w:tc>
        <w:tc>
          <w:tcPr>
            <w:tcW w:w="2060" w:type="dxa"/>
            <w:vAlign w:val="bottom"/>
            <w:tcBorders>
              <w:top w:val="single" w:sz="8" w:color="95B3D7"/>
              <w:right w:val="single" w:sz="8" w:color="95B3D7"/>
            </w:tcBorders>
          </w:tcPr>
          <w:p>
            <w:pPr>
              <w:ind w:left="640"/>
              <w:spacing w:after="0"/>
              <w:rPr>
                <w:sz w:val="20"/>
                <w:szCs w:val="20"/>
                <w:color w:val="auto"/>
              </w:rPr>
            </w:pPr>
            <w:r>
              <w:rPr>
                <w:rFonts w:ascii="Arial" w:cs="Arial" w:eastAsia="Arial" w:hAnsi="Arial"/>
                <w:sz w:val="18"/>
                <w:szCs w:val="18"/>
                <w:color w:val="auto"/>
              </w:rPr>
              <w:t>[LRSA15]</w:t>
            </w:r>
          </w:p>
        </w:tc>
        <w:tc>
          <w:tcPr>
            <w:tcW w:w="2060" w:type="dxa"/>
            <w:vAlign w:val="bottom"/>
            <w:tcBorders>
              <w:top w:val="single" w:sz="8" w:color="95B3D7"/>
              <w:right w:val="single" w:sz="8" w:color="95B3D7"/>
            </w:tcBorders>
          </w:tcPr>
          <w:p>
            <w:pPr>
              <w:jc w:val="center"/>
              <w:spacing w:after="0"/>
              <w:rPr>
                <w:sz w:val="20"/>
                <w:szCs w:val="20"/>
                <w:color w:val="auto"/>
              </w:rPr>
            </w:pPr>
            <w:r>
              <w:rPr>
                <w:rFonts w:ascii="Arial" w:cs="Arial" w:eastAsia="Arial" w:hAnsi="Arial"/>
                <w:sz w:val="18"/>
                <w:szCs w:val="18"/>
                <w:color w:val="auto"/>
                <w:w w:val="90"/>
              </w:rPr>
              <w:t>09/01/2019</w:t>
            </w:r>
          </w:p>
        </w:tc>
        <w:tc>
          <w:tcPr>
            <w:tcW w:w="2080" w:type="dxa"/>
            <w:vAlign w:val="bottom"/>
            <w:tcBorders>
              <w:top w:val="single" w:sz="8" w:color="95B3D7"/>
              <w:right w:val="single" w:sz="8" w:color="95B3D7"/>
            </w:tcBorders>
          </w:tcPr>
          <w:p>
            <w:pPr>
              <w:jc w:val="center"/>
              <w:spacing w:after="0"/>
              <w:rPr>
                <w:sz w:val="20"/>
                <w:szCs w:val="20"/>
                <w:color w:val="auto"/>
              </w:rPr>
            </w:pPr>
            <w:r>
              <w:rPr>
                <w:rFonts w:ascii="Arial" w:cs="Arial" w:eastAsia="Arial" w:hAnsi="Arial"/>
                <w:sz w:val="18"/>
                <w:szCs w:val="18"/>
                <w:color w:val="auto"/>
                <w:w w:val="90"/>
              </w:rPr>
              <w:t>10,000</w:t>
            </w:r>
          </w:p>
        </w:tc>
      </w:tr>
      <w:tr>
        <w:trPr>
          <w:trHeight w:val="27"/>
        </w:trPr>
        <w:tc>
          <w:tcPr>
            <w:tcW w:w="2100" w:type="dxa"/>
            <w:vAlign w:val="bottom"/>
            <w:tcBorders>
              <w:left w:val="single" w:sz="8" w:color="95B3D7"/>
              <w:bottom w:val="single" w:sz="8" w:color="95B3D7"/>
              <w:right w:val="single" w:sz="8" w:color="95B3D7"/>
            </w:tcBorders>
          </w:tcPr>
          <w:p>
            <w:pPr>
              <w:spacing w:after="0"/>
              <w:rPr>
                <w:sz w:val="2"/>
                <w:szCs w:val="2"/>
                <w:color w:val="auto"/>
              </w:rPr>
            </w:pPr>
          </w:p>
        </w:tc>
        <w:tc>
          <w:tcPr>
            <w:tcW w:w="2080" w:type="dxa"/>
            <w:vAlign w:val="bottom"/>
            <w:tcBorders>
              <w:bottom w:val="single" w:sz="8" w:color="95B3D7"/>
              <w:right w:val="single" w:sz="8" w:color="95B3D7"/>
            </w:tcBorders>
          </w:tcPr>
          <w:p>
            <w:pPr>
              <w:spacing w:after="0"/>
              <w:rPr>
                <w:sz w:val="2"/>
                <w:szCs w:val="2"/>
                <w:color w:val="auto"/>
              </w:rPr>
            </w:pPr>
          </w:p>
        </w:tc>
        <w:tc>
          <w:tcPr>
            <w:tcW w:w="2060" w:type="dxa"/>
            <w:vAlign w:val="bottom"/>
            <w:tcBorders>
              <w:bottom w:val="single" w:sz="8" w:color="95B3D7"/>
              <w:right w:val="single" w:sz="8" w:color="95B3D7"/>
            </w:tcBorders>
          </w:tcPr>
          <w:p>
            <w:pPr>
              <w:spacing w:after="0"/>
              <w:rPr>
                <w:sz w:val="2"/>
                <w:szCs w:val="2"/>
                <w:color w:val="auto"/>
              </w:rPr>
            </w:pPr>
          </w:p>
        </w:tc>
        <w:tc>
          <w:tcPr>
            <w:tcW w:w="2060" w:type="dxa"/>
            <w:vAlign w:val="bottom"/>
            <w:tcBorders>
              <w:bottom w:val="single" w:sz="8" w:color="95B3D7"/>
              <w:right w:val="single" w:sz="8" w:color="95B3D7"/>
            </w:tcBorders>
          </w:tcPr>
          <w:p>
            <w:pPr>
              <w:spacing w:after="0"/>
              <w:rPr>
                <w:sz w:val="2"/>
                <w:szCs w:val="2"/>
                <w:color w:val="auto"/>
              </w:rPr>
            </w:pPr>
          </w:p>
        </w:tc>
        <w:tc>
          <w:tcPr>
            <w:tcW w:w="2080" w:type="dxa"/>
            <w:vAlign w:val="bottom"/>
            <w:tcBorders>
              <w:bottom w:val="single" w:sz="8" w:color="95B3D7"/>
              <w:right w:val="single" w:sz="8" w:color="95B3D7"/>
            </w:tcBorders>
          </w:tcPr>
          <w:p>
            <w:pPr>
              <w:spacing w:after="0"/>
              <w:rPr>
                <w:sz w:val="2"/>
                <w:szCs w:val="2"/>
                <w:color w:val="auto"/>
              </w:rPr>
            </w:pPr>
          </w:p>
        </w:tc>
      </w:tr>
      <w:tr>
        <w:trPr>
          <w:trHeight w:val="269"/>
        </w:trPr>
        <w:tc>
          <w:tcPr>
            <w:tcW w:w="2100" w:type="dxa"/>
            <w:vAlign w:val="bottom"/>
            <w:tcBorders>
              <w:left w:val="single" w:sz="8" w:color="95B3D7"/>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8"/>
                <w:szCs w:val="18"/>
                <w:b w:val="1"/>
                <w:bCs w:val="1"/>
                <w:color w:val="auto"/>
                <w:w w:val="87"/>
              </w:rPr>
              <w:t>Unvested restricted stock</w:t>
            </w:r>
          </w:p>
        </w:tc>
        <w:tc>
          <w:tcPr>
            <w:tcW w:w="208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90"/>
              </w:rPr>
              <w:t>04/06/2015</w:t>
            </w:r>
          </w:p>
        </w:tc>
        <w:tc>
          <w:tcPr>
            <w:tcW w:w="2060" w:type="dxa"/>
            <w:vAlign w:val="bottom"/>
            <w:tcBorders>
              <w:bottom w:val="single" w:sz="8" w:color="DBE5F1"/>
              <w:right w:val="single" w:sz="8" w:color="95B3D7"/>
            </w:tcBorders>
            <w:shd w:val="clear" w:color="auto" w:fill="DBE5F1"/>
          </w:tcPr>
          <w:p>
            <w:pPr>
              <w:ind w:left="640"/>
              <w:spacing w:after="0"/>
              <w:rPr>
                <w:sz w:val="20"/>
                <w:szCs w:val="20"/>
                <w:color w:val="auto"/>
              </w:rPr>
            </w:pPr>
            <w:r>
              <w:rPr>
                <w:rFonts w:ascii="Arial" w:cs="Arial" w:eastAsia="Arial" w:hAnsi="Arial"/>
                <w:sz w:val="18"/>
                <w:szCs w:val="18"/>
                <w:color w:val="auto"/>
              </w:rPr>
              <w:t>[LRSA15]</w:t>
            </w:r>
          </w:p>
        </w:tc>
        <w:tc>
          <w:tcPr>
            <w:tcW w:w="206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90"/>
              </w:rPr>
              <w:t>01/30/2019</w:t>
            </w:r>
          </w:p>
        </w:tc>
        <w:tc>
          <w:tcPr>
            <w:tcW w:w="208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88"/>
              </w:rPr>
              <w:t>5,338</w:t>
            </w:r>
          </w:p>
        </w:tc>
      </w:tr>
      <w:tr>
        <w:trPr>
          <w:trHeight w:val="237"/>
        </w:trPr>
        <w:tc>
          <w:tcPr>
            <w:tcW w:w="2100" w:type="dxa"/>
            <w:vAlign w:val="bottom"/>
            <w:tcBorders>
              <w:top w:val="single" w:sz="8" w:color="95B3D7"/>
              <w:left w:val="single" w:sz="8" w:color="95B3D7"/>
              <w:right w:val="single" w:sz="8" w:color="95B3D7"/>
            </w:tcBorders>
          </w:tcPr>
          <w:p>
            <w:pPr>
              <w:jc w:val="center"/>
              <w:spacing w:after="0"/>
              <w:rPr>
                <w:sz w:val="20"/>
                <w:szCs w:val="20"/>
                <w:color w:val="auto"/>
              </w:rPr>
            </w:pPr>
            <w:r>
              <w:rPr>
                <w:rFonts w:ascii="Arial" w:cs="Arial" w:eastAsia="Arial" w:hAnsi="Arial"/>
                <w:sz w:val="18"/>
                <w:szCs w:val="18"/>
                <w:b w:val="1"/>
                <w:bCs w:val="1"/>
                <w:color w:val="auto"/>
                <w:w w:val="87"/>
              </w:rPr>
              <w:t>Unvested restricted stock</w:t>
            </w:r>
          </w:p>
        </w:tc>
        <w:tc>
          <w:tcPr>
            <w:tcW w:w="2080" w:type="dxa"/>
            <w:vAlign w:val="bottom"/>
            <w:tcBorders>
              <w:top w:val="single" w:sz="8" w:color="95B3D7"/>
              <w:right w:val="single" w:sz="8" w:color="95B3D7"/>
            </w:tcBorders>
          </w:tcPr>
          <w:p>
            <w:pPr>
              <w:jc w:val="center"/>
              <w:spacing w:after="0"/>
              <w:rPr>
                <w:sz w:val="20"/>
                <w:szCs w:val="20"/>
                <w:color w:val="auto"/>
              </w:rPr>
            </w:pPr>
            <w:r>
              <w:rPr>
                <w:rFonts w:ascii="Arial" w:cs="Arial" w:eastAsia="Arial" w:hAnsi="Arial"/>
                <w:sz w:val="18"/>
                <w:szCs w:val="18"/>
                <w:color w:val="auto"/>
                <w:w w:val="90"/>
              </w:rPr>
              <w:t>04/26/2016</w:t>
            </w:r>
          </w:p>
        </w:tc>
        <w:tc>
          <w:tcPr>
            <w:tcW w:w="2060" w:type="dxa"/>
            <w:vAlign w:val="bottom"/>
            <w:tcBorders>
              <w:top w:val="single" w:sz="8" w:color="95B3D7"/>
              <w:right w:val="single" w:sz="8" w:color="95B3D7"/>
            </w:tcBorders>
          </w:tcPr>
          <w:p>
            <w:pPr>
              <w:ind w:left="640"/>
              <w:spacing w:after="0"/>
              <w:rPr>
                <w:sz w:val="20"/>
                <w:szCs w:val="20"/>
                <w:color w:val="auto"/>
              </w:rPr>
            </w:pPr>
            <w:r>
              <w:rPr>
                <w:rFonts w:ascii="Arial" w:cs="Arial" w:eastAsia="Arial" w:hAnsi="Arial"/>
                <w:sz w:val="18"/>
                <w:szCs w:val="18"/>
                <w:color w:val="auto"/>
              </w:rPr>
              <w:t>[LRSA15]</w:t>
            </w:r>
          </w:p>
        </w:tc>
        <w:tc>
          <w:tcPr>
            <w:tcW w:w="2060" w:type="dxa"/>
            <w:vAlign w:val="bottom"/>
            <w:tcBorders>
              <w:top w:val="single" w:sz="8" w:color="95B3D7"/>
              <w:right w:val="single" w:sz="8" w:color="95B3D7"/>
            </w:tcBorders>
          </w:tcPr>
          <w:p>
            <w:pPr>
              <w:jc w:val="center"/>
              <w:spacing w:after="0"/>
              <w:rPr>
                <w:sz w:val="20"/>
                <w:szCs w:val="20"/>
                <w:color w:val="auto"/>
              </w:rPr>
            </w:pPr>
            <w:r>
              <w:rPr>
                <w:rFonts w:ascii="Arial" w:cs="Arial" w:eastAsia="Arial" w:hAnsi="Arial"/>
                <w:sz w:val="18"/>
                <w:szCs w:val="18"/>
                <w:color w:val="auto"/>
                <w:w w:val="90"/>
              </w:rPr>
              <w:t>04/26/2019</w:t>
            </w:r>
          </w:p>
        </w:tc>
        <w:tc>
          <w:tcPr>
            <w:tcW w:w="2080" w:type="dxa"/>
            <w:vAlign w:val="bottom"/>
            <w:tcBorders>
              <w:top w:val="single" w:sz="8" w:color="95B3D7"/>
              <w:right w:val="single" w:sz="8" w:color="95B3D7"/>
            </w:tcBorders>
          </w:tcPr>
          <w:p>
            <w:pPr>
              <w:jc w:val="center"/>
              <w:spacing w:after="0"/>
              <w:rPr>
                <w:sz w:val="20"/>
                <w:szCs w:val="20"/>
                <w:color w:val="auto"/>
              </w:rPr>
            </w:pPr>
            <w:r>
              <w:rPr>
                <w:rFonts w:ascii="Arial" w:cs="Arial" w:eastAsia="Arial" w:hAnsi="Arial"/>
                <w:sz w:val="18"/>
                <w:szCs w:val="18"/>
                <w:color w:val="auto"/>
                <w:w w:val="90"/>
              </w:rPr>
              <w:t>15,500</w:t>
            </w:r>
          </w:p>
        </w:tc>
      </w:tr>
      <w:tr>
        <w:trPr>
          <w:trHeight w:val="27"/>
        </w:trPr>
        <w:tc>
          <w:tcPr>
            <w:tcW w:w="2100" w:type="dxa"/>
            <w:vAlign w:val="bottom"/>
            <w:tcBorders>
              <w:left w:val="single" w:sz="8" w:color="95B3D7"/>
              <w:bottom w:val="single" w:sz="8" w:color="95B3D7"/>
              <w:right w:val="single" w:sz="8" w:color="95B3D7"/>
            </w:tcBorders>
          </w:tcPr>
          <w:p>
            <w:pPr>
              <w:spacing w:after="0"/>
              <w:rPr>
                <w:sz w:val="2"/>
                <w:szCs w:val="2"/>
                <w:color w:val="auto"/>
              </w:rPr>
            </w:pPr>
          </w:p>
        </w:tc>
        <w:tc>
          <w:tcPr>
            <w:tcW w:w="2080" w:type="dxa"/>
            <w:vAlign w:val="bottom"/>
            <w:tcBorders>
              <w:bottom w:val="single" w:sz="8" w:color="95B3D7"/>
              <w:right w:val="single" w:sz="8" w:color="95B3D7"/>
            </w:tcBorders>
          </w:tcPr>
          <w:p>
            <w:pPr>
              <w:spacing w:after="0"/>
              <w:rPr>
                <w:sz w:val="2"/>
                <w:szCs w:val="2"/>
                <w:color w:val="auto"/>
              </w:rPr>
            </w:pPr>
          </w:p>
        </w:tc>
        <w:tc>
          <w:tcPr>
            <w:tcW w:w="2060" w:type="dxa"/>
            <w:vAlign w:val="bottom"/>
            <w:tcBorders>
              <w:bottom w:val="single" w:sz="8" w:color="95B3D7"/>
              <w:right w:val="single" w:sz="8" w:color="95B3D7"/>
            </w:tcBorders>
          </w:tcPr>
          <w:p>
            <w:pPr>
              <w:spacing w:after="0"/>
              <w:rPr>
                <w:sz w:val="2"/>
                <w:szCs w:val="2"/>
                <w:color w:val="auto"/>
              </w:rPr>
            </w:pPr>
          </w:p>
        </w:tc>
        <w:tc>
          <w:tcPr>
            <w:tcW w:w="2060" w:type="dxa"/>
            <w:vAlign w:val="bottom"/>
            <w:tcBorders>
              <w:bottom w:val="single" w:sz="8" w:color="95B3D7"/>
              <w:right w:val="single" w:sz="8" w:color="95B3D7"/>
            </w:tcBorders>
          </w:tcPr>
          <w:p>
            <w:pPr>
              <w:spacing w:after="0"/>
              <w:rPr>
                <w:sz w:val="2"/>
                <w:szCs w:val="2"/>
                <w:color w:val="auto"/>
              </w:rPr>
            </w:pPr>
          </w:p>
        </w:tc>
        <w:tc>
          <w:tcPr>
            <w:tcW w:w="2080" w:type="dxa"/>
            <w:vAlign w:val="bottom"/>
            <w:tcBorders>
              <w:bottom w:val="single" w:sz="8" w:color="95B3D7"/>
              <w:right w:val="single" w:sz="8" w:color="95B3D7"/>
            </w:tcBorders>
          </w:tcPr>
          <w:p>
            <w:pPr>
              <w:spacing w:after="0"/>
              <w:rPr>
                <w:sz w:val="2"/>
                <w:szCs w:val="2"/>
                <w:color w:val="auto"/>
              </w:rPr>
            </w:pPr>
          </w:p>
        </w:tc>
      </w:tr>
    </w:tbl>
    <w:p>
      <w:pPr>
        <w:spacing w:after="0" w:line="273" w:lineRule="auto"/>
        <w:rPr>
          <w:sz w:val="20"/>
          <w:szCs w:val="20"/>
          <w:color w:val="auto"/>
        </w:rPr>
      </w:pPr>
      <w:r>
        <w:rPr>
          <w:rFonts w:ascii="Arial" w:cs="Arial" w:eastAsia="Arial" w:hAnsi="Arial"/>
          <w:sz w:val="17"/>
          <w:szCs w:val="17"/>
          <w:color w:val="auto"/>
        </w:rPr>
        <w:t>*Until the date listed above, with respect to the restricted stock listed opposite such date, you may not sell, transfer, pledge, hypothecate or otherwise dispose of such shares of restricted stock; provided, however, that this restriction shall not apply following a Change in Control (as defined in Parent’s 2015 Equity Incentive Plan). The Company shall retain the certificates representing shares of restricted stock (or, with respect to uncertificated shares, impose transfer restrictions thereon) until the applicable date set forth in the table above with respect to the restricted stock listed opposite such date.</w:t>
      </w:r>
    </w:p>
    <w:p>
      <w:pPr>
        <w:sectPr>
          <w:pgSz w:w="11900" w:h="16838" w:orient="portrait"/>
          <w:cols w:equalWidth="0" w:num="1">
            <w:col w:w="11320"/>
          </w:cols>
          <w:pgMar w:left="240" w:top="584"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Mary Anne Heino, certify that:</w:t>
      </w:r>
    </w:p>
    <w:p>
      <w:pPr>
        <w:spacing w:after="0" w:line="11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Lantheus Holdings,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20" w:hanging="328"/>
        <w:spacing w:after="0" w:line="342"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40" w:right="50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20" w:hanging="328"/>
        <w:spacing w:after="0" w:line="277" w:lineRule="auto"/>
        <w:tabs>
          <w:tab w:leader="none" w:pos="6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31750</wp:posOffset>
            </wp:positionV>
            <wp:extent cx="3053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3280"/>
        <w:spacing w:after="0"/>
        <w:tabs>
          <w:tab w:leader="none" w:pos="4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Mary Anne Heino</w:t>
      </w:r>
    </w:p>
    <w:p>
      <w:pPr>
        <w:spacing w:after="0" w:line="63" w:lineRule="exact"/>
        <w:rPr>
          <w:sz w:val="20"/>
          <w:szCs w:val="20"/>
          <w:color w:val="auto"/>
        </w:rPr>
      </w:pPr>
    </w:p>
    <w:p>
      <w:pPr>
        <w:ind w:left="328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right="4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J. Marshall, Jr., certify that:</w:t>
      </w:r>
    </w:p>
    <w:p>
      <w:pPr>
        <w:spacing w:after="0" w:line="11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Lantheus Holdings,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20" w:hanging="328"/>
        <w:spacing w:after="0" w:line="342" w:lineRule="auto"/>
        <w:tabs>
          <w:tab w:leader="none" w:pos="6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40" w:right="50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20" w:hanging="328"/>
        <w:spacing w:after="0" w:line="277" w:lineRule="auto"/>
        <w:tabs>
          <w:tab w:leader="none" w:pos="69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30,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5720"/>
        <w:spacing w:after="0"/>
        <w:tabs>
          <w:tab w:leader="none" w:pos="6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Robert J. Marshall, Jr.</w:t>
      </w:r>
    </w:p>
    <w:p>
      <w:pPr>
        <w:spacing w:after="0" w:line="63" w:lineRule="exact"/>
        <w:rPr>
          <w:sz w:val="20"/>
          <w:szCs w:val="20"/>
          <w:color w:val="auto"/>
        </w:rPr>
      </w:pPr>
    </w:p>
    <w:p>
      <w:pPr>
        <w:ind w:left="57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and Treasurer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Mary Anne Heino, the Chief Executive Officer, and Robert J. Marshall, Jr., the Chief Financial Officer, of Lantheus Holdings, Inc. (the “Company”), hereby certify, that, to their knowledge:</w:t>
      </w:r>
    </w:p>
    <w:p>
      <w:pPr>
        <w:spacing w:after="0" w:line="147" w:lineRule="exact"/>
        <w:rPr>
          <w:sz w:val="20"/>
          <w:szCs w:val="20"/>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September 30, 2018 (the “Report”)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5720"/>
        <w:spacing w:after="0"/>
        <w:tabs>
          <w:tab w:leader="none" w:pos="6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Mary Anne Heino</w:t>
      </w:r>
    </w:p>
    <w:p>
      <w:pPr>
        <w:spacing w:after="0" w:line="63" w:lineRule="exact"/>
        <w:rPr>
          <w:sz w:val="20"/>
          <w:szCs w:val="20"/>
          <w:color w:val="auto"/>
        </w:rPr>
      </w:pPr>
    </w:p>
    <w:p>
      <w:pPr>
        <w:ind w:left="57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(Principal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5720"/>
        <w:spacing w:after="0"/>
        <w:tabs>
          <w:tab w:leader="none" w:pos="6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Robert J. Marshall, Jr.</w:t>
      </w:r>
    </w:p>
    <w:p>
      <w:pPr>
        <w:spacing w:after="0" w:line="63" w:lineRule="exact"/>
        <w:rPr>
          <w:sz w:val="20"/>
          <w:szCs w:val="20"/>
          <w:color w:val="auto"/>
        </w:rPr>
      </w:pPr>
    </w:p>
    <w:p>
      <w:pPr>
        <w:ind w:left="57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and Treasurer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lowerRoman"/>
      <w:start w:val="2"/>
    </w:lvl>
  </w:abstractNum>
  <w:abstractNum w:abstractNumId="5">
    <w:nsid w:val="721DA317"/>
    <w:multiLevelType w:val="hybridMultilevel"/>
    <w:lvl w:ilvl="0">
      <w:lvlJc w:val="left"/>
      <w:lvlText w:val="(%1)"/>
      <w:numFmt w:val="lowerRoman"/>
      <w:start w:val="1"/>
    </w:lvl>
    <w:lvl w:ilvl="1">
      <w:lvlJc w:val="left"/>
      <w:lvlText w:val="•"/>
      <w:numFmt w:val="bullet"/>
      <w:start w:val="1"/>
    </w:lvl>
    <w:lvl w:ilvl="2">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lowerRoman"/>
      <w:start w:val="2"/>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25"/>
    </w:lvl>
  </w:abstractNum>
  <w:abstractNum w:abstractNumId="21">
    <w:nsid w:val="8138641"/>
    <w:multiLevelType w:val="hybridMultilevel"/>
    <w:lvl w:ilvl="0">
      <w:lvlJc w:val="left"/>
      <w:lvlText w:val="%1"/>
      <w:numFmt w:val="decimal"/>
      <w:start w:val="1"/>
    </w:lvl>
    <w:lvl w:ilvl="1">
      <w:lvlJc w:val="left"/>
      <w:lvlText w:val="(%2)"/>
      <w:numFmt w:val="lowerLetter"/>
      <w:start w:val="2"/>
    </w:lvl>
  </w:abstractNum>
  <w:abstractNum w:abstractNumId="22">
    <w:nsid w:val="1E7FF521"/>
    <w:multiLevelType w:val="hybridMultilevel"/>
    <w:lvl w:ilvl="0">
      <w:lvlJc w:val="left"/>
      <w:lvlText w:val="%1."/>
      <w:numFmt w:val="decimal"/>
      <w:start w:val="6"/>
    </w:lvl>
    <w:lvl w:ilvl="1">
      <w:lvlJc w:val="left"/>
      <w:lvlText w:val="(%2)"/>
      <w:numFmt w:val="lowerLetter"/>
      <w:start w:val="1"/>
    </w:lvl>
  </w:abstractNum>
  <w:abstractNum w:abstractNumId="23">
    <w:nsid w:val="7C3DBD3D"/>
    <w:multiLevelType w:val="hybridMultilevel"/>
    <w:lvl w:ilvl="0">
      <w:lvlJc w:val="left"/>
      <w:lvlText w:val="%1"/>
      <w:numFmt w:val="decimal"/>
      <w:start w:val="1"/>
    </w:lvl>
    <w:lvl w:ilvl="1">
      <w:lvlJc w:val="left"/>
      <w:lvlText w:val="(%2)"/>
      <w:numFmt w:val="lowerLetter"/>
      <w:start w:val="4"/>
    </w:lvl>
  </w:abstractNum>
  <w:abstractNum w:abstractNumId="24">
    <w:nsid w:val="737B8DDC"/>
    <w:multiLevelType w:val="hybridMultilevel"/>
    <w:lvl w:ilvl="0">
      <w:lvlJc w:val="left"/>
      <w:lvlText w:val="%1."/>
      <w:numFmt w:val="decimal"/>
      <w:start w:val="9"/>
    </w:lvl>
    <w:lvl w:ilvl="1">
      <w:lvlJc w:val="left"/>
      <w:lvlText w:val="(%2)"/>
      <w:numFmt w:val="lowerLetter"/>
      <w:start w:val="1"/>
    </w:lvl>
  </w:abstractNum>
  <w:abstractNum w:abstractNumId="25">
    <w:nsid w:val="6CEAF087"/>
    <w:multiLevelType w:val="hybridMultilevel"/>
    <w:lvl w:ilvl="0">
      <w:lvlJc w:val="left"/>
      <w:lvlText w:val="%1"/>
      <w:numFmt w:val="decimal"/>
      <w:start w:val="1"/>
    </w:lvl>
    <w:lvl w:ilvl="1">
      <w:lvlJc w:val="left"/>
      <w:lvlText w:val="(%2)"/>
      <w:numFmt w:val="lowerLetter"/>
      <w:start w:val="3"/>
    </w:lvl>
  </w:abstractNum>
  <w:abstractNum w:abstractNumId="26">
    <w:nsid w:val="22221A70"/>
    <w:multiLevelType w:val="hybridMultilevel"/>
    <w:lvl w:ilvl="0">
      <w:lvlJc w:val="left"/>
      <w:lvlText w:val="%1."/>
      <w:numFmt w:val="decimal"/>
      <w:start w:val="11"/>
    </w:lvl>
    <w:lvl w:ilvl="1">
      <w:lvlJc w:val="left"/>
      <w:lvlText w:val="(%2)"/>
      <w:numFmt w:val="lowerLetter"/>
      <w:start w:val="1"/>
    </w:lvl>
  </w:abstractNum>
  <w:abstractNum w:abstractNumId="27">
    <w:nsid w:val="4516DDE9"/>
    <w:multiLevelType w:val="hybridMultilevel"/>
    <w:lvl w:ilvl="0">
      <w:lvlJc w:val="left"/>
      <w:lvlText w:val="(%1)"/>
      <w:numFmt w:val="lowerLetter"/>
      <w:start w:val="2"/>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6"/>
    </w:lvl>
    <w:lvl w:ilvl="1">
      <w:lvlJc w:val="left"/>
      <w:lvlText w:val="(%2)"/>
      <w:numFmt w:val="lowerLetter"/>
      <w:start w:val="1"/>
    </w:lvl>
  </w:abstractNum>
  <w:abstractNum w:abstractNumId="30">
    <w:nsid w:val="419AC241"/>
    <w:multiLevelType w:val="hybridMultilevel"/>
    <w:lvl w:ilvl="0">
      <w:lvlJc w:val="left"/>
      <w:lvlText w:val="%1."/>
      <w:numFmt w:val="decimal"/>
      <w:start w:val="9"/>
    </w:lvl>
    <w:lvl w:ilvl="1">
      <w:lvlJc w:val="left"/>
      <w:lvlText w:val="(%2)"/>
      <w:numFmt w:val="lowerLetter"/>
      <w:start w:val="1"/>
    </w:lvl>
  </w:abstractNum>
  <w:abstractNum w:abstractNumId="31">
    <w:nsid w:val="5577F8E1"/>
    <w:multiLevelType w:val="hybridMultilevel"/>
    <w:lvl w:ilvl="0">
      <w:lvlJc w:val="left"/>
      <w:lvlText w:val="%1"/>
      <w:numFmt w:val="decimal"/>
      <w:start w:val="1"/>
    </w:lvl>
    <w:lvl w:ilvl="1">
      <w:lvlJc w:val="left"/>
      <w:lvlText w:val="(%2)"/>
      <w:numFmt w:val="lowerLetter"/>
      <w:start w:val="2"/>
    </w:lvl>
  </w:abstractNum>
  <w:abstractNum w:abstractNumId="32">
    <w:nsid w:val="440BADFC"/>
    <w:multiLevelType w:val="hybridMultilevel"/>
    <w:lvl w:ilvl="0">
      <w:lvlJc w:val="left"/>
      <w:lvlText w:val="%1."/>
      <w:numFmt w:val="decimal"/>
      <w:start w:val="12"/>
    </w:lvl>
    <w:lvl w:ilvl="1">
      <w:lvlJc w:val="left"/>
      <w:lvlText w:val="%2"/>
      <w:numFmt w:val="lowerLetter"/>
      <w:start w:val="1"/>
    </w:lvl>
  </w:abstractNum>
  <w:abstractNum w:abstractNumId="33">
    <w:nsid w:val="5072367"/>
    <w:multiLevelType w:val="hybridMultilevel"/>
    <w:lvl w:ilvl="0">
      <w:lvlJc w:val="left"/>
      <w:lvlText w:val="%1."/>
      <w:numFmt w:val="decimal"/>
      <w:start w:val="14"/>
    </w:lvl>
    <w:lvl w:ilvl="1">
      <w:lvlJc w:val="left"/>
      <w:lvlText w:val="(%2)"/>
      <w:numFmt w:val="lowerLetter"/>
      <w:start w:val="1"/>
    </w:lvl>
  </w:abstractNum>
  <w:abstractNum w:abstractNumId="34">
    <w:nsid w:val="3804823E"/>
    <w:multiLevelType w:val="hybridMultilevel"/>
    <w:lvl w:ilvl="0">
      <w:lvlJc w:val="left"/>
      <w:lvlText w:val="(%1)"/>
      <w:numFmt w:val="lowerLetter"/>
      <w:start w:val="8"/>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2019-12-28T18:49:18Z</dcterms:created>
  <dcterms:modified xsi:type="dcterms:W3CDTF">2019-12-28T18:49:18Z</dcterms:modified>
</cp:coreProperties>
</file>