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49"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FARALLON PARTNERS L L 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Lantheus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LNTH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08/19/2025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05"/>
        <w:spacing w:after="0"/>
        <w:rPr>
          <w:sz w:val="20"/>
          <w:szCs w:val="20"/>
          <w:color w:val="auto"/>
        </w:rPr>
      </w:pPr>
      <w:r>
        <w:rPr>
          <w:rFonts w:ascii="Times New Roman" w:cs="Times New Roman" w:eastAsia="Times New Roman" w:hAnsi="Times New Roman"/>
          <w:sz w:val="17"/>
          <w:szCs w:val="17"/>
          <w:color w:val="0000FF"/>
        </w:rPr>
        <w:t>Member of a Group Owning 10%</w:t>
      </w:r>
    </w:p>
    <w:p>
      <w:pPr>
        <w:spacing w:after="0" w:line="279" w:lineRule="exact"/>
        <w:rPr>
          <w:sz w:val="24"/>
          <w:szCs w:val="24"/>
          <w:color w:val="auto"/>
        </w:rPr>
      </w:pPr>
    </w:p>
    <w:p>
      <w:pPr>
        <w:sectPr>
          <w:pgSz w:w="11900" w:h="16849" w:orient="portrait"/>
          <w:cols w:equalWidth="0" w:num="3">
            <w:col w:w="3280" w:space="640"/>
            <w:col w:w="3095" w:space="720"/>
            <w:col w:w="3345"/>
          </w:cols>
          <w:pgMar w:left="460" w:top="219" w:right="359" w:bottom="0" w:gutter="0" w:footer="0" w:header="0"/>
          <w:type w:val="continuous"/>
        </w:sectPr>
      </w:pP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4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80" w:type="dxa"/>
            <w:vAlign w:val="bottom"/>
            <w:tcBorders>
              <w:top w:val="single" w:sz="8" w:color="2C2C2C"/>
            </w:tcBorders>
            <w:gridSpan w:val="5"/>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6"/>
                <w:szCs w:val="16"/>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6"/>
            <w:vMerge w:val="restart"/>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gridSpan w:val="6"/>
          </w:tcPr>
          <w:p>
            <w:pPr>
              <w:ind w:left="4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1660" w:type="dxa"/>
            <w:vAlign w:val="bottom"/>
            <w:gridSpan w:val="2"/>
            <w:vMerge w:val="restart"/>
          </w:tcPr>
          <w:p>
            <w:pPr>
              <w:ind w:left="4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8"/>
                <w:szCs w:val="8"/>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120" w:type="dxa"/>
            <w:vAlign w:val="bottom"/>
            <w:tcBorders>
              <w:bottom w:val="single" w:sz="8" w:color="2C2C2C"/>
            </w:tcBorders>
            <w:gridSpan w:val="6"/>
          </w:tcPr>
          <w:p>
            <w:pPr>
              <w:spacing w:after="0"/>
              <w:rPr>
                <w:sz w:val="10"/>
                <w:szCs w:val="10"/>
                <w:color w:val="auto"/>
              </w:rPr>
            </w:pPr>
          </w:p>
        </w:tc>
        <w:tc>
          <w:tcPr>
            <w:tcW w:w="34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7"/>
          </w:tcPr>
          <w:p>
            <w:pPr>
              <w:ind w:left="8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1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29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5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Code</w:t>
            </w:r>
          </w:p>
        </w:tc>
        <w:tc>
          <w:tcPr>
            <w:tcW w:w="3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V</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Price</w:t>
            </w: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08/19/2025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41,000</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vMerge w:val="restart"/>
          </w:tcPr>
          <w:p>
            <w:pPr>
              <w:jc w:val="center"/>
              <w:ind w:right="5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55.34</w:t>
            </w:r>
          </w:p>
        </w:tc>
        <w:tc>
          <w:tcPr>
            <w:tcW w:w="60" w:type="dxa"/>
            <w:vAlign w:val="bottom"/>
          </w:tcPr>
          <w:p>
            <w:pPr>
              <w:spacing w:after="0"/>
              <w:rPr>
                <w:sz w:val="21"/>
                <w:szCs w:val="21"/>
                <w:color w:val="auto"/>
              </w:rPr>
            </w:pPr>
          </w:p>
        </w:tc>
        <w:tc>
          <w:tcPr>
            <w:tcW w:w="100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7"/>
                <w:szCs w:val="17"/>
                <w:color w:val="0000FF"/>
              </w:rPr>
              <w:t>6,842,227</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4"/>
          </w:tcPr>
          <w:p>
            <w:pPr>
              <w:ind w:left="40"/>
              <w:spacing w:after="0" w:line="249" w:lineRule="exact"/>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(3)(4)(5)</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08/20/2025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3,365,000   D</w:t>
            </w:r>
          </w:p>
        </w:tc>
        <w:tc>
          <w:tcPr>
            <w:tcW w:w="70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56.15</w:t>
            </w:r>
            <w:r>
              <w:rPr>
                <w:rFonts w:ascii="Times New Roman" w:cs="Times New Roman" w:eastAsia="Times New Roman" w:hAnsi="Times New Roman"/>
                <w:sz w:val="22"/>
                <w:szCs w:val="22"/>
                <w:color w:val="008000"/>
                <w:w w:val="95"/>
                <w:vertAlign w:val="superscript"/>
              </w:rPr>
              <w:t>(6)</w:t>
            </w:r>
          </w:p>
        </w:tc>
        <w:tc>
          <w:tcPr>
            <w:tcW w:w="60" w:type="dxa"/>
            <w:vAlign w:val="bottom"/>
          </w:tcPr>
          <w:p>
            <w:pPr>
              <w:spacing w:after="0"/>
              <w:rPr>
                <w:sz w:val="24"/>
                <w:szCs w:val="24"/>
                <w:color w:val="auto"/>
              </w:rPr>
            </w:pPr>
          </w:p>
        </w:tc>
        <w:tc>
          <w:tcPr>
            <w:tcW w:w="100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0000FF"/>
              </w:rPr>
              <w:t>3,477,227</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(3)(4)(5)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3"/>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gridSpan w:val="6"/>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1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12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spacing w:after="0"/>
              <w:rPr>
                <w:sz w:val="15"/>
                <w:szCs w:val="15"/>
                <w:color w:val="auto"/>
              </w:rPr>
            </w:pPr>
          </w:p>
        </w:tc>
        <w:tc>
          <w:tcPr>
            <w:tcW w:w="5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tcPr>
          <w:p>
            <w:pPr>
              <w:jc w:val="right"/>
              <w:ind w:right="17"/>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19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jc w:val="right"/>
              <w:ind w:right="117"/>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tcPr>
          <w:p>
            <w:pPr>
              <w:jc w:val="right"/>
              <w:ind w:right="117"/>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6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Number</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7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Title  Shares</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5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FARALLON PARTNERS L L C/CA</w:t>
              </w:r>
            </w:hyperlink>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ONE MARITIME PLAZA, SUITE 2100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94111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5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Dapice Joshua J.</w:t>
              </w:r>
            </w:hyperlink>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49" w:orient="portrait"/>
          <w:cols w:equalWidth="0" w:num="1">
            <w:col w:w="11080"/>
          </w:cols>
          <w:pgMar w:left="460" w:top="219" w:right="359" w:bottom="0" w:gutter="0" w:footer="0" w:header="0"/>
          <w:type w:val="continuous"/>
        </w:sectPr>
      </w:pP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94111</w:t>
            </w:r>
          </w:p>
        </w:tc>
        <w:tc>
          <w:tcPr>
            <w:tcW w:w="0" w:type="dxa"/>
            <w:vAlign w:val="bottom"/>
          </w:tcPr>
          <w:p>
            <w:pPr>
              <w:spacing w:after="0"/>
              <w:rPr>
                <w:sz w:val="1"/>
                <w:szCs w:val="1"/>
                <w:color w:val="auto"/>
              </w:rPr>
            </w:pPr>
          </w:p>
        </w:tc>
      </w:tr>
      <w:tr>
        <w:trPr>
          <w:trHeight w:val="120"/>
        </w:trPr>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0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49" w:orient="portrait"/>
          <w:cols w:equalWidth="0" w:num="1">
            <w:col w:w="11080"/>
          </w:cols>
          <w:pgMar w:left="460" w:top="219" w:right="359" w:bottom="0"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Dreyfuss Philip 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Dunn Hannah E.</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FRIED RICHARD B</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w w:val="99"/>
              </w:rPr>
            </w:pPr>
            <w:hyperlink r:id="rId22">
              <w:r>
                <w:rPr>
                  <w:rFonts w:ascii="Times New Roman" w:cs="Times New Roman" w:eastAsia="Times New Roman" w:hAnsi="Times New Roman"/>
                  <w:sz w:val="21"/>
                  <w:szCs w:val="21"/>
                  <w:color w:val="0000EE"/>
                  <w:w w:val="99"/>
                </w:rPr>
                <w:t>Gehani Varun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Giauque Nicolas</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94111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Kim David T</w:t>
        </w:r>
      </w:hyperlink>
    </w:p>
    <w:p>
      <w:pPr>
        <w:sectPr>
          <w:pgSz w:w="11900" w:h="16880" w:orient="portrait"/>
          <w:cols w:equalWidth="0" w:num="1">
            <w:col w:w="9979"/>
          </w:cols>
          <w:pgMar w:left="480" w:top="300" w:right="1440" w:bottom="0" w:gutter="0" w:footer="0" w:header="0"/>
        </w:sectPr>
      </w:pPr>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80" w:orient="portrait"/>
          <w:cols w:equalWidth="0" w:num="1">
            <w:col w:w="9979"/>
          </w:cols>
          <w:pgMar w:left="480" w:top="300" w:right="1440" w:bottom="0" w:gutter="0" w:footer="0" w:header="0"/>
          <w:type w:val="continuous"/>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132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809240" cy="5132070"/>
                    </a:xfrm>
                    <a:prstGeom prst="rect">
                      <a:avLst/>
                    </a:prstGeom>
                    <a:noFill/>
                  </pic:spPr>
                </pic:pic>
              </a:graphicData>
            </a:graphic>
          </wp:anchor>
        </w:drawing>
        <w:t>C/O FARALLON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8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1380" w:type="dxa"/>
            <w:vAlign w:val="bottom"/>
            <w:gridSpan w:val="2"/>
          </w:tcPr>
          <w:p>
            <w:pPr>
              <w:spacing w:after="0" w:line="227" w:lineRule="exact"/>
              <w:rPr>
                <w:rFonts w:ascii="Times New Roman" w:cs="Times New Roman" w:eastAsia="Times New Roman" w:hAnsi="Times New Roman"/>
                <w:sz w:val="21"/>
                <w:szCs w:val="21"/>
                <w:color w:val="0000EE"/>
              </w:rPr>
            </w:pPr>
            <w:hyperlink r:id="rId26">
              <w:r>
                <w:rPr>
                  <w:rFonts w:ascii="Times New Roman" w:cs="Times New Roman" w:eastAsia="Times New Roman" w:hAnsi="Times New Roman"/>
                  <w:sz w:val="21"/>
                  <w:szCs w:val="21"/>
                  <w:color w:val="0000EE"/>
                </w:rPr>
                <w:t>Linn Michael G</w:t>
              </w:r>
            </w:hyperlink>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7">
              <w:r>
                <w:rPr>
                  <w:rFonts w:ascii="Times New Roman" w:cs="Times New Roman" w:eastAsia="Times New Roman" w:hAnsi="Times New Roman"/>
                  <w:sz w:val="21"/>
                  <w:szCs w:val="21"/>
                  <w:color w:val="0000EE"/>
                </w:rPr>
                <w:t>Luo Patrick (Cheng)</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FARALLON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ONE MARITIME PLAZA, SUITE 2100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94111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entities and individuals identified in the footnotes of this Form 4 may be deemed members of a group holding equity securities of Lantheus Holdings, Inc. (the "Issuer"). The filing of this Form 4 and any statements included herein shall not be deemed to be an admission that such entities and individuals are members of such a group.</w:t>
      </w:r>
    </w:p>
    <w:p>
      <w:pPr>
        <w:spacing w:after="0" w:line="7" w:lineRule="exact"/>
        <w:rPr>
          <w:rFonts w:ascii="Times New Roman" w:cs="Times New Roman" w:eastAsia="Times New Roman" w:hAnsi="Times New Roman"/>
          <w:sz w:val="13"/>
          <w:szCs w:val="13"/>
          <w:color w:val="008000"/>
        </w:rPr>
      </w:pPr>
    </w:p>
    <w:p>
      <w:pPr>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Since the number of reporting persons that may be listed on a Form 4 is limited, the entities and individuals listed in these footnotes that are not reporting persons on this Form 4 are filing an additional Form 4 on the date hereof as reporting persons with respect to the securities described herein (the "Parallel Form 4"). Information regarding these entities and individuals is included in this Form 4 for purposes of clarification and convenience only, and is duplicative of the information reported in the Parallel Form 4.</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of securities shown in this row is held directly by certain investment funds affiliated with the reporting persons (the "Farallon Funds").</w:t>
      </w:r>
    </w:p>
    <w:p>
      <w:pPr>
        <w:spacing w:after="0" w:line="50" w:lineRule="exact"/>
        <w:rPr>
          <w:rFonts w:ascii="Times New Roman" w:cs="Times New Roman" w:eastAsia="Times New Roman" w:hAnsi="Times New Roman"/>
          <w:sz w:val="13"/>
          <w:szCs w:val="13"/>
          <w:color w:val="008000"/>
        </w:rPr>
      </w:pPr>
    </w:p>
    <w:p>
      <w:pPr>
        <w:jc w:val="both"/>
        <w:ind w:left="20" w:right="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Farallon Partners, L.L.C. and certain affiliated entities (the "Farallon General Partners"), as general partner or sole member of the general partner, as the case may be, of each of the Farallon Funds, may be deemed to be a beneficial owner of the Issuer's securities held by the Farallon Funds. The Farallon General Partners disclaim any beneficial ownership of any of the Issuer's securities reported or noted herein for purposes of Section 16 of the Securities Exchange Act of 1934, as amended (the "'34 Act"), or otherwise, except to the extent of their pecuniary interest, if any.</w:t>
      </w:r>
    </w:p>
    <w:p>
      <w:pPr>
        <w:spacing w:after="0" w:line="20" w:lineRule="exact"/>
        <w:rPr>
          <w:rFonts w:ascii="Times New Roman" w:cs="Times New Roman" w:eastAsia="Times New Roman" w:hAnsi="Times New Roman"/>
          <w:sz w:val="13"/>
          <w:szCs w:val="13"/>
          <w:color w:val="008000"/>
        </w:rPr>
      </w:pPr>
    </w:p>
    <w:p>
      <w:pPr>
        <w:ind w:left="20" w:right="6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Joshua J. Dapice, Philip D. Dreyfuss, Hannah E. Dunn, Richard B. Fried, Varun N. Gehani, Nicolas Giauque, David T. Kim, Michael G. Linn, Patrick (Cheng) Luo, Rajiv A. Patel, Thomas G. Roberts, Jr., Edric C. Saito, William Seybold, Daniel S. Short, Andrew J. M. Spokes, John R. Warren, and Mark C. Wehrly (collectively, the "Managing Members"), as a managing member or manager, or senior managing member or senior manager, as the case may be, of each of the Farallon General Partners, in each case with the power to exercise investment discretion, may be deemed to be a beneficial owner of the Issuer's securities held by the Farallon Funds. Each of the Managing Members disclaims any beneficial ownership of any of the Issuer's securities reported or noted herein for purposes of Section 16 of the '34 Act or otherwise, except to the extent of his or her pecuniary interest, if any.</w:t>
      </w:r>
    </w:p>
    <w:p>
      <w:pPr>
        <w:spacing w:after="0" w:line="26"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$56.14 to $56.55, inclusive. The Reporting Persons undertake to provide to the Issuer, any security holder of the Issuer, or the staff of the Securities and Exchange Commission, upon request, full information regarding the number of shares purchased at each separate price within the range.</w:t>
      </w:r>
    </w:p>
    <w:p>
      <w:pPr>
        <w:sectPr>
          <w:pgSz w:w="11900" w:h="16838" w:orient="portrait"/>
          <w:cols w:equalWidth="0" w:num="1">
            <w:col w:w="10920"/>
          </w:cols>
          <w:pgMar w:left="480" w:top="178" w:right="499" w:bottom="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953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140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83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14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838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Hannah E.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674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8674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14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83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14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83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140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83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140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83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140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83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Hannah E. Dunn,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14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83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00" w:space="260"/>
            <w:col w:w="2160"/>
          </w:cols>
          <w:pgMar w:left="480" w:top="178" w:right="499" w:bottom="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0920"/>
          </w:cols>
          <w:pgMar w:left="480" w:top="178" w:right="499" w:bottom="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5"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13" Type="http://schemas.openxmlformats.org/officeDocument/2006/relationships/hyperlink" Target="http://www.sec.gov/cgi-bin/browse-edgar?action=getcompany&amp;CIK=0001040153" TargetMode="External"/><Relationship Id="rId14" Type="http://schemas.openxmlformats.org/officeDocument/2006/relationships/hyperlink" Target="http://www.sec.gov/cgi-bin/browse-edgar?action=getcompany&amp;CIK=0001521036" TargetMode="External"/><Relationship Id="rId16" Type="http://schemas.openxmlformats.org/officeDocument/2006/relationships/hyperlink" Target="http://www.sec.gov/cgi-bin/browse-edgar?action=getcompany&amp;CIK=0001960821" TargetMode="External"/><Relationship Id="rId19" Type="http://schemas.openxmlformats.org/officeDocument/2006/relationships/hyperlink" Target="http://www.sec.gov/cgi-bin/browse-edgar?action=getcompany&amp;CIK=0001693981" TargetMode="External"/><Relationship Id="rId20" Type="http://schemas.openxmlformats.org/officeDocument/2006/relationships/hyperlink" Target="http://www.sec.gov/cgi-bin/browse-edgar?action=getcompany&amp;CIK=0001960890" TargetMode="External"/><Relationship Id="rId21" Type="http://schemas.openxmlformats.org/officeDocument/2006/relationships/hyperlink" Target="http://www.sec.gov/cgi-bin/browse-edgar?action=getcompany&amp;CIK=0001245637" TargetMode="External"/><Relationship Id="rId22" Type="http://schemas.openxmlformats.org/officeDocument/2006/relationships/hyperlink" Target="http://www.sec.gov/cgi-bin/browse-edgar?action=getcompany&amp;CIK=0001904298" TargetMode="External"/><Relationship Id="rId23" Type="http://schemas.openxmlformats.org/officeDocument/2006/relationships/hyperlink" Target="http://www.sec.gov/cgi-bin/browse-edgar?action=getcompany&amp;CIK=0001372970" TargetMode="External"/><Relationship Id="rId24" Type="http://schemas.openxmlformats.org/officeDocument/2006/relationships/hyperlink" Target="http://www.sec.gov/cgi-bin/browse-edgar?action=getcompany&amp;CIK=0001595643" TargetMode="External"/><Relationship Id="rId26" Type="http://schemas.openxmlformats.org/officeDocument/2006/relationships/hyperlink" Target="http://www.sec.gov/cgi-bin/browse-edgar?action=getcompany&amp;CIK=0001495856" TargetMode="External"/><Relationship Id="rId27" Type="http://schemas.openxmlformats.org/officeDocument/2006/relationships/hyperlink" Target="http://www.sec.gov/cgi-bin/browse-edgar?action=getcompany&amp;CIK=0002054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2025-08-21T16:34:13Z</dcterms:created>
  <dcterms:modified xsi:type="dcterms:W3CDTF">2025-08-21T16:34:13Z</dcterms:modified>
</cp:coreProperties>
</file>