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Venkataraman Sriram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AVISTA CAPITAL HOLDINGS,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 E. 55TH STREET, 18TH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Lantheus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LNTH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140" w:type="dxa"/>
            <w:vAlign w:val="bottom"/>
            <w:gridSpan w:val="3"/>
          </w:tcPr>
          <w:p>
            <w:pPr>
              <w:ind w:left="80"/>
              <w:spacing w:after="0"/>
              <w:rPr>
                <w:sz w:val="20"/>
                <w:szCs w:val="20"/>
                <w:color w:val="auto"/>
              </w:rPr>
            </w:pPr>
            <w:r>
              <w:rPr>
                <w:rFonts w:ascii="Arial" w:cs="Arial" w:eastAsia="Arial" w:hAnsi="Arial"/>
                <w:sz w:val="18"/>
                <w:szCs w:val="18"/>
                <w:color w:val="0000FF"/>
              </w:rPr>
              <w:t>11/21/2016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ind w:left="740"/>
              <w:spacing w:after="0"/>
              <w:rPr>
                <w:sz w:val="20"/>
                <w:szCs w:val="20"/>
                <w:color w:val="auto"/>
              </w:rPr>
            </w:pPr>
            <w:r>
              <w:rPr>
                <w:rFonts w:ascii="Arial" w:cs="Arial" w:eastAsia="Arial" w:hAnsi="Arial"/>
                <w:sz w:val="18"/>
                <w:szCs w:val="18"/>
                <w:color w:val="0000FF"/>
              </w:rPr>
              <w:t>11/21/2016</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9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1,424,399</w:t>
            </w: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w:t>
            </w:r>
          </w:p>
        </w:tc>
        <w:tc>
          <w:tcPr>
            <w:tcW w:w="1420" w:type="dxa"/>
            <w:vAlign w:val="bottom"/>
            <w:gridSpan w:val="3"/>
            <w:vMerge w:val="restart"/>
          </w:tcPr>
          <w:p>
            <w:pPr>
              <w:ind w:left="420"/>
              <w:spacing w:after="0"/>
              <w:rPr>
                <w:sz w:val="20"/>
                <w:szCs w:val="20"/>
                <w:color w:val="auto"/>
              </w:rPr>
            </w:pPr>
            <w:r>
              <w:rPr>
                <w:rFonts w:ascii="Arial" w:cs="Arial" w:eastAsia="Arial" w:hAnsi="Arial"/>
                <w:sz w:val="18"/>
                <w:szCs w:val="18"/>
                <w:color w:val="0000FF"/>
              </w:rPr>
              <w:t>8,713,673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ind w:left="740"/>
              <w:spacing w:after="0"/>
              <w:rPr>
                <w:sz w:val="20"/>
                <w:szCs w:val="20"/>
                <w:color w:val="auto"/>
              </w:rPr>
            </w:pPr>
            <w:r>
              <w:rPr>
                <w:rFonts w:ascii="Arial" w:cs="Arial" w:eastAsia="Arial" w:hAnsi="Arial"/>
                <w:sz w:val="18"/>
                <w:szCs w:val="18"/>
                <w:color w:val="0000FF"/>
              </w:rPr>
              <w:t>11/21/2016</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left="90"/>
              <w:spacing w:after="0"/>
              <w:rPr>
                <w:sz w:val="20"/>
                <w:szCs w:val="20"/>
                <w:color w:val="auto"/>
              </w:rPr>
            </w:pPr>
            <w:r>
              <w:rPr>
                <w:rFonts w:ascii="Arial" w:cs="Arial" w:eastAsia="Arial" w:hAnsi="Arial"/>
                <w:sz w:val="18"/>
                <w:szCs w:val="18"/>
                <w:color w:val="0000FF"/>
                <w:w w:val="89"/>
              </w:rPr>
              <w:t>375,601</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w:t>
            </w:r>
          </w:p>
        </w:tc>
        <w:tc>
          <w:tcPr>
            <w:tcW w:w="1420" w:type="dxa"/>
            <w:vAlign w:val="bottom"/>
            <w:gridSpan w:val="3"/>
            <w:vMerge w:val="restart"/>
          </w:tcPr>
          <w:p>
            <w:pPr>
              <w:ind w:left="420"/>
              <w:spacing w:after="0"/>
              <w:rPr>
                <w:sz w:val="20"/>
                <w:szCs w:val="20"/>
                <w:color w:val="auto"/>
              </w:rPr>
            </w:pPr>
            <w:r>
              <w:rPr>
                <w:rFonts w:ascii="Arial" w:cs="Arial" w:eastAsia="Arial" w:hAnsi="Arial"/>
                <w:sz w:val="18"/>
                <w:szCs w:val="18"/>
                <w:color w:val="0000FF"/>
              </w:rPr>
              <w:t>2,297,718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ind w:left="740"/>
              <w:spacing w:after="0"/>
              <w:rPr>
                <w:sz w:val="20"/>
                <w:szCs w:val="20"/>
                <w:color w:val="auto"/>
              </w:rPr>
            </w:pPr>
            <w:r>
              <w:rPr>
                <w:rFonts w:ascii="Arial" w:cs="Arial" w:eastAsia="Arial" w:hAnsi="Arial"/>
                <w:sz w:val="18"/>
                <w:szCs w:val="18"/>
                <w:color w:val="0000FF"/>
              </w:rPr>
              <w:t>11/21/2016</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left="90"/>
              <w:spacing w:after="0"/>
              <w:rPr>
                <w:sz w:val="20"/>
                <w:szCs w:val="20"/>
                <w:color w:val="auto"/>
              </w:rPr>
            </w:pPr>
            <w:r>
              <w:rPr>
                <w:rFonts w:ascii="Arial" w:cs="Arial" w:eastAsia="Arial" w:hAnsi="Arial"/>
                <w:sz w:val="18"/>
                <w:szCs w:val="18"/>
                <w:color w:val="0000FF"/>
                <w:w w:val="89"/>
              </w:rPr>
              <w:t>700,000</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w:t>
            </w:r>
          </w:p>
        </w:tc>
        <w:tc>
          <w:tcPr>
            <w:tcW w:w="1420" w:type="dxa"/>
            <w:vAlign w:val="bottom"/>
            <w:gridSpan w:val="3"/>
            <w:vMerge w:val="restart"/>
          </w:tcPr>
          <w:p>
            <w:pPr>
              <w:ind w:left="420"/>
              <w:spacing w:after="0"/>
              <w:rPr>
                <w:sz w:val="20"/>
                <w:szCs w:val="20"/>
                <w:color w:val="auto"/>
              </w:rPr>
            </w:pPr>
            <w:r>
              <w:rPr>
                <w:rFonts w:ascii="Arial" w:cs="Arial" w:eastAsia="Arial" w:hAnsi="Arial"/>
                <w:sz w:val="18"/>
                <w:szCs w:val="18"/>
                <w:color w:val="0000FF"/>
              </w:rPr>
              <w:t>4,282,208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2"/>
          </w:tcPr>
          <w:p>
            <w:pPr>
              <w:jc w:val="right"/>
              <w:ind w:righ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L.P. ("ACP"). Avista Capital Partners GP, LLC ("ACP GP") is the general partner of ACP. Mr. Venkataraman is a member of the investment committee of ACP GP. By virtue of these relationships, Mr. Venkataraman may be deemed to share voting and dispositive power with respect to the shares of common stock held by ACP. Mr. Venkataraman expressly disclaims beneficial ownership of any such securities, except to the extent of his pecuniary interest therein.</w:t>
      </w:r>
    </w:p>
    <w:p>
      <w:pPr>
        <w:spacing w:after="0" w:line="30" w:lineRule="exact"/>
        <w:rPr>
          <w:rFonts w:ascii="Arial" w:cs="Arial" w:eastAsia="Arial" w:hAnsi="Arial"/>
          <w:sz w:val="14"/>
          <w:szCs w:val="14"/>
          <w:color w:val="008000"/>
        </w:rPr>
      </w:pPr>
    </w:p>
    <w:p>
      <w:pPr>
        <w:jc w:val="both"/>
        <w:ind w:left="40" w:right="5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of the Issuer held by Avista Capital Partners (Offshore), L.P. ("ACP Offshore"). ACP GP is the general partner of ACP Offshore. Mr. Venkataraman is a member of the investment committee of ACP GP. By virtue of these relationships, Mr. Venkataraman may be deemed to share voting and dispositive power with respect to the shares of common stock held by ACP Offshore. Mr. Venkataraman expressly disclaims beneficial ownership of any such securities, except to the extent of his pecuniary interest therein.</w:t>
      </w:r>
    </w:p>
    <w:p>
      <w:pPr>
        <w:spacing w:after="0" w:line="2" w:lineRule="exact"/>
        <w:rPr>
          <w:rFonts w:ascii="Arial" w:cs="Arial" w:eastAsia="Arial" w:hAnsi="Arial"/>
          <w:sz w:val="12"/>
          <w:szCs w:val="12"/>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ACP-Lantern Co-Invest, LLC ("ACP Co-Invest"). ACP GP is the manager of ACP Co-Invest. Mr. Venkataraman is a member of the investment committee of ACP GP. By virtue of these relationships, Mr. Venkataraman may be deemed to share voting and dispositive power with respect to the shares of common stock held by ACP Co-Invest. Mr. Venkataraman expressly disclaims beneficial ownership of any such securities,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Sriram Venkataraman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11/21/2016</w:t>
            </w: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0642"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2019-12-08T21:14:41Z</dcterms:created>
  <dcterms:modified xsi:type="dcterms:W3CDTF">2019-12-08T21:14:41Z</dcterms:modified>
</cp:coreProperties>
</file>