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2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8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FARALLON PARTNERS L L</w:t>
              </w:r>
            </w:hyperlink>
          </w:p>
        </w:tc>
        <w:tc>
          <w:tcPr>
            <w:tcW w:w="1500" w:type="dxa"/>
            <w:vAlign w:val="bottom"/>
          </w:tcPr>
          <w:p>
            <w:pPr>
              <w:ind w:left="14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500" w:type="dxa"/>
            <w:vAlign w:val="bottom"/>
          </w:tcPr>
          <w:p>
            <w:pPr>
              <w:ind w:left="14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C/CA</w:t>
              </w:r>
            </w:hyperlink>
          </w:p>
        </w:tc>
        <w:tc>
          <w:tcPr>
            <w:tcW w:w="236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08/06/2025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Lantheus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LNTH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ONE MARITIME PLAZA, SUITE</w:t>
            </w:r>
          </w:p>
        </w:tc>
      </w:tr>
      <w:tr>
        <w:trPr>
          <w:trHeight w:val="254"/>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2100</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15"/>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20"/>
                <w:szCs w:val="20"/>
                <w:color w:val="0000FF"/>
              </w:rPr>
              <w:t>94111</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0"/>
          <w:szCs w:val="20"/>
          <w:color w:val="0000FF"/>
        </w:rPr>
        <w:t>Member of a Group Owning 10%</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2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6,883,227</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(1)(2)(3)(4)(5)</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10"/>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FARALLON PARTNERS L L C/CA</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06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Dapice Joshua J.</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ind w:left="140"/>
        <w:spacing w:after="0" w:line="219" w:lineRule="auto"/>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7"/>
          <w:szCs w:val="17"/>
          <w:color w:val="0000FF"/>
        </w:rPr>
        <w:t>94111</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Dreyfuss Philip D</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3046095</wp:posOffset>
            </wp:positionH>
            <wp:positionV relativeFrom="page">
              <wp:posOffset>88900</wp:posOffset>
            </wp:positionV>
            <wp:extent cx="4445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44450" cy="10520045"/>
                    </a:xfrm>
                    <a:prstGeom prst="rect">
                      <a:avLst/>
                    </a:prstGeom>
                    <a:noFill/>
                  </pic:spPr>
                </pic:pic>
              </a:graphicData>
            </a:graphic>
          </wp:anchor>
        </w:drawing>
        <w:drawing>
          <wp:anchor simplePos="0" relativeHeight="251657728" behindDoc="1" locked="0" layoutInCell="0" allowOverlap="1">
            <wp:simplePos x="0" y="0"/>
            <wp:positionH relativeFrom="page">
              <wp:posOffset>292100</wp:posOffset>
            </wp:positionH>
            <wp:positionV relativeFrom="page">
              <wp:posOffset>88900</wp:posOffset>
            </wp:positionV>
            <wp:extent cx="44450"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44450" cy="1052004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-252095</wp:posOffset>
            </wp:positionV>
            <wp:extent cx="3492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-252095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108585</wp:posOffset>
            </wp:positionV>
            <wp:extent cx="264604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06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Dunn Hannah E.</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-1043305</wp:posOffset>
            </wp:positionV>
            <wp:extent cx="34925"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-1043305</wp:posOffset>
            </wp:positionV>
            <wp:extent cx="34925" cy="4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-252095</wp:posOffset>
            </wp:positionV>
            <wp:extent cx="34925" cy="44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-252095</wp:posOffset>
            </wp:positionV>
            <wp:extent cx="34925" cy="44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108585</wp:posOffset>
            </wp:positionV>
            <wp:extent cx="2646045" cy="4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20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80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800" w:type="dxa"/>
            <w:vAlign w:val="bottom"/>
          </w:tcPr>
          <w:p>
            <w:pPr>
              <w:ind w:left="140"/>
              <w:spacing w:after="0"/>
              <w:rPr>
                <w:sz w:val="20"/>
                <w:szCs w:val="20"/>
                <w:color w:val="auto"/>
              </w:rPr>
            </w:pPr>
            <w:r>
              <w:rPr>
                <w:rFonts w:ascii="Arial" w:cs="Arial" w:eastAsia="Arial" w:hAnsi="Arial"/>
                <w:sz w:val="15"/>
                <w:szCs w:val="15"/>
                <w:color w:val="auto"/>
              </w:rPr>
              <w:t>(State)</w:t>
            </w:r>
          </w:p>
        </w:tc>
        <w:tc>
          <w:tcPr>
            <w:tcW w:w="2180" w:type="dxa"/>
            <w:vAlign w:val="bottom"/>
            <w:gridSpan w:val="2"/>
          </w:tcPr>
          <w:p>
            <w:pPr>
              <w:ind w:left="7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8"/>
              </w:rPr>
            </w:pPr>
            <w:hyperlink r:id="rId26">
              <w:r>
                <w:rPr>
                  <w:rFonts w:ascii="Times New Roman" w:cs="Times New Roman" w:eastAsia="Times New Roman" w:hAnsi="Times New Roman"/>
                  <w:sz w:val="24"/>
                  <w:szCs w:val="24"/>
                  <w:color w:val="0000EE"/>
                  <w:w w:val="98"/>
                </w:rPr>
                <w:t>FRIED RICHARD B</w:t>
              </w:r>
            </w:hyperlink>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800" w:type="dxa"/>
            <w:vAlign w:val="bottom"/>
          </w:tcPr>
          <w:p>
            <w:pPr>
              <w:ind w:left="140"/>
              <w:spacing w:after="0"/>
              <w:rPr>
                <w:sz w:val="20"/>
                <w:szCs w:val="20"/>
                <w:color w:val="auto"/>
              </w:rPr>
            </w:pPr>
            <w:r>
              <w:rPr>
                <w:rFonts w:ascii="Arial" w:cs="Arial" w:eastAsia="Arial" w:hAnsi="Arial"/>
                <w:sz w:val="15"/>
                <w:szCs w:val="15"/>
                <w:color w:val="auto"/>
              </w:rPr>
              <w:t>(First)</w:t>
            </w:r>
          </w:p>
        </w:tc>
        <w:tc>
          <w:tcPr>
            <w:tcW w:w="2180" w:type="dxa"/>
            <w:vAlign w:val="bottom"/>
            <w:gridSpan w:val="2"/>
          </w:tcPr>
          <w:p>
            <w:pPr>
              <w:ind w:left="7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-1043305</wp:posOffset>
            </wp:positionV>
            <wp:extent cx="34925" cy="44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-1043305</wp:posOffset>
            </wp:positionV>
            <wp:extent cx="34925" cy="44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-252095</wp:posOffset>
            </wp:positionV>
            <wp:extent cx="34925" cy="4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-252095</wp:posOffset>
            </wp:positionV>
            <wp:extent cx="34925" cy="44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108585</wp:posOffset>
            </wp:positionV>
            <wp:extent cx="2646045" cy="4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06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2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32">
              <w:r>
                <w:rPr>
                  <w:rFonts w:ascii="Times New Roman" w:cs="Times New Roman" w:eastAsia="Times New Roman" w:hAnsi="Times New Roman"/>
                  <w:sz w:val="24"/>
                  <w:szCs w:val="24"/>
                  <w:color w:val="0000EE"/>
                </w:rPr>
                <w:t>Gehani Varun N</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-1043305</wp:posOffset>
            </wp:positionV>
            <wp:extent cx="34925" cy="4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-1043305</wp:posOffset>
            </wp:positionV>
            <wp:extent cx="34925" cy="44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-252095</wp:posOffset>
            </wp:positionV>
            <wp:extent cx="34925" cy="44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-252095</wp:posOffset>
            </wp:positionV>
            <wp:extent cx="34925" cy="44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108585</wp:posOffset>
            </wp:positionV>
            <wp:extent cx="2646045" cy="44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06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38">
              <w:r>
                <w:rPr>
                  <w:rFonts w:ascii="Times New Roman" w:cs="Times New Roman" w:eastAsia="Times New Roman" w:hAnsi="Times New Roman"/>
                  <w:sz w:val="24"/>
                  <w:szCs w:val="24"/>
                  <w:color w:val="0000EE"/>
                </w:rPr>
                <w:t>Giauque Nicolas</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-1043305</wp:posOffset>
            </wp:positionV>
            <wp:extent cx="34925" cy="44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-1043305</wp:posOffset>
            </wp:positionV>
            <wp:extent cx="34925" cy="44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-252095</wp:posOffset>
            </wp:positionV>
            <wp:extent cx="34925" cy="44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-252095</wp:posOffset>
            </wp:positionV>
            <wp:extent cx="34925" cy="4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ectPr>
          <w:pgSz w:w="11900" w:h="16838" w:orient="portrait"/>
          <w:cols w:equalWidth="0" w:num="1">
            <w:col w:w="9959"/>
          </w:cols>
          <w:pgMar w:left="500" w:top="170" w:right="1440" w:bottom="0" w:gutter="0" w:footer="0" w:header="0"/>
        </w:sectPr>
      </w:pPr>
    </w:p>
    <w:bookmarkStart w:id="2" w:name="page3"/>
    <w:bookmarkEnd w:id="2"/>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-135255</wp:posOffset>
            </wp:positionV>
            <wp:extent cx="2798445" cy="8360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798445" cy="8360410"/>
                    </a:xfrm>
                    <a:prstGeom prst="rect">
                      <a:avLst/>
                    </a:prstGeom>
                    <a:noFill/>
                  </pic:spPr>
                </pic:pic>
              </a:graphicData>
            </a:graphic>
          </wp:anchor>
        </w:drawing>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4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SAN</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98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5"/>
                <w:szCs w:val="15"/>
                <w:color w:val="auto"/>
              </w:rPr>
              <w:t>(City)</w:t>
            </w:r>
          </w:p>
        </w:tc>
        <w:tc>
          <w:tcPr>
            <w:tcW w:w="980" w:type="dxa"/>
            <w:vAlign w:val="bottom"/>
          </w:tcPr>
          <w:p>
            <w:pPr>
              <w:ind w:left="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spacing w:after="0" w:line="255" w:lineRule="exact"/>
              <w:rPr>
                <w:rFonts w:ascii="Times New Roman" w:cs="Times New Roman" w:eastAsia="Times New Roman" w:hAnsi="Times New Roman"/>
                <w:sz w:val="24"/>
                <w:szCs w:val="24"/>
                <w:color w:val="0000EE"/>
              </w:rPr>
            </w:pPr>
            <w:hyperlink r:id="rId44">
              <w:r>
                <w:rPr>
                  <w:rFonts w:ascii="Times New Roman" w:cs="Times New Roman" w:eastAsia="Times New Roman" w:hAnsi="Times New Roman"/>
                  <w:sz w:val="24"/>
                  <w:szCs w:val="24"/>
                  <w:color w:val="0000EE"/>
                </w:rPr>
                <w:t>Kim David T</w:t>
              </w:r>
            </w:hyperlink>
          </w:p>
        </w:tc>
        <w:tc>
          <w:tcPr>
            <w:tcW w:w="9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5"/>
                <w:szCs w:val="15"/>
                <w:color w:val="auto"/>
              </w:rPr>
              <w:t>(Last)</w:t>
            </w:r>
          </w:p>
        </w:tc>
        <w:tc>
          <w:tcPr>
            <w:tcW w:w="980" w:type="dxa"/>
            <w:vAlign w:val="bottom"/>
          </w:tcPr>
          <w:p>
            <w:pPr>
              <w:ind w:left="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06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25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45">
              <w:r>
                <w:rPr>
                  <w:rFonts w:ascii="Times New Roman" w:cs="Times New Roman" w:eastAsia="Times New Roman" w:hAnsi="Times New Roman"/>
                  <w:sz w:val="24"/>
                  <w:szCs w:val="24"/>
                  <w:color w:val="0000EE"/>
                </w:rPr>
                <w:t>Linn Michael G</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94111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120" w:type="dxa"/>
            <w:vAlign w:val="bottom"/>
            <w:gridSpan w:val="2"/>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12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2"/>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spacing w:after="0" w:line="255" w:lineRule="exact"/>
              <w:rPr>
                <w:rFonts w:ascii="Times New Roman" w:cs="Times New Roman" w:eastAsia="Times New Roman" w:hAnsi="Times New Roman"/>
                <w:sz w:val="24"/>
                <w:szCs w:val="24"/>
                <w:color w:val="0000EE"/>
              </w:rPr>
            </w:pPr>
            <w:hyperlink r:id="rId46">
              <w:r>
                <w:rPr>
                  <w:rFonts w:ascii="Times New Roman" w:cs="Times New Roman" w:eastAsia="Times New Roman" w:hAnsi="Times New Roman"/>
                  <w:sz w:val="24"/>
                  <w:szCs w:val="24"/>
                  <w:color w:val="0000EE"/>
                </w:rPr>
                <w:t>Luo Patrick (Cheng)</w:t>
              </w:r>
            </w:hyperlink>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FARALLON CAPITAL MANAGEMENT,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L.L.C.</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ONE MARITIME PLAZA, SUITE 2100</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9" w:lineRule="auto"/>
        <w:tabs>
          <w:tab w:leader="none" w:pos="1480" w:val="left"/>
          <w:tab w:leader="none" w:pos="286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7"/>
          <w:szCs w:val="17"/>
          <w:color w:val="0000FF"/>
        </w:rPr>
        <w:t>94111</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entities and individuals identified in the footnotes of this Form 3 may be deemed members of a group holding equity securities of Lantheus Holdings, Inc. (the "Issuer"). The filing of this Form 3 and any statements included herein shall not be deemed to be an admission that such entities and individuals are members of such a group.</w:t>
      </w:r>
    </w:p>
    <w:p>
      <w:pPr>
        <w:spacing w:after="0" w:line="17" w:lineRule="exact"/>
        <w:rPr>
          <w:rFonts w:ascii="Times New Roman" w:cs="Times New Roman" w:eastAsia="Times New Roman" w:hAnsi="Times New Roman"/>
          <w:sz w:val="15"/>
          <w:szCs w:val="15"/>
          <w:color w:val="008000"/>
        </w:rPr>
      </w:pPr>
    </w:p>
    <w:p>
      <w:pPr>
        <w:ind w:left="20" w:right="4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Since the number of reporting persons that may be listed on a Form 3 is limited, the entities and individuals listed in these footnotes that are not reporting persons on this Form 3 are filing an additional Form 3 on the date hereof as reporting persons with respect to the securities described herein (the "Parallel Form 3"). Information regarding these entities and individuals is included in this Form 3 for purposes of clarification and convenience only, and is duplicative of the information reported in the Parallel Form 3.</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amount of securities shown in this row is held directly by certain investment funds affiliated with the reporting persons (the "Farallon Funds").</w:t>
      </w:r>
    </w:p>
    <w:p>
      <w:pPr>
        <w:spacing w:after="0" w:line="52" w:lineRule="exact"/>
        <w:rPr>
          <w:rFonts w:ascii="Times New Roman" w:cs="Times New Roman" w:eastAsia="Times New Roman" w:hAnsi="Times New Roman"/>
          <w:sz w:val="15"/>
          <w:szCs w:val="15"/>
          <w:color w:val="008000"/>
        </w:rPr>
      </w:pPr>
    </w:p>
    <w:p>
      <w:pPr>
        <w:jc w:val="both"/>
        <w:ind w:left="20" w:right="10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Farallon Partners, L.L.C. and certain affiliated entities (the "Farallon General Partners"), as general partner or sole member of the general partner, as the case may be, of each of the Farallon Funds, may be deemed to be a beneficial owner of the Issuer's securities held by the Farallon Funds. The Farallon General Partners disclaim any beneficial ownership of any of the Issuer's securities reported or noted herein for purposes of Section 16 of the Securities Exchange Act of 1934, as amended (the "'34 Act"), or otherwise, except to the extent of their pecuniary interest, if any.</w:t>
      </w:r>
    </w:p>
    <w:p>
      <w:pPr>
        <w:spacing w:after="0" w:line="33" w:lineRule="exact"/>
        <w:rPr>
          <w:rFonts w:ascii="Times New Roman" w:cs="Times New Roman" w:eastAsia="Times New Roman" w:hAnsi="Times New Roman"/>
          <w:sz w:val="15"/>
          <w:szCs w:val="15"/>
          <w:color w:val="008000"/>
        </w:rPr>
      </w:pPr>
    </w:p>
    <w:p>
      <w:pPr>
        <w:ind w:left="20" w:right="4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Joshua J. Dapice, Philip D. Dreyfuss, Hannah E. Dunn, Richard B. Fried, Varun N. Gehani, Nicolas Giauque, David T. Kim, Michael G. Linn, Patrick (Cheng) Luo, Rajiv A. Patel, Thomas G. Roberts, Jr., Edric C. Saito, William Seybold, Daniel S. Short, Andrew J. M. Spokes, John R. Warren, and Mark C. Wehrly (collectively, the "Managing Members"), as a managing member or manager, or senior managing member or senior manager, as the case may be, of each of the Farallon General Partners, in each case with the power to exercise investment discretion, may be deemed to be a beneficial owner of the Issuer's securities held by the Farallon Funds. Each of the Managing Members disclaims any beneficial ownership of any of the Issuer's securities reported or noted herein for purposes of Section 16 of the '34 Act or otherwise, except to the extent of his or her pecuniary interest, if any.</w:t>
      </w:r>
    </w:p>
    <w:p>
      <w:pPr>
        <w:sectPr>
          <w:pgSz w:w="11900" w:h="16838" w:orient="portrait"/>
          <w:cols w:equalWidth="0" w:num="1">
            <w:col w:w="10840"/>
          </w:cols>
          <w:pgMar w:left="500" w:top="124" w:right="559" w:bottom="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008000"/>
        </w:rPr>
        <w:t>On a Form 10-Q filed by the Issuer on August 6, 2025, the Issuer disclosed that, as of August 1, 2025, the Issuer had 67,994,149 shares of common stock outstanding. The reporting persons are filing this Form 3 to reflect the fact that, due solely to the reduction in the number of shares of common stock outstanding reflected in such Form 10-Q, the Farallon Funds hold greater than 10.0% of the common stock outstanding. This Form 3 does not reflect any acquisition of common stock by any reporting person. Exhibit List: Exhibit 24 - Powers of Attorney</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Hannah E. Dunn,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Managing Member</w:t>
            </w:r>
          </w:p>
        </w:tc>
        <w:tc>
          <w:tcPr>
            <w:tcW w:w="80" w:type="dxa"/>
            <w:vAlign w:val="bottom"/>
            <w:tcBorders>
              <w:top w:val="single" w:sz="8" w:color="auto"/>
              <w:bottom w:val="single" w:sz="8" w:color="auto"/>
            </w:tcBorders>
            <w:gridSpan w:val="2"/>
            <w:vMerge w:val="restart"/>
          </w:tcPr>
          <w:p>
            <w:pPr>
              <w:spacing w:after="0"/>
              <w:rPr>
                <w:sz w:val="8"/>
                <w:szCs w:val="8"/>
                <w:color w:val="auto"/>
              </w:rPr>
            </w:pPr>
          </w:p>
        </w:tc>
        <w:tc>
          <w:tcPr>
            <w:tcW w:w="6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00" w:type="dxa"/>
            <w:vAlign w:val="bottom"/>
            <w:tcBorders>
              <w:bottom w:val="single" w:sz="8" w:color="auto"/>
            </w:tcBorders>
            <w:gridSpan w:val="2"/>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2180" w:type="dxa"/>
            <w:vAlign w:val="bottom"/>
            <w:gridSpan w:val="6"/>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6"/>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2180" w:type="dxa"/>
            <w:vAlign w:val="bottom"/>
            <w:gridSpan w:val="6"/>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6"/>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Hannah E. Dunn</w:t>
            </w:r>
          </w:p>
        </w:tc>
        <w:tc>
          <w:tcPr>
            <w:tcW w:w="64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Hannah E. Dunn, as</w:t>
            </w:r>
          </w:p>
        </w:tc>
        <w:tc>
          <w:tcPr>
            <w:tcW w:w="38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123"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Joshua J. Dapice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Philip D. Dreyfuss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ectPr>
          <w:pgSz w:w="11900" w:h="16838" w:orient="portrait"/>
          <w:cols w:equalWidth="0" w:num="1">
            <w:col w:w="10940"/>
          </w:cols>
          <w:pgMar w:left="480" w:top="110" w:right="479" w:bottom="313" w:gutter="0" w:footer="0" w:header="0"/>
        </w:sectPr>
      </w:pPr>
    </w:p>
    <w:bookmarkStart w:id="5" w:name="page6"/>
    <w:bookmarkEnd w:id="5"/>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Hannah E. Dunn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Richard B. Fried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37"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3"/>
          <w:szCs w:val="23"/>
          <w:u w:val="single" w:color="auto"/>
          <w:color w:val="auto"/>
        </w:rPr>
        <w:t>/s/ Varun N. Gehani</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ectPr>
          <w:pgSz w:w="11900" w:h="16838" w:orient="portrait"/>
          <w:cols w:equalWidth="0" w:num="1">
            <w:col w:w="10940"/>
          </w:cols>
          <w:pgMar w:left="480" w:top="110" w:right="479" w:bottom="0" w:gutter="0" w:footer="0" w:header="0"/>
        </w:sectPr>
      </w:pPr>
    </w:p>
    <w:bookmarkStart w:id="6" w:name="page7"/>
    <w:bookmarkEnd w:id="6"/>
    <w:p>
      <w:pPr>
        <w:spacing w:after="0" w:line="8"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Nicolas Giauque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3"/>
          <w:szCs w:val="23"/>
          <w:u w:val="single" w:color="auto"/>
          <w:color w:val="auto"/>
        </w:rPr>
        <w:t>/s/ David T. Kim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spacing w:after="0" w:line="200" w:lineRule="exact"/>
        <w:rPr>
          <w:sz w:val="20"/>
          <w:szCs w:val="20"/>
          <w:color w:val="auto"/>
        </w:rPr>
      </w:pPr>
    </w:p>
    <w:p>
      <w:pPr>
        <w:spacing w:after="0" w:line="322"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Michael G. Linn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w:t>
      </w:r>
    </w:p>
    <w:p>
      <w:pPr>
        <w:sectPr>
          <w:pgSz w:w="11900" w:h="16846" w:orient="portrait"/>
          <w:cols w:equalWidth="0" w:num="1">
            <w:col w:w="10940"/>
          </w:cols>
          <w:pgMar w:left="480" w:top="515" w:right="47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4"/>
          <w:szCs w:val="24"/>
          <w:color w:val="auto"/>
        </w:rPr>
        <w:t>or her capacity as a managing member of Farallon Capital Management, L.L.C. and/or Farallon Partners,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with respect to the execution and filing of Filing Documentation.</w:t>
      </w:r>
    </w:p>
    <w:p>
      <w:pPr>
        <w:spacing w:after="0" w:line="200" w:lineRule="exact"/>
        <w:rPr>
          <w:sz w:val="20"/>
          <w:szCs w:val="20"/>
          <w:color w:val="auto"/>
        </w:rPr>
      </w:pPr>
    </w:p>
    <w:p>
      <w:pPr>
        <w:spacing w:after="0" w:line="323" w:lineRule="exact"/>
        <w:rPr>
          <w:sz w:val="20"/>
          <w:szCs w:val="20"/>
          <w:color w:val="auto"/>
        </w:rPr>
      </w:pPr>
    </w:p>
    <w:p>
      <w:pPr>
        <w:spacing w:after="0"/>
        <w:tabs>
          <w:tab w:leader="none" w:pos="8200" w:val="left"/>
        </w:tabs>
        <w:rPr>
          <w:sz w:val="20"/>
          <w:szCs w:val="20"/>
          <w:color w:val="auto"/>
        </w:rPr>
      </w:pPr>
      <w:r>
        <w:rPr>
          <w:rFonts w:ascii="Times New Roman" w:cs="Times New Roman" w:eastAsia="Times New Roman" w:hAnsi="Times New Roman"/>
          <w:sz w:val="24"/>
          <w:szCs w:val="24"/>
          <w:color w:val="auto"/>
        </w:rPr>
        <w:t>Date: December 26, 2024</w:t>
      </w:r>
      <w:r>
        <w:rPr>
          <w:sz w:val="20"/>
          <w:szCs w:val="20"/>
          <w:color w:val="auto"/>
        </w:rPr>
        <w:tab/>
      </w:r>
      <w:r>
        <w:rPr>
          <w:rFonts w:ascii="Times New Roman" w:cs="Times New Roman" w:eastAsia="Times New Roman" w:hAnsi="Times New Roman"/>
          <w:sz w:val="24"/>
          <w:szCs w:val="24"/>
          <w:u w:val="single" w:color="auto"/>
          <w:color w:val="auto"/>
        </w:rPr>
        <w:t>/s/ Patrick (Cheng) Luo</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10" Type="http://schemas.openxmlformats.org/officeDocument/2006/relationships/hyperlink" Target="http://www.sec.gov/cgi-bin/browse-edgar?action=getcompany&amp;CIK=0001040153" TargetMode="External"/><Relationship Id="rId11" Type="http://schemas.openxmlformats.org/officeDocument/2006/relationships/hyperlink" Target="http://www.sec.gov/cgi-bin/browse-edgar?action=getcompany&amp;CIK=0001521036" TargetMode="External"/><Relationship Id="rId13" Type="http://schemas.openxmlformats.org/officeDocument/2006/relationships/hyperlink" Target="http://www.sec.gov/cgi-bin/browse-edgar?action=getcompany&amp;CIK=0001960821" TargetMode="External"/><Relationship Id="rId14" Type="http://schemas.openxmlformats.org/officeDocument/2006/relationships/hyperlink" Target="http://www.sec.gov/cgi-bin/browse-edgar?action=getcompany&amp;CIK=0001693981" TargetMode="External"/><Relationship Id="rId20" Type="http://schemas.openxmlformats.org/officeDocument/2006/relationships/hyperlink" Target="http://www.sec.gov/cgi-bin/browse-edgar?action=getcompany&amp;CIK=0001960890" TargetMode="External"/><Relationship Id="rId26" Type="http://schemas.openxmlformats.org/officeDocument/2006/relationships/hyperlink" Target="http://www.sec.gov/cgi-bin/browse-edgar?action=getcompany&amp;CIK=0001245637" TargetMode="External"/><Relationship Id="rId32" Type="http://schemas.openxmlformats.org/officeDocument/2006/relationships/hyperlink" Target="http://www.sec.gov/cgi-bin/browse-edgar?action=getcompany&amp;CIK=0001904298" TargetMode="External"/><Relationship Id="rId38" Type="http://schemas.openxmlformats.org/officeDocument/2006/relationships/hyperlink" Target="http://www.sec.gov/cgi-bin/browse-edgar?action=getcompany&amp;CIK=0001372970" TargetMode="External"/><Relationship Id="rId44" Type="http://schemas.openxmlformats.org/officeDocument/2006/relationships/hyperlink" Target="http://www.sec.gov/cgi-bin/browse-edgar?action=getcompany&amp;CIK=0001595643" TargetMode="External"/><Relationship Id="rId45" Type="http://schemas.openxmlformats.org/officeDocument/2006/relationships/hyperlink" Target="http://www.sec.gov/cgi-bin/browse-edgar?action=getcompany&amp;CIK=0001495856" TargetMode="External"/><Relationship Id="rId46" Type="http://schemas.openxmlformats.org/officeDocument/2006/relationships/hyperlink" Target="http://www.sec.gov/cgi-bin/browse-edgar?action=getcompany&amp;CIK=0002054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2025-08-18T15:08:05Z</dcterms:created>
  <dcterms:modified xsi:type="dcterms:W3CDTF">2025-08-18T15:08:05Z</dcterms:modified>
</cp:coreProperties>
</file>