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left"/>
              <w:rPr/>
            </w:pPr>
            <w:r>
              <w:rPr/>
              <w:t xml:space="preserve">UNDER THE SECURITIES EXCHANGE ACT OF 1934 </w:t>
            </w:r>
          </w:p>
        </w:tc>
      </w:tr>
      <w:tr>
        <w:trPr/>
        <w:tc>
          <w:tcPr>
            <w:tcW w:w="598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Lantheus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Common Stock, par value $0.01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Master,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5,583,479.00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5,583,479.00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5,583,479.00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Lantheus Holdings,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Burlington Road, South Building, Bedford, Massachusetts 01730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(ii) The following persons, each of whom is a managing member or senior managing member, as the case may be, of the Investment Manager, with respect to the Shares held by the Farallon Funds: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Shares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(viii) Farallon Capital F5 Master I, L.P., a Cayman Islands exempted limited partnership ("F5MI"); and (ix) Farallon Healthcare Partners Master, L.P., a Cayman Islands exempted limited partnership ("FHPM"). FCP, FCIP, FCIP II, FCIP III, FCIP V, FCOI II, FCAMI, F5MI and FHPM are together referred to herein as the "Farallon Funds."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of Farallon Partners, L.L.C., Farallon Institutional (GP) V, L.L.C., Farallon F5 (GP), L.L.C, and Farallon Healthcare Partners (GP), L.L.C. has executed this statement in Mill Valley, California, on behalf of itself and each fund for which it is the general partner.</w:t>
      </w:r>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8" w:name="jas.htm"/>
      <w:bookmarkStart w:id="129" w:name="ksjas"/>
      <w:bookmarkEnd w:id="128"/>
      <w:bookmarkEnd w:id="129"/>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pPr>
      <w:r>
        <w:rPr>
          <w:spacing w:val="0"/>
          <w:sz w:val="20"/>
        </w:rPr>
        <w:t>Dated: August 13, 2026</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w:t>
            </w:r>
            <w:r>
              <w:rPr>
                <w:spacing w:val="0"/>
                <w:sz w:val="20"/>
              </w:rPr>
              <w:t>, </w:t>
            </w:r>
            <w:r>
              <w:rPr>
                <w:sz w:val="20"/>
              </w:rPr>
              <w:t>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5371</Words>
  <Characters>27798</Characters>
  <CharactersWithSpaces>32612</CharactersWithSpaces>
  <Paragraphs>1471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