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1124"/>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01862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19, 2021, John Bolla informed Lantheus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of his intention to resign as the Chief Operations Officer of the Company and its subsidiaries, effective as of August 6, 2021 to pursue other opportunities. Mr. Bolla’s resignation is not due to a disagreement with the Company, the Board of Directors of the Company or management on any matter relating to the Company’s operations, policies or practices. A search process is underway for the Company’s next operations leader.</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July 21, 2021, the Board of Directors of the Company appointed Andrea Sabens as the principal accounting officer of the Company and its subsidiaries, effective July 21,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Robert J. Marshall, Jr., the Company’s Chief Financial Officer and principal financial officer, will no longer serve as principal accounting officer of the Company as of the Effective Date.</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Ms. Sabens brings to the Company nearly 20 years of accounting and finance experience. Ms. Sabens, age 42, joined the Company in 2009 and has served in positions of increasing responsibilities, including just prior to becoming the Chief Accounting Officer, as Vice President, Finance, and prior to that as Sr. Director Financial Planning and Analysis and has had leadership and oversight of the Controllership, Financial Planning and Analysis, Tax, Treasury and shared services related functions. Prior to joining the Company, Ms. Sabens held progressive financial management roles at Presstek, Inc. and Graphic Packaging International, and served as an Audit Senior for Ernst &amp; Young. Ms. Sabens earned a Bachelor of Science in Business Administration from the University of New Hampshire, a Master of Business Administration and Master of Science in Organizational Leadership from Southern New Hampshire University, and is a licensed Certified Public Accountant in the state of New Hampshire.</w:t>
      </w:r>
    </w:p>
    <w:p>
      <w:pPr>
        <w:spacing w:after="0" w:line="166"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There are no arrangements or understandings between Ms. Sabens and any other persons pursuant to which she was appointed as principal accounting officer, there are no family relationships among any of the Company’s directors or executive officers and Ms. Sabens and she has no direct or indirect material interest in any transaction required to be disclosed pursuant to Item 404(a) of Regulation S-K.</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LANTHEUS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Niedzwiecki</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2021</w:t>
      </w:r>
    </w:p>
    <w:sectPr>
      <w:pgSz w:w="11900" w:h="16838" w:orient="portrait"/>
      <w:cols w:equalWidth="0" w:num="1">
        <w:col w:w="10300"/>
      </w:cols>
      <w:pgMar w:left="440" w:top="297"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2021-07-23T09:11:07Z</dcterms:created>
  <dcterms:modified xsi:type="dcterms:W3CDTF">2021-07-23T09:11:07Z</dcterms:modified>
</cp:coreProperties>
</file>