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3"/>
            <w:vMerge w:val="restart"/>
          </w:tcPr>
          <w:p>
            <w:pPr>
              <w:spacing w:after="0"/>
              <w:rPr>
                <w:rFonts w:ascii="Arial" w:cs="Arial" w:eastAsia="Arial" w:hAnsi="Arial"/>
                <w:sz w:val="22"/>
                <w:szCs w:val="22"/>
                <w:color w:val="0000EE"/>
                <w:w w:val="93"/>
              </w:rPr>
            </w:pPr>
            <w:hyperlink r:id="rId12">
              <w:r>
                <w:rPr>
                  <w:rFonts w:ascii="Arial" w:cs="Arial" w:eastAsia="Arial" w:hAnsi="Arial"/>
                  <w:sz w:val="22"/>
                  <w:szCs w:val="22"/>
                  <w:color w:val="0000EE"/>
                  <w:w w:val="93"/>
                </w:rPr>
                <w:t>McHugh Julie</w:t>
              </w:r>
            </w:hyperlink>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Lantheus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LNTH</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gridSpan w:val="2"/>
            <w:vMerge w:val="restart"/>
          </w:tcPr>
          <w:p>
            <w:pPr>
              <w:ind w:left="140"/>
              <w:spacing w:after="0" w:line="157" w:lineRule="exact"/>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C/O LANTHEUS HOLDINGS, INC.</w:t>
            </w: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06/25/2018</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0" w:type="dxa"/>
            <w:vAlign w:val="bottom"/>
            <w:gridSpan w:val="7"/>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331 TREBLE COVE ROAD</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7"/>
          </w:tcPr>
          <w:p>
            <w:pPr>
              <w:spacing w:after="0" w:line="155" w:lineRule="exact"/>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60" w:type="dxa"/>
            <w:vAlign w:val="bottom"/>
            <w:gridSpan w:val="7"/>
          </w:tcPr>
          <w:p>
            <w:pPr>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spacing w:after="0"/>
              <w:rPr>
                <w:sz w:val="20"/>
                <w:szCs w:val="20"/>
                <w:color w:val="auto"/>
              </w:rPr>
            </w:pPr>
            <w:r>
              <w:rPr>
                <w:rFonts w:ascii="Arial" w:cs="Arial" w:eastAsia="Arial" w:hAnsi="Arial"/>
                <w:sz w:val="18"/>
                <w:szCs w:val="18"/>
                <w:color w:val="0000FF"/>
                <w:w w:val="99"/>
              </w:rPr>
              <w:t>NORTH</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8"/>
                <w:szCs w:val="18"/>
                <w:color w:val="0000FF"/>
              </w:rPr>
              <w:t>MA</w:t>
            </w:r>
          </w:p>
        </w:tc>
        <w:tc>
          <w:tcPr>
            <w:tcW w:w="1200" w:type="dxa"/>
            <w:vAlign w:val="bottom"/>
            <w:vMerge w:val="restart"/>
          </w:tcPr>
          <w:p>
            <w:pPr>
              <w:spacing w:after="0"/>
              <w:rPr>
                <w:sz w:val="20"/>
                <w:szCs w:val="20"/>
                <w:color w:val="auto"/>
              </w:rPr>
            </w:pPr>
            <w:r>
              <w:rPr>
                <w:rFonts w:ascii="Arial" w:cs="Arial" w:eastAsia="Arial" w:hAnsi="Arial"/>
                <w:sz w:val="18"/>
                <w:szCs w:val="18"/>
                <w:color w:val="0000FF"/>
              </w:rPr>
              <w:t>01862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3"/>
            <w:vMerge w:val="restart"/>
          </w:tcPr>
          <w:p>
            <w:pPr>
              <w:spacing w:after="0" w:line="170" w:lineRule="exact"/>
              <w:rPr>
                <w:sz w:val="20"/>
                <w:szCs w:val="20"/>
                <w:color w:val="auto"/>
              </w:rPr>
            </w:pPr>
            <w:r>
              <w:rPr>
                <w:rFonts w:ascii="Arial" w:cs="Arial" w:eastAsia="Arial" w:hAnsi="Arial"/>
                <w:sz w:val="18"/>
                <w:szCs w:val="18"/>
                <w:color w:val="0000FF"/>
              </w:rPr>
              <w:t>BILLERICA</w:t>
            </w:r>
          </w:p>
        </w:tc>
        <w:tc>
          <w:tcPr>
            <w:tcW w:w="128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9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280" w:type="dxa"/>
            <w:vAlign w:val="bottom"/>
            <w:tcBorders>
              <w:bottom w:val="single" w:sz="8" w:color="9A9A9A"/>
            </w:tcBorders>
            <w:gridSpan w:val="2"/>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4"/>
          </w:tcPr>
          <w:p>
            <w:pPr>
              <w:spacing w:after="0"/>
              <w:rPr>
                <w:sz w:val="11"/>
                <w:szCs w:val="11"/>
                <w:color w:val="auto"/>
              </w:rPr>
            </w:pPr>
          </w:p>
        </w:tc>
        <w:tc>
          <w:tcPr>
            <w:tcW w:w="18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8"/>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7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4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w w:val="95"/>
              </w:rPr>
              <w:t>Price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06/25/2018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4,560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4"/>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14.72</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14,752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8"/>
          </w:tcPr>
          <w:p>
            <w:pPr>
              <w:jc w:val="center"/>
              <w:ind w:left="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gridSpan w:val="15"/>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transactions reported in this Form 4 were effected pursuant to a Rule 10b5-1 trading plan adopted by the reporting person on May 24, 2018.</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$14.55 to $15.00, inclusive. The reporting person undertakes to provide to Lantheus Holdings, Inc., ("LNTH") any security holder of LNTH or the staff of the Securities and Exchange Commission ("SEC"), upon request, full information regarding the number of shares sold at each separate price within the ranges set forth in this footnote (2) to this Form 4.</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Michael P. Duffy, attorney-</w:t>
            </w:r>
          </w:p>
        </w:tc>
        <w:tc>
          <w:tcPr>
            <w:tcW w:w="10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06/27/2018</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87179"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2019-12-23T15:57:15Z</dcterms:created>
  <dcterms:modified xsi:type="dcterms:W3CDTF">2019-12-23T15:57:15Z</dcterms:modified>
</cp:coreProperties>
</file>