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Filed by Lantheus Holdings,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Pursuant to Rule 425 of the Securities Act of 1933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and deemed filed pursuant to Rule 14a-12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Subject Company: Progenics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Commission File No.: 000 – 23143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40" w:right="1039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The following is a slide deck relating to the proposed transaction involving Lantheus Holdings, Inc. and Progenics Pharmaceuticals, Inc. available at </w:t>
      </w:r>
      <w:r>
        <w:rPr>
          <w:rFonts w:ascii="Arial" w:cs="Arial" w:eastAsia="Arial" w:hAnsi="Arial"/>
          <w:sz w:val="12"/>
          <w:szCs w:val="12"/>
          <w:u w:val="single" w:color="auto"/>
          <w:color w:val="auto"/>
        </w:rPr>
        <w:t>www.lantheusprogenics.transactionannouncement.com</w:t>
      </w:r>
      <w:r>
        <w:rPr>
          <w:rFonts w:ascii="Arial" w:cs="Arial" w:eastAsia="Arial" w:hAnsi="Arial"/>
          <w:sz w:val="12"/>
          <w:szCs w:val="12"/>
          <w:color w:val="auto"/>
        </w:rPr>
        <w:t>.</w:t>
      </w:r>
    </w:p>
    <w:p>
      <w:pPr>
        <w:sectPr>
          <w:pgSz w:w="11900" w:h="16838" w:orient="portrait"/>
          <w:cols w:equalWidth="0" w:num="1">
            <w:col w:w="9019"/>
          </w:cols>
          <w:pgMar w:left="1440" w:top="203" w:right="1440" w:bottom="1440" w:gutter="0" w:footer="0" w:header="0"/>
        </w:sectPr>
      </w:pPr>
    </w:p>
    <w:bookmarkStart w:id="1" w:name="page2"/>
    <w:bookmarkEnd w:id="1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2019-11-28T07:50:24Z</dcterms:created>
  <dcterms:modified xsi:type="dcterms:W3CDTF">2019-11-28T07:50:24Z</dcterms:modified>
</cp:coreProperties>
</file>