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008ddefa14a.htm"/>
      <w:bookmarkStart w:id="1" w:name="ksd7200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September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001-36569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35-2318913</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201 Burlington Road</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South Building</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Bedford,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01730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(978) 671-8001 </w:t>
      </w:r>
    </w:p>
    <w:p>
      <w:pPr>
        <w:pStyle w:val="TextBody"/>
        <w:bidi w:val="0"/>
        <w:spacing w:before="18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LNTH</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As previously disclosed, 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including the expiration or termination of the applicable waiting period under the Hart-Scott-Rodino Antitrust Improvements Act of 1976, as amended (the “</w:t>
      </w:r>
      <w:r>
        <w:rPr>
          <w:rFonts w:ascii="Times New Roman" w:hAnsi="Times New Roman"/>
          <w:b/>
          <w:i/>
          <w:sz w:val="20"/>
        </w:rPr>
        <w:t>HSR Act</w:t>
      </w:r>
      <w:r>
        <w:rPr>
          <w:rFonts w:ascii="Times New Roman" w:hAnsi="Times New Roman"/>
          <w:sz w:val="20"/>
        </w:rPr>
        <w:t>”),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As part of the parties’ continuing cooperation with the regulatory review of the Merger, on September 17, 2026, Parent, as the acquiring party, in consultation with the Company, voluntarily withdrew its pre-merger Notification and Report Form filed pursuant to the HSR Act, in order to provide the Federal Trade Commission (the “</w:t>
      </w:r>
      <w:r>
        <w:rPr>
          <w:rFonts w:ascii="Times New Roman" w:hAnsi="Times New Roman"/>
          <w:b/>
          <w:i/>
          <w:sz w:val="20"/>
        </w:rPr>
        <w:t>FTC</w:t>
      </w:r>
      <w:r>
        <w:rPr>
          <w:rFonts w:ascii="Times New Roman" w:hAnsi="Times New Roman"/>
          <w:sz w:val="20"/>
        </w:rPr>
        <w:t xml:space="preserve">”) with additional time to review the Merger. Parent resubmitted its pre-merger Notification and Report Form on September 21, 2026, commencing a new 30-day waiting period under the HSR Act, which will expire on October 21, 2026, at 11:59 p.m., Eastern Time, unless terminated earlier or extended. This statutory waiting period may be extended if the FTC issues a request for additional information and documentary material. </w:t>
      </w:r>
    </w:p>
    <w:p>
      <w:pPr>
        <w:pStyle w:val="TextBody"/>
        <w:bidi w:val="0"/>
        <w:spacing w:before="240" w:after="0"/>
        <w:jc w:val="left"/>
        <w:rPr>
          <w:rFonts w:ascii="Times New Roman" w:hAnsi="Times New Roman"/>
          <w:sz w:val="20"/>
        </w:rPr>
      </w:pPr>
      <w:r>
        <w:rPr>
          <w:rFonts w:ascii="Times New Roman" w:hAnsi="Times New Roman"/>
          <w:sz w:val="20"/>
        </w:rPr>
        <w:t xml:space="preserve">Withdrawing and refiling pre-merger notifications is a routine procedure in order to provide additional time for antitrust review of certain transactions. The Company and Parent continue to work constructively with the FTC staff in the FTC’s review of the Merger and continue to expect to consummate the Merger in the first half of 2027, subject to the receipt of required regulatory approvals, the adoption of the Merger Agreement by the Company’s stockholders, and the satisfaction or waiver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acquisition of the Company by Parent, the Company filed a definitive proxy statement with the Securities and Exchange Commission (the “</w:t>
      </w:r>
      <w:r>
        <w:rPr>
          <w:rFonts w:ascii="Times New Roman" w:hAnsi="Times New Roman"/>
          <w:b/>
          <w:i/>
          <w:sz w:val="20"/>
        </w:rPr>
        <w:t>SEC</w:t>
      </w:r>
      <w:r>
        <w:rPr>
          <w:rFonts w:ascii="Times New Roman" w:hAnsi="Times New Roman"/>
          <w:sz w:val="20"/>
        </w:rPr>
        <w:t xml:space="preserve">”) on September 8, 2026. This document is not a substitute for the definitive proxy statement or any other document that may be filed by the Company with the SEC. THE COMPANY’S STOCKHOLDERS AND INVESTORS ARE URGED TO READ THE DEFINITIVE PROXY STATEMENT IN ITS ENTIRETY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are able to obtain a free copy of the proxy statement and such other documents containing important information about the Company and Parent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definitive proxy statement. To the extent holdings of the Company’s securities by its directors or executive officers have changed since the amounts set forth in the definitive proxy statement, such changes have been or will be reflected on Initial Statements of Beneficial Ownership of Securities on Form 3 or Statements of Changes in Beneficial Ownership of Securities on Form 4 filed with the SEC. These documents may be obtained free of charge from the SEC’s website at www.sec.gov and the Company’s website at https://investor.lantheus.com/. The contents of the websites referenced herein are not deemed to be incorporated by reference into the proxy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positron emission tomography (“</w:t>
      </w:r>
      <w:r>
        <w:rPr>
          <w:rFonts w:ascii="Times New Roman" w:hAnsi="Times New Roman"/>
          <w:b/>
          <w:i/>
          <w:sz w:val="20"/>
        </w:rPr>
        <w:t>PET</w:t>
      </w:r>
      <w:r>
        <w:rPr>
          <w:rFonts w:ascii="Times New Roman" w:hAnsi="Times New Roman"/>
          <w:sz w:val="20"/>
        </w:rPr>
        <w: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Company’s ability to launch as a new commercial product TAUKLARIFY (also referred to as MK-6240), a radiodiagnostic agent indicated for PET of the brain in adults with cognitive impairment who are being evaluated for Alzheimer’s disease to identify patients with tau neurofibrillary tangle pathology approved by the FDA on August 14, 2026, obtain FDA approval for each PMF to manufacture TAUKLARIFY, obtain adequate coding, coverage and payment, including transitional pass-through payment status, for TAUKLARIFY and have customers adopt TAUKLARIFY;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Neuraceq, TAUKLARIFY,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NAV-4694 as an approved product;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HOLDINGS,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Daniel M. Niedzwiecki</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September 21,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2517</Words>
  <Characters>14563</Characters>
  <CharactersWithSpaces>17100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