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5266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2660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Heino Mary Anne</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06/25/2015</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2"/>
        <w:spacing w:after="0"/>
        <w:rPr>
          <w:sz w:val="20"/>
          <w:szCs w:val="20"/>
          <w:color w:val="auto"/>
        </w:rPr>
      </w:pPr>
      <w:r>
        <w:rPr>
          <w:rFonts w:ascii="Arial" w:cs="Arial" w:eastAsia="Arial" w:hAnsi="Arial"/>
          <w:sz w:val="17"/>
          <w:szCs w:val="17"/>
          <w:color w:val="0000FF"/>
        </w:rPr>
        <w:t>Chief Operating Officer</w:t>
      </w:r>
    </w:p>
    <w:p>
      <w:pPr>
        <w:spacing w:after="0" w:line="559" w:lineRule="exact"/>
        <w:rPr>
          <w:sz w:val="24"/>
          <w:szCs w:val="24"/>
          <w:color w:val="auto"/>
        </w:rPr>
      </w:pPr>
    </w:p>
    <w:p>
      <w:pPr>
        <w:sectPr>
          <w:pgSz w:w="11900" w:h="16838" w:orient="portrait"/>
          <w:cols w:equalWidth="0" w:num="3">
            <w:col w:w="3340" w:space="720"/>
            <w:col w:w="3268" w:space="720"/>
            <w:col w:w="3472"/>
          </w:cols>
          <w:pgMar w:left="240" w:top="224"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01862</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19.11</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06/25/2015</w:t>
            </w:r>
          </w:p>
        </w:tc>
        <w:tc>
          <w:tcPr>
            <w:tcW w:w="1120" w:type="dxa"/>
            <w:vAlign w:val="bottom"/>
          </w:tcPr>
          <w:p>
            <w:pPr>
              <w:spacing w:after="0"/>
              <w:rPr>
                <w:sz w:val="17"/>
                <w:szCs w:val="17"/>
                <w:color w:val="auto"/>
              </w:rPr>
            </w:pPr>
          </w:p>
        </w:tc>
        <w:tc>
          <w:tcPr>
            <w:tcW w:w="820" w:type="dxa"/>
            <w:vAlign w:val="bottom"/>
          </w:tcPr>
          <w:p>
            <w:pPr>
              <w:ind w:left="100"/>
              <w:spacing w:after="0" w:line="207"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(1)</w:t>
            </w:r>
          </w:p>
        </w:tc>
        <w:tc>
          <w:tcPr>
            <w:tcW w:w="500" w:type="dxa"/>
            <w:vAlign w:val="bottom"/>
          </w:tcPr>
          <w:p>
            <w:pPr>
              <w:spacing w:after="0"/>
              <w:rPr>
                <w:sz w:val="17"/>
                <w:szCs w:val="17"/>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11,121</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04/15/2023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11,121</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jc w:val="right"/>
              <w:ind w:right="359"/>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19.11</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06/25/2015</w:t>
            </w:r>
          </w:p>
        </w:tc>
        <w:tc>
          <w:tcPr>
            <w:tcW w:w="1120" w:type="dxa"/>
            <w:vAlign w:val="bottom"/>
          </w:tcPr>
          <w:p>
            <w:pPr>
              <w:spacing w:after="0"/>
              <w:rPr>
                <w:sz w:val="16"/>
                <w:szCs w:val="16"/>
                <w:color w:val="auto"/>
              </w:rPr>
            </w:pPr>
          </w:p>
        </w:tc>
        <w:tc>
          <w:tcPr>
            <w:tcW w:w="820" w:type="dxa"/>
            <w:vAlign w:val="bottom"/>
          </w:tcPr>
          <w:p>
            <w:pPr>
              <w:ind w:left="100"/>
              <w:spacing w:after="0" w:line="193" w:lineRule="exact"/>
              <w:rPr>
                <w:sz w:val="20"/>
                <w:szCs w:val="20"/>
                <w:color w:val="auto"/>
              </w:rPr>
            </w:pPr>
            <w:r>
              <w:rPr>
                <w:rFonts w:ascii="Arial" w:cs="Arial" w:eastAsia="Arial" w:hAnsi="Arial"/>
                <w:sz w:val="22"/>
                <w:szCs w:val="22"/>
                <w:color w:val="0000FF"/>
                <w:vertAlign w:val="subscript"/>
              </w:rPr>
              <w:t>A</w:t>
            </w:r>
            <w:r>
              <w:rPr>
                <w:rFonts w:ascii="Arial" w:cs="Arial" w:eastAsia="Arial" w:hAnsi="Arial"/>
                <w:sz w:val="10"/>
                <w:szCs w:val="10"/>
                <w:color w:val="008000"/>
              </w:rPr>
              <w:t>(1)</w:t>
            </w:r>
          </w:p>
        </w:tc>
        <w:tc>
          <w:tcPr>
            <w:tcW w:w="500" w:type="dxa"/>
            <w:vAlign w:val="bottom"/>
          </w:tcPr>
          <w:p>
            <w:pPr>
              <w:ind w:left="80"/>
              <w:spacing w:after="0"/>
              <w:rPr>
                <w:sz w:val="20"/>
                <w:szCs w:val="20"/>
                <w:color w:val="auto"/>
              </w:rPr>
            </w:pPr>
            <w:r>
              <w:rPr>
                <w:rFonts w:ascii="Arial" w:cs="Arial" w:eastAsia="Arial" w:hAnsi="Arial"/>
                <w:sz w:val="13"/>
                <w:szCs w:val="13"/>
                <w:color w:val="0000FF"/>
              </w:rPr>
              <w:t>11,121</w:t>
            </w:r>
          </w:p>
        </w:tc>
        <w:tc>
          <w:tcPr>
            <w:tcW w:w="5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04/15/2023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line="194" w:lineRule="exact"/>
              <w:rPr>
                <w:sz w:val="20"/>
                <w:szCs w:val="20"/>
                <w:color w:val="auto"/>
              </w:rPr>
            </w:pPr>
            <w:r>
              <w:rPr>
                <w:rFonts w:ascii="Arial" w:cs="Arial" w:eastAsia="Arial" w:hAnsi="Arial"/>
                <w:sz w:val="17"/>
                <w:szCs w:val="17"/>
                <w:color w:val="0000FF"/>
                <w:w w:val="99"/>
              </w:rPr>
              <w:t>11,121</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jc w:val="right"/>
              <w:ind w:right="219"/>
              <w:spacing w:after="0"/>
              <w:rPr>
                <w:sz w:val="20"/>
                <w:szCs w:val="20"/>
                <w:color w:val="auto"/>
              </w:rPr>
            </w:pPr>
            <w:r>
              <w:rPr>
                <w:rFonts w:ascii="Arial" w:cs="Arial" w:eastAsia="Arial" w:hAnsi="Arial"/>
                <w:sz w:val="13"/>
                <w:szCs w:val="13"/>
                <w:color w:val="0000FF"/>
              </w:rPr>
              <w:t>11,121</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6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6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an amendment applicable to outstanding unvested options, resulting in the deemed cancellation of the "old" options and the grant of replacement options. The options were originally granted on April 15, 2013 and provide for vesting in up to four equal annual installments, based on the level of LNTH's satisfaction of certain performance criteria for each of fiscal years 2013, 2014, 2015 and 2016. The amendment provides for additional vesting on the third anniversary of the amendment date (or the day before any earlier expiration) of any options that remain unvested at that time.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Michael P. Duffy,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06/25/2015</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2019-12-09T00:13:35Z</dcterms:created>
  <dcterms:modified xsi:type="dcterms:W3CDTF">2019-12-09T00:13:35Z</dcterms:modified>
</cp:coreProperties>
</file>