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8825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88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DUFFY MICHAEL P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LANTHEUS HOLDINGS, INC.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331 TREBLE COVE ROAD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0"/>
          <w:szCs w:val="20"/>
          <w:color w:val="0000EE"/>
        </w:rPr>
      </w:pPr>
      <w:hyperlink r:id="rId13">
        <w:r>
          <w:rPr>
            <w:rFonts w:ascii="Arial" w:cs="Arial" w:eastAsia="Arial" w:hAnsi="Arial"/>
            <w:sz w:val="20"/>
            <w:szCs w:val="20"/>
            <w:u w:val="single" w:color="auto"/>
            <w:color w:val="0000EE"/>
          </w:rPr>
          <w:t>Lantheus Holdings, Inc.</w:t>
        </w:r>
        <w:r>
          <w:rPr>
            <w:rFonts w:ascii="Arial" w:cs="Arial" w:eastAsia="Arial" w:hAnsi="Arial"/>
            <w:sz w:val="20"/>
            <w:szCs w:val="20"/>
            <w:color w:val="0000EE"/>
          </w:rPr>
          <w:t xml:space="preserve"> </w:t>
        </w:r>
      </w:hyperlink>
      <w:r>
        <w:rPr>
          <w:rFonts w:ascii="Arial" w:cs="Arial" w:eastAsia="Arial" w:hAnsi="Arial"/>
          <w:sz w:val="20"/>
          <w:szCs w:val="20"/>
          <w:color w:val="000000"/>
        </w:rPr>
        <w:t>[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16"/>
          <w:szCs w:val="16"/>
          <w:color w:val="0000FF"/>
        </w:rPr>
        <w:t>LNTH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20"/>
          <w:szCs w:val="20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03/06/2020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66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SVP and General Counsel</w:t>
      </w:r>
    </w:p>
    <w:p>
      <w:pPr>
        <w:spacing w:after="0" w:line="56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136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1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NORTH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MA</w:t>
            </w:r>
          </w:p>
        </w:tc>
        <w:tc>
          <w:tcPr>
            <w:tcW w:w="160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01862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BILLERICA</w:t>
            </w: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49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00" w:type="dxa"/>
            <w:vAlign w:val="bottom"/>
            <w:gridSpan w:val="5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5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4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03/06/2020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1,936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14.581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140,600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9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 w:right="360" w:firstLine="7"/>
        <w:spacing w:after="0" w:line="250" w:lineRule="auto"/>
        <w:tabs>
          <w:tab w:leader="none" w:pos="173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Company requires certain senior executives to cover tax liabilities resulting from the vesting of their equity awards pursuant to sell-to-cover transactions in compliance with Rule 10b5-1. The transactions reported in this Form 4 were effected in compliance with Rule 10b5-1 to satisfy withholding tax liabilities of the Reporting Person associated with the vesting of restricted stock previously granted and reported on a previously filed Form 4.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4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/s/ Michael P. Duffy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03/10/2020</w:t>
            </w:r>
          </w:p>
        </w:tc>
      </w:tr>
      <w:tr>
        <w:trPr>
          <w:trHeight w:val="20"/>
        </w:trPr>
        <w:tc>
          <w:tcPr>
            <w:tcW w:w="14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237200" TargetMode="External"/><Relationship Id="rId13" Type="http://schemas.openxmlformats.org/officeDocument/2006/relationships/hyperlink" Target="http://www.sec.gov/cgi-bin/browse-edgar?action=getcompany&amp;CIK=0001521036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2020-03-10T15:31:48Z</dcterms:created>
  <dcterms:modified xsi:type="dcterms:W3CDTF">2020-03-10T15:31:48Z</dcterms:modified>
</cp:coreProperties>
</file>