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LANTHEUS MEDICAL IMAGING,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331 Treble Cove Road, Building 600-2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North Billerica, MA 01862</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29, 2010</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&amp; FACSIMILE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Mr. Jeffrey Riedler</w:t>
      </w:r>
    </w:p>
    <w:p>
      <w:pPr>
        <w:spacing w:after="0" w:line="207" w:lineRule="exact"/>
        <w:rPr>
          <w:sz w:val="24"/>
          <w:szCs w:val="24"/>
          <w:color w:val="auto"/>
        </w:rPr>
      </w:pPr>
    </w:p>
    <w:tbl>
      <w:tblPr>
        <w:tblLayout w:type="fixed"/>
        <w:tblInd w:w="100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b w:val="1"/>
                <w:bCs w:val="1"/>
                <w:color w:val="auto"/>
              </w:rPr>
              <w:t>Re:</w:t>
            </w:r>
          </w:p>
        </w:tc>
        <w:tc>
          <w:tcPr>
            <w:tcW w:w="3620" w:type="dxa"/>
            <w:vAlign w:val="bottom"/>
          </w:tcPr>
          <w:p>
            <w:pPr>
              <w:spacing w:after="0"/>
              <w:rPr>
                <w:sz w:val="20"/>
                <w:szCs w:val="20"/>
                <w:color w:val="auto"/>
              </w:rPr>
            </w:pPr>
            <w:r>
              <w:rPr>
                <w:rFonts w:ascii="Arial" w:cs="Arial" w:eastAsia="Arial" w:hAnsi="Arial"/>
                <w:sz w:val="18"/>
                <w:szCs w:val="18"/>
                <w:b w:val="1"/>
                <w:bCs w:val="1"/>
                <w:color w:val="auto"/>
              </w:rPr>
              <w:t>Lantheus Medical Imaging, Inc.</w:t>
            </w:r>
          </w:p>
        </w:tc>
      </w:tr>
      <w:tr>
        <w:trPr>
          <w:trHeight w:val="216"/>
        </w:trPr>
        <w:tc>
          <w:tcPr>
            <w:tcW w:w="7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b w:val="1"/>
                <w:bCs w:val="1"/>
                <w:color w:val="auto"/>
              </w:rPr>
              <w:t>Registration Statement on Form S-4</w:t>
            </w:r>
          </w:p>
        </w:tc>
      </w:tr>
      <w:tr>
        <w:trPr>
          <w:trHeight w:val="234"/>
        </w:trPr>
        <w:tc>
          <w:tcPr>
            <w:tcW w:w="700" w:type="dxa"/>
            <w:vAlign w:val="bottom"/>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File No. 333-169785</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120" w:firstLine="1297"/>
        <w:spacing w:after="0" w:line="277" w:lineRule="auto"/>
        <w:rPr>
          <w:sz w:val="20"/>
          <w:szCs w:val="20"/>
          <w:color w:val="auto"/>
        </w:rPr>
      </w:pPr>
      <w:r>
        <w:rPr>
          <w:rFonts w:ascii="Arial" w:cs="Arial" w:eastAsia="Arial" w:hAnsi="Arial"/>
          <w:sz w:val="18"/>
          <w:szCs w:val="18"/>
          <w:color w:val="auto"/>
        </w:rPr>
        <w:t>We refer to the registration statement on Form S-4 (File No. 333-169785) (as amended, the “Registration Statement”) of Lantheus Medical Imaging, Inc. (the “Company”), relating to the registration of its 9.750% Senior Notes due 2017.</w:t>
      </w:r>
    </w:p>
    <w:p>
      <w:pPr>
        <w:spacing w:after="0" w:line="170" w:lineRule="exact"/>
        <w:rPr>
          <w:sz w:val="24"/>
          <w:szCs w:val="24"/>
          <w:color w:val="auto"/>
        </w:rPr>
      </w:pPr>
    </w:p>
    <w:p>
      <w:pPr>
        <w:ind w:right="160" w:firstLine="1297"/>
        <w:spacing w:after="0" w:line="264" w:lineRule="auto"/>
        <w:rPr>
          <w:sz w:val="20"/>
          <w:szCs w:val="20"/>
          <w:color w:val="auto"/>
        </w:rPr>
      </w:pPr>
      <w:r>
        <w:rPr>
          <w:rFonts w:ascii="Arial" w:cs="Arial" w:eastAsia="Arial" w:hAnsi="Arial"/>
          <w:sz w:val="18"/>
          <w:szCs w:val="18"/>
          <w:color w:val="auto"/>
        </w:rPr>
        <w:t>Pursuant to Rule 461 under the Securities Act of 1933, as amended (the “Securities Act”), the Company hereby requests that the effectiveness of the Registration Statement be accelerated so that it may become effective at 5:00 PM (Eastern time) on Thursday, December 30, 2010, or as soon as practicable thereafter.</w:t>
      </w:r>
    </w:p>
    <w:p>
      <w:pPr>
        <w:spacing w:after="0" w:line="181"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The Company hereby acknowledges the following:</w:t>
      </w:r>
    </w:p>
    <w:p>
      <w:pPr>
        <w:spacing w:after="0" w:line="225" w:lineRule="exact"/>
        <w:rPr>
          <w:sz w:val="24"/>
          <w:szCs w:val="24"/>
          <w:color w:val="auto"/>
        </w:rPr>
      </w:pPr>
    </w:p>
    <w:p>
      <w:pPr>
        <w:ind w:firstLine="1305"/>
        <w:spacing w:after="0" w:line="277" w:lineRule="auto"/>
        <w:tabs>
          <w:tab w:leader="none" w:pos="2017"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Securities and Exchange Commission (the “Commission”) or the staff of the Commission, acting pursuant to delegated authority, declare the filing effective, it does not foreclose the Commission from taking any action with respect to the filing;</w:t>
      </w:r>
    </w:p>
    <w:p>
      <w:pPr>
        <w:spacing w:after="0" w:line="170" w:lineRule="exact"/>
        <w:rPr>
          <w:rFonts w:ascii="Arial" w:cs="Arial" w:eastAsia="Arial" w:hAnsi="Arial"/>
          <w:sz w:val="18"/>
          <w:szCs w:val="18"/>
          <w:color w:val="auto"/>
        </w:rPr>
      </w:pPr>
    </w:p>
    <w:p>
      <w:pPr>
        <w:ind w:right="60" w:firstLine="1305"/>
        <w:spacing w:after="0" w:line="277" w:lineRule="auto"/>
        <w:tabs>
          <w:tab w:leader="none" w:pos="2017"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170" w:lineRule="exact"/>
        <w:rPr>
          <w:rFonts w:ascii="Arial" w:cs="Arial" w:eastAsia="Arial" w:hAnsi="Arial"/>
          <w:sz w:val="18"/>
          <w:szCs w:val="18"/>
          <w:color w:val="auto"/>
        </w:rPr>
      </w:pPr>
    </w:p>
    <w:p>
      <w:pPr>
        <w:ind w:right="180" w:firstLine="1305"/>
        <w:spacing w:after="0" w:line="277" w:lineRule="auto"/>
        <w:tabs>
          <w:tab w:leader="none" w:pos="2017"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right="60" w:firstLine="1297"/>
        <w:spacing w:after="0" w:line="277" w:lineRule="auto"/>
        <w:rPr>
          <w:sz w:val="20"/>
          <w:szCs w:val="20"/>
          <w:color w:val="auto"/>
        </w:rPr>
      </w:pPr>
      <w:r>
        <w:rPr>
          <w:rFonts w:ascii="Arial" w:cs="Arial" w:eastAsia="Arial" w:hAnsi="Arial"/>
          <w:sz w:val="18"/>
          <w:szCs w:val="18"/>
          <w:color w:val="auto"/>
        </w:rPr>
        <w:t>In addition, the Company hereby confirms that it is aware of its responsibilities under the Securities Act and the Securities Exchange Act of 1934, as amended, with respect to the proposed public offering of the securities specified in the Registration Statement.</w:t>
      </w:r>
    </w:p>
    <w:p>
      <w:pPr>
        <w:spacing w:after="0" w:line="170" w:lineRule="exact"/>
        <w:rPr>
          <w:sz w:val="24"/>
          <w:szCs w:val="24"/>
          <w:color w:val="auto"/>
        </w:rPr>
      </w:pPr>
    </w:p>
    <w:p>
      <w:pPr>
        <w:ind w:right="140" w:firstLine="1297"/>
        <w:spacing w:after="0" w:line="277" w:lineRule="auto"/>
        <w:rPr>
          <w:sz w:val="20"/>
          <w:szCs w:val="20"/>
          <w:color w:val="auto"/>
        </w:rPr>
      </w:pPr>
      <w:r>
        <w:rPr>
          <w:rFonts w:ascii="Arial" w:cs="Arial" w:eastAsia="Arial" w:hAnsi="Arial"/>
          <w:sz w:val="18"/>
          <w:szCs w:val="18"/>
          <w:color w:val="auto"/>
        </w:rPr>
        <w:t>Please call Noah B. Kressler at (212) 310-8360 of Weil, Gotshal &amp; Manges LLP to confirm the effectiveness of the Registration Statement or with any questions.</w:t>
      </w:r>
    </w:p>
    <w:p>
      <w:pPr>
        <w:spacing w:after="0" w:line="387"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3"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LANTHEUS MEDICAL IMAGING, INC.</w:t>
      </w:r>
    </w:p>
    <w:p>
      <w:pPr>
        <w:spacing w:after="0" w:line="211" w:lineRule="exact"/>
        <w:rPr>
          <w:sz w:val="24"/>
          <w:szCs w:val="24"/>
          <w:color w:val="auto"/>
        </w:rPr>
      </w:pPr>
    </w:p>
    <w:tbl>
      <w:tblPr>
        <w:tblLayout w:type="fixed"/>
        <w:tblInd w:w="57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R. Kiepert</w:t>
            </w:r>
          </w:p>
        </w:tc>
      </w:tr>
      <w:tr>
        <w:trPr>
          <w:trHeight w:val="195"/>
        </w:trPr>
        <w:tc>
          <w:tcPr>
            <w:tcW w:w="620" w:type="dxa"/>
            <w:vAlign w:val="bottom"/>
          </w:tcPr>
          <w:p>
            <w:pPr>
              <w:spacing w:after="0"/>
              <w:rPr>
                <w:sz w:val="16"/>
                <w:szCs w:val="16"/>
                <w:color w:val="auto"/>
              </w:rPr>
            </w:pPr>
          </w:p>
        </w:tc>
        <w:tc>
          <w:tcPr>
            <w:tcW w:w="5080" w:type="dxa"/>
            <w:vAlign w:val="bottom"/>
          </w:tcPr>
          <w:p>
            <w:pPr>
              <w:spacing w:after="0" w:line="195" w:lineRule="exact"/>
              <w:rPr>
                <w:sz w:val="20"/>
                <w:szCs w:val="20"/>
                <w:color w:val="auto"/>
              </w:rPr>
            </w:pPr>
            <w:r>
              <w:rPr>
                <w:rFonts w:ascii="Arial" w:cs="Arial" w:eastAsia="Arial" w:hAnsi="Arial"/>
                <w:sz w:val="18"/>
                <w:szCs w:val="18"/>
                <w:color w:val="auto"/>
              </w:rPr>
              <w:t>Donald R. Kiepert</w:t>
            </w:r>
          </w:p>
        </w:tc>
      </w:tr>
      <w:tr>
        <w:trPr>
          <w:trHeight w:val="230"/>
        </w:trPr>
        <w:tc>
          <w:tcPr>
            <w:tcW w:w="6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4"/>
          <w:szCs w:val="24"/>
          <w:color w:val="auto"/>
        </w:rPr>
      </w:pPr>
    </w:p>
    <w:p>
      <w:pPr>
        <w:spacing w:after="0" w:line="218" w:lineRule="exact"/>
        <w:rPr>
          <w:sz w:val="24"/>
          <w:szCs w:val="24"/>
          <w:color w:val="auto"/>
        </w:rPr>
      </w:pPr>
    </w:p>
    <w:p>
      <w:pPr>
        <w:ind w:left="720" w:hanging="71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Noah B. Kressler, Weil, Gotshal &amp; Manges LLP</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44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2019-12-11T08:51:33Z</dcterms:created>
  <dcterms:modified xsi:type="dcterms:W3CDTF">2019-12-11T08:51:33Z</dcterms:modified>
</cp:coreProperties>
</file>