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8621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86219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Dawes William C. Jr.</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860" w:type="dxa"/>
            <w:vAlign w:val="bottom"/>
            <w:tcBorders>
              <w:top w:val="single" w:sz="8" w:color="0000EE"/>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06/24/2015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Lantheus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LNTH</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8"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4"/>
                <w:szCs w:val="14"/>
                <w:color w:val="auto"/>
              </w:rPr>
              <w:t>(Last)</w:t>
            </w:r>
          </w:p>
        </w:tc>
        <w:tc>
          <w:tcPr>
            <w:tcW w:w="1100" w:type="dxa"/>
            <w:vAlign w:val="bottom"/>
          </w:tcPr>
          <w:p>
            <w:pPr>
              <w:ind w:left="100"/>
              <w:spacing w:after="0"/>
              <w:rPr>
                <w:sz w:val="20"/>
                <w:szCs w:val="20"/>
                <w:color w:val="auto"/>
              </w:rPr>
            </w:pPr>
            <w:r>
              <w:rPr>
                <w:rFonts w:ascii="Arial" w:cs="Arial" w:eastAsia="Arial" w:hAnsi="Arial"/>
                <w:sz w:val="14"/>
                <w:szCs w:val="14"/>
                <w:color w:val="auto"/>
              </w:rPr>
              <w:t>(First)</w:t>
            </w:r>
          </w:p>
        </w:tc>
        <w:tc>
          <w:tcPr>
            <w:tcW w:w="1120" w:type="dxa"/>
            <w:vAlign w:val="bottom"/>
          </w:tcPr>
          <w:p>
            <w:pPr>
              <w:ind w:left="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C/O LANTHEUS HOLDINGS, INC.</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120" w:type="dxa"/>
            <w:vAlign w:val="bottom"/>
            <w:gridSpan w:val="2"/>
          </w:tcPr>
          <w:p>
            <w:pPr>
              <w:ind w:left="20"/>
              <w:spacing w:after="0"/>
              <w:rPr>
                <w:sz w:val="20"/>
                <w:szCs w:val="20"/>
                <w:color w:val="auto"/>
              </w:rPr>
            </w:pPr>
            <w:r>
              <w:rPr>
                <w:rFonts w:ascii="Arial" w:cs="Arial" w:eastAsia="Arial" w:hAnsi="Arial"/>
                <w:sz w:val="18"/>
                <w:szCs w:val="18"/>
                <w:color w:val="0000FF"/>
                <w:w w:val="95"/>
              </w:rPr>
              <w:t>331 TREBLE COVE ROAD</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rPr>
              <w:t>NORTH</w:t>
            </w:r>
          </w:p>
        </w:tc>
        <w:tc>
          <w:tcPr>
            <w:tcW w:w="1100" w:type="dxa"/>
            <w:vAlign w:val="bottom"/>
            <w:vMerge w:val="restart"/>
          </w:tcPr>
          <w:p>
            <w:pPr>
              <w:ind w:left="100"/>
              <w:spacing w:after="0"/>
              <w:rPr>
                <w:sz w:val="20"/>
                <w:szCs w:val="20"/>
                <w:color w:val="auto"/>
              </w:rPr>
            </w:pPr>
            <w:r>
              <w:rPr>
                <w:rFonts w:ascii="Arial" w:cs="Arial" w:eastAsia="Arial" w:hAnsi="Arial"/>
                <w:sz w:val="18"/>
                <w:szCs w:val="18"/>
                <w:color w:val="0000FF"/>
              </w:rPr>
              <w:t>MA</w:t>
            </w:r>
          </w:p>
        </w:tc>
        <w:tc>
          <w:tcPr>
            <w:tcW w:w="1120" w:type="dxa"/>
            <w:vAlign w:val="bottom"/>
            <w:vMerge w:val="restart"/>
          </w:tcPr>
          <w:p>
            <w:pPr>
              <w:ind w:left="80"/>
              <w:spacing w:after="0"/>
              <w:rPr>
                <w:sz w:val="20"/>
                <w:szCs w:val="20"/>
                <w:color w:val="auto"/>
              </w:rPr>
            </w:pPr>
            <w:r>
              <w:rPr>
                <w:rFonts w:ascii="Arial" w:cs="Arial" w:eastAsia="Arial" w:hAnsi="Arial"/>
                <w:sz w:val="18"/>
                <w:szCs w:val="18"/>
                <w:color w:val="0000FF"/>
              </w:rPr>
              <w:t>01862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rPr>
              <w:t>BILLERICA</w:t>
            </w:r>
          </w:p>
        </w:tc>
        <w:tc>
          <w:tcPr>
            <w:tcW w:w="110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6"/>
        <w:spacing w:after="0"/>
        <w:rPr>
          <w:sz w:val="20"/>
          <w:szCs w:val="20"/>
          <w:color w:val="auto"/>
        </w:rPr>
      </w:pPr>
      <w:r>
        <w:rPr>
          <w:rFonts w:ascii="Arial" w:cs="Arial" w:eastAsia="Arial" w:hAnsi="Arial"/>
          <w:sz w:val="18"/>
          <w:szCs w:val="18"/>
          <w:color w:val="0000FF"/>
        </w:rPr>
        <w:t>VP Mfrg and Operations</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620"/>
              <w:spacing w:after="0"/>
              <w:rPr>
                <w:sz w:val="20"/>
                <w:szCs w:val="20"/>
                <w:color w:val="auto"/>
              </w:rPr>
            </w:pPr>
            <w:r>
              <w:rPr>
                <w:rFonts w:ascii="Arial" w:cs="Arial" w:eastAsia="Arial" w:hAnsi="Arial"/>
                <w:sz w:val="18"/>
                <w:szCs w:val="18"/>
                <w:color w:val="0000FF"/>
              </w:rPr>
              <w:t>16,369</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04/04/2018</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20"/>
              <w:spacing w:after="0"/>
              <w:rPr>
                <w:sz w:val="20"/>
                <w:szCs w:val="20"/>
                <w:color w:val="auto"/>
              </w:rPr>
            </w:pPr>
            <w:r>
              <w:rPr>
                <w:rFonts w:ascii="Arial" w:cs="Arial" w:eastAsia="Arial" w:hAnsi="Arial"/>
                <w:sz w:val="18"/>
                <w:szCs w:val="18"/>
                <w:color w:val="0000FF"/>
              </w:rPr>
              <w:t>57,829</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5.62</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04/04/2018</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20"/>
              <w:spacing w:after="0"/>
              <w:rPr>
                <w:sz w:val="20"/>
                <w:szCs w:val="20"/>
                <w:color w:val="auto"/>
              </w:rPr>
            </w:pPr>
            <w:r>
              <w:rPr>
                <w:rFonts w:ascii="Arial" w:cs="Arial" w:eastAsia="Arial" w:hAnsi="Arial"/>
                <w:sz w:val="18"/>
                <w:szCs w:val="18"/>
                <w:color w:val="0000FF"/>
              </w:rPr>
              <w:t>22,321</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5.62</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08/05/2023</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20"/>
              <w:spacing w:after="0"/>
              <w:rPr>
                <w:sz w:val="20"/>
                <w:szCs w:val="20"/>
                <w:color w:val="auto"/>
              </w:rPr>
            </w:pPr>
            <w:r>
              <w:rPr>
                <w:rFonts w:ascii="Arial" w:cs="Arial" w:eastAsia="Arial" w:hAnsi="Arial"/>
                <w:sz w:val="18"/>
                <w:szCs w:val="18"/>
                <w:color w:val="0000FF"/>
              </w:rPr>
              <w:t>16,014</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18.66</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This option is currently exercisable.</w:t>
      </w:r>
    </w:p>
    <w:p>
      <w:pPr>
        <w:spacing w:after="0" w:line="41" w:lineRule="exact"/>
        <w:rPr>
          <w:rFonts w:ascii="Arial" w:cs="Arial" w:eastAsia="Arial" w:hAnsi="Arial"/>
          <w:sz w:val="14"/>
          <w:szCs w:val="14"/>
          <w:color w:val="008000"/>
        </w:rPr>
      </w:pPr>
    </w:p>
    <w:p>
      <w:pPr>
        <w:ind w:left="40" w:right="220" w:firstLine="9"/>
        <w:spacing w:after="0" w:line="233"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On April 4, 2008, the reporting person was granted this option to purchase 57,829 shares of Common Stock. This option vests in five equal annual installments based on the level of LNTH's satisfaction of certain performance criteria for each of fiscal years 2008, 2009, 2010, 2011 and 2012. A certain level of the performance criteria for each of fiscal years 2008 and 2009 was met, resulting in vesting of this option as to 22,321 shares.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shares subject to this option vest in four equal annual installments, beginning August 5, 2014.</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Exhibit 24 - Power of Attorney</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Michael P. Duffy, attorney-</w:t>
            </w:r>
          </w:p>
        </w:tc>
        <w:tc>
          <w:tcPr>
            <w:tcW w:w="10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06/24/2015</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879"/>
        <w:spacing w:after="0"/>
        <w:rPr>
          <w:sz w:val="20"/>
          <w:szCs w:val="20"/>
          <w:color w:val="auto"/>
        </w:rPr>
      </w:pPr>
      <w:r>
        <w:rPr>
          <w:rFonts w:ascii="Courier New" w:cs="Courier New" w:eastAsia="Courier New" w:hAnsi="Courier New"/>
          <w:sz w:val="18"/>
          <w:szCs w:val="18"/>
          <w:color w:val="auto"/>
        </w:rPr>
        <w:t>LANTHEUS HOLDINGS, INC.</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ofthe President, Treasurer, Assistant Treasurer, Secretary and Assistant Secretary of Lantheus Holdings, Inc. (the "Company"), acting singly or together and with full power of substitution, as the undersigned's true and lawful attorney-in-fact with full power and authority to act in the name of and for and on behalf of the undersigned to:</w:t>
      </w:r>
    </w:p>
    <w:p>
      <w:pPr>
        <w:spacing w:after="0" w:line="204" w:lineRule="exact"/>
        <w:rPr>
          <w:sz w:val="20"/>
          <w:szCs w:val="20"/>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w:t>
      </w:r>
    </w:p>
    <w:p>
      <w:pPr>
        <w:spacing w:after="0" w:line="4" w:lineRule="exact"/>
        <w:rPr>
          <w:rFonts w:ascii="Courier New" w:cs="Courier New" w:eastAsia="Courier New" w:hAnsi="Courier New"/>
          <w:sz w:val="18"/>
          <w:szCs w:val="18"/>
          <w:color w:val="auto"/>
        </w:rPr>
      </w:pPr>
    </w:p>
    <w:p>
      <w:pPr>
        <w:ind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08" w:lineRule="exact"/>
        <w:rPr>
          <w:rFonts w:ascii="Courier New" w:cs="Courier New" w:eastAsia="Courier New" w:hAnsi="Courier New"/>
          <w:sz w:val="18"/>
          <w:szCs w:val="18"/>
          <w:color w:val="auto"/>
        </w:rPr>
      </w:pPr>
    </w:p>
    <w:p>
      <w:pPr>
        <w:ind w:right="2199" w:firstLine="8"/>
        <w:spacing w:after="0" w:line="237" w:lineRule="auto"/>
        <w:tabs>
          <w:tab w:leader="none" w:pos="63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the Company, Forms 3, 4 and 5 in accordance with Section 16(a) of the Securities Exchange Act of 1934 and the rules thereunder;</w:t>
      </w:r>
    </w:p>
    <w:p>
      <w:pPr>
        <w:spacing w:after="0" w:line="207" w:lineRule="exact"/>
        <w:rPr>
          <w:rFonts w:ascii="Courier New" w:cs="Courier New" w:eastAsia="Courier New" w:hAnsi="Courier New"/>
          <w:sz w:val="18"/>
          <w:szCs w:val="18"/>
          <w:color w:val="auto"/>
        </w:rPr>
      </w:pPr>
    </w:p>
    <w:p>
      <w:pPr>
        <w:ind w:right="1779" w:firstLine="8"/>
        <w:spacing w:after="0" w:line="237" w:lineRule="auto"/>
        <w:tabs>
          <w:tab w:leader="none" w:pos="63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obtain and maintain the undersigned's filing codes, complete and execute any such Form 3, 4 or 5, complete and execute any amendment or amendments thereto, and timely file such form with the SEC and any stock exchange or similar authority; and</w:t>
      </w:r>
    </w:p>
    <w:p>
      <w:pPr>
        <w:spacing w:after="0" w:line="203"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foregoing which, in the opinion of such attorney-in-fact, may be of benefit to, in the best interest of, or legally required by or of,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0"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 fact, in serving in such capacity at the request of the undersigned, are not assuming, nor is the Company assuming, any of the undersigned's responsibilities to comply with Section 16 of the Securities Exchange Act of 1934.</w:t>
      </w:r>
    </w:p>
    <w:p>
      <w:pPr>
        <w:spacing w:after="0" w:line="391"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23rd day of June 2015.</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/s/ William C. Dawes, Jr.</w:t>
      </w:r>
    </w:p>
    <w:p>
      <w:pPr>
        <w:ind w:left="138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William C. Dawes, Jr.</w:t>
      </w:r>
    </w:p>
    <w:p>
      <w:pPr>
        <w:ind w:left="1380"/>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10673" TargetMode="External"/><Relationship Id="rId12" Type="http://schemas.openxmlformats.org/officeDocument/2006/relationships/hyperlink" Target="http://www.sec.gov/cgi-bin/browse-edgar?action=getcompany&amp;CIK=00015210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2019-12-09T00:21:23Z</dcterms:created>
  <dcterms:modified xsi:type="dcterms:W3CDTF">2019-12-09T00:21:23Z</dcterms:modified>
</cp:coreProperties>
</file>