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7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706120</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646430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46"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2782570</wp:posOffset>
            </wp:positionH>
            <wp:positionV relativeFrom="paragraph">
              <wp:posOffset>201295</wp:posOffset>
            </wp:positionV>
            <wp:extent cx="157734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77340" cy="8255"/>
                    </a:xfrm>
                    <a:prstGeom prst="rect">
                      <a:avLst/>
                    </a:prstGeom>
                    <a:noFill/>
                  </pic:spPr>
                </pic:pic>
              </a:graphicData>
            </a:graphic>
          </wp:anchor>
        </w:drawing>
      </w:r>
    </w:p>
    <w:p>
      <w:pPr>
        <w:spacing w:after="0" w:line="200" w:lineRule="exact"/>
        <w:rPr>
          <w:sz w:val="24"/>
          <w:szCs w:val="24"/>
          <w:color w:val="auto"/>
        </w:rPr>
      </w:pPr>
    </w:p>
    <w:p>
      <w:pPr>
        <w:spacing w:after="0" w:line="340"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2782570</wp:posOffset>
            </wp:positionH>
            <wp:positionV relativeFrom="paragraph">
              <wp:posOffset>238125</wp:posOffset>
            </wp:positionV>
            <wp:extent cx="157734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7734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1"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CURRENT REPORT</w:t>
      </w:r>
    </w:p>
    <w:p>
      <w:pPr>
        <w:spacing w:after="0" w:line="27" w:lineRule="exact"/>
        <w:rPr>
          <w:sz w:val="24"/>
          <w:szCs w:val="24"/>
          <w:color w:val="auto"/>
        </w:rPr>
      </w:pPr>
    </w:p>
    <w:p>
      <w:pPr>
        <w:jc w:val="center"/>
        <w:ind w:right="-179"/>
        <w:spacing w:after="0"/>
        <w:rPr>
          <w:sz w:val="20"/>
          <w:szCs w:val="20"/>
          <w:color w:val="auto"/>
        </w:rPr>
      </w:pPr>
      <w:r>
        <w:rPr>
          <w:rFonts w:ascii="Arial" w:cs="Arial" w:eastAsia="Arial" w:hAnsi="Arial"/>
          <w:sz w:val="19"/>
          <w:szCs w:val="19"/>
          <w:b w:val="1"/>
          <w:bCs w:val="1"/>
          <w:color w:val="auto"/>
        </w:rPr>
        <w:t>Pursuant to Section 13 or 15(d) of the Securities Exchange Act of 1934</w:t>
      </w:r>
    </w:p>
    <w:p>
      <w:pPr>
        <w:spacing w:after="0" w:line="230"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Date of Report (Date of earliest event reported): July 30,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2782570</wp:posOffset>
            </wp:positionH>
            <wp:positionV relativeFrom="paragraph">
              <wp:posOffset>225425</wp:posOffset>
            </wp:positionV>
            <wp:extent cx="157734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77340" cy="8255"/>
                    </a:xfrm>
                    <a:prstGeom prst="rect">
                      <a:avLst/>
                    </a:prstGeom>
                    <a:noFill/>
                  </pic:spPr>
                </pic:pic>
              </a:graphicData>
            </a:graphic>
          </wp:anchor>
        </w:drawing>
      </w:r>
    </w:p>
    <w:p>
      <w:pPr>
        <w:spacing w:after="0" w:line="200" w:lineRule="exact"/>
        <w:rPr>
          <w:sz w:val="24"/>
          <w:szCs w:val="24"/>
          <w:color w:val="auto"/>
        </w:rPr>
      </w:pPr>
    </w:p>
    <w:p>
      <w:pPr>
        <w:spacing w:after="0" w:line="240" w:lineRule="exact"/>
        <w:rPr>
          <w:sz w:val="24"/>
          <w:szCs w:val="24"/>
          <w:color w:val="auto"/>
        </w:rPr>
      </w:pPr>
    </w:p>
    <w:p>
      <w:pPr>
        <w:jc w:val="center"/>
        <w:ind w:right="-179"/>
        <w:spacing w:after="0"/>
        <w:rPr>
          <w:sz w:val="20"/>
          <w:szCs w:val="20"/>
          <w:color w:val="auto"/>
        </w:rPr>
      </w:pPr>
      <w:r>
        <w:rPr>
          <w:rFonts w:ascii="Arial" w:cs="Arial" w:eastAsia="Arial" w:hAnsi="Arial"/>
          <w:sz w:val="43"/>
          <w:szCs w:val="43"/>
          <w:b w:val="1"/>
          <w:bCs w:val="1"/>
          <w:color w:val="auto"/>
        </w:rPr>
        <w:t>LANTHEUS HOLDINGS, INC.</w:t>
      </w:r>
    </w:p>
    <w:p>
      <w:pPr>
        <w:spacing w:after="0" w:line="50"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2782570</wp:posOffset>
            </wp:positionH>
            <wp:positionV relativeFrom="paragraph">
              <wp:posOffset>219075</wp:posOffset>
            </wp:positionV>
            <wp:extent cx="157734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77340" cy="8255"/>
                    </a:xfrm>
                    <a:prstGeom prst="rect">
                      <a:avLst/>
                    </a:prstGeom>
                    <a:noFill/>
                  </pic:spPr>
                </pic:pic>
              </a:graphicData>
            </a:graphic>
          </wp:anchor>
        </w:drawing>
      </w:r>
    </w:p>
    <w:p>
      <w:pPr>
        <w:sectPr>
          <w:pgSz w:w="11900" w:h="16838" w:orient="portrait"/>
          <w:cols w:equalWidth="0" w:num="1">
            <w:col w:w="11080"/>
          </w:cols>
          <w:pgMar w:left="320" w:top="1327" w:right="499" w:bottom="1440" w:gutter="0" w:footer="0" w:header="0"/>
        </w:sectPr>
      </w:pPr>
    </w:p>
    <w:p>
      <w:pPr>
        <w:spacing w:after="0" w:line="200" w:lineRule="exact"/>
        <w:rPr>
          <w:sz w:val="24"/>
          <w:szCs w:val="24"/>
          <w:color w:val="auto"/>
        </w:rPr>
      </w:pPr>
    </w:p>
    <w:p>
      <w:pPr>
        <w:spacing w:after="0" w:line="329" w:lineRule="exact"/>
        <w:rPr>
          <w:sz w:val="24"/>
          <w:szCs w:val="24"/>
          <w:color w:val="auto"/>
        </w:rPr>
      </w:pPr>
    </w:p>
    <w:p>
      <w:pPr>
        <w:ind w:left="152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09" w:lineRule="exact"/>
        <w:rPr>
          <w:sz w:val="24"/>
          <w:szCs w:val="24"/>
          <w:color w:val="auto"/>
        </w:rPr>
      </w:pPr>
    </w:p>
    <w:p>
      <w:pPr>
        <w:jc w:val="center"/>
        <w:ind w:right="2180"/>
        <w:spacing w:after="0"/>
        <w:rPr>
          <w:sz w:val="20"/>
          <w:szCs w:val="20"/>
          <w:color w:val="auto"/>
        </w:rPr>
      </w:pPr>
      <w:r>
        <w:rPr>
          <w:rFonts w:ascii="Arial" w:cs="Arial" w:eastAsia="Arial" w:hAnsi="Arial"/>
          <w:sz w:val="16"/>
          <w:szCs w:val="16"/>
          <w:b w:val="1"/>
          <w:bCs w:val="1"/>
          <w:color w:val="auto"/>
        </w:rPr>
        <w:t>001-36569</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09"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35-2318913</w:t>
      </w:r>
    </w:p>
    <w:p>
      <w:pPr>
        <w:spacing w:after="0" w:line="82" w:lineRule="exact"/>
        <w:rPr>
          <w:sz w:val="24"/>
          <w:szCs w:val="24"/>
          <w:color w:val="auto"/>
        </w:rPr>
      </w:pPr>
    </w:p>
    <w:p>
      <w:pPr>
        <w:sectPr>
          <w:pgSz w:w="11900" w:h="16838" w:orient="portrait"/>
          <w:cols w:equalWidth="0" w:num="3">
            <w:col w:w="4540" w:space="720"/>
            <w:col w:w="2960" w:space="720"/>
            <w:col w:w="2140"/>
          </w:cols>
          <w:pgMar w:left="320" w:top="1327" w:right="499" w:bottom="1440" w:gutter="0" w:footer="0" w:header="0"/>
          <w:type w:val="continuous"/>
        </w:sectPr>
      </w:pPr>
    </w:p>
    <w:p>
      <w:pPr>
        <w:jc w:val="center"/>
        <w:ind w:right="720"/>
        <w:spacing w:after="0"/>
        <w:rPr>
          <w:sz w:val="20"/>
          <w:szCs w:val="20"/>
          <w:color w:val="auto"/>
        </w:rPr>
      </w:pPr>
      <w:r>
        <w:rPr>
          <w:rFonts w:ascii="Arial" w:cs="Arial" w:eastAsia="Arial" w:hAnsi="Arial"/>
          <w:sz w:val="13"/>
          <w:szCs w:val="13"/>
          <w:b w:val="1"/>
          <w:bCs w:val="1"/>
          <w:color w:val="auto"/>
        </w:rPr>
        <w:t>(State or other jurisdiction</w:t>
      </w:r>
    </w:p>
    <w:p>
      <w:pPr>
        <w:spacing w:after="0" w:line="15" w:lineRule="exact"/>
        <w:rPr>
          <w:sz w:val="24"/>
          <w:szCs w:val="24"/>
          <w:color w:val="auto"/>
        </w:rPr>
      </w:pPr>
    </w:p>
    <w:p>
      <w:pPr>
        <w:jc w:val="center"/>
        <w:ind w:right="720"/>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2"/>
          <w:szCs w:val="12"/>
          <w:b w:val="1"/>
          <w:bCs w:val="1"/>
          <w:color w:val="auto"/>
        </w:rPr>
        <w:t>(Commission</w:t>
      </w:r>
    </w:p>
    <w:p>
      <w:pPr>
        <w:spacing w:after="0" w:line="27"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140"/>
        <w:spacing w:after="0"/>
        <w:rPr>
          <w:sz w:val="20"/>
          <w:szCs w:val="20"/>
          <w:color w:val="auto"/>
        </w:rPr>
      </w:pPr>
      <w:r>
        <w:rPr>
          <w:rFonts w:ascii="Arial" w:cs="Arial" w:eastAsia="Arial" w:hAnsi="Arial"/>
          <w:sz w:val="14"/>
          <w:szCs w:val="14"/>
          <w:b w:val="1"/>
          <w:bCs w:val="1"/>
          <w:color w:val="auto"/>
        </w:rPr>
        <w:t>(IRS Employer</w:t>
      </w:r>
    </w:p>
    <w:p>
      <w:pPr>
        <w:spacing w:after="0" w:line="4" w:lineRule="exact"/>
        <w:rPr>
          <w:sz w:val="24"/>
          <w:szCs w:val="24"/>
          <w:color w:val="auto"/>
        </w:rPr>
      </w:pPr>
    </w:p>
    <w:p>
      <w:pPr>
        <w:jc w:val="center"/>
        <w:ind w:right="1140"/>
        <w:spacing w:after="0"/>
        <w:rPr>
          <w:sz w:val="20"/>
          <w:szCs w:val="20"/>
          <w:color w:val="auto"/>
        </w:rPr>
      </w:pPr>
      <w:r>
        <w:rPr>
          <w:rFonts w:ascii="Arial" w:cs="Arial" w:eastAsia="Arial" w:hAnsi="Arial"/>
          <w:sz w:val="13"/>
          <w:szCs w:val="13"/>
          <w:b w:val="1"/>
          <w:bCs w:val="1"/>
          <w:color w:val="auto"/>
        </w:rPr>
        <w:t>Identification No.)</w:t>
      </w:r>
    </w:p>
    <w:p>
      <w:pPr>
        <w:spacing w:after="0" w:line="135" w:lineRule="exact"/>
        <w:rPr>
          <w:sz w:val="24"/>
          <w:szCs w:val="24"/>
          <w:color w:val="auto"/>
        </w:rPr>
      </w:pPr>
    </w:p>
    <w:p>
      <w:pPr>
        <w:sectPr>
          <w:pgSz w:w="11900" w:h="16838" w:orient="portrait"/>
          <w:cols w:equalWidth="0" w:num="3">
            <w:col w:w="4520" w:space="720"/>
            <w:col w:w="2860" w:space="720"/>
            <w:col w:w="2260"/>
          </w:cols>
          <w:pgMar w:left="320" w:top="1327" w:right="499" w:bottom="1440" w:gutter="0" w:footer="0" w:header="0"/>
          <w:type w:val="continuous"/>
        </w:sectPr>
      </w:pPr>
    </w:p>
    <w:p>
      <w:pPr>
        <w:ind w:left="1580"/>
        <w:spacing w:after="0"/>
        <w:rPr>
          <w:sz w:val="20"/>
          <w:szCs w:val="20"/>
          <w:color w:val="auto"/>
        </w:rPr>
      </w:pPr>
      <w:r>
        <w:rPr>
          <w:rFonts w:ascii="Arial" w:cs="Arial" w:eastAsia="Arial" w:hAnsi="Arial"/>
          <w:sz w:val="16"/>
          <w:szCs w:val="16"/>
          <w:b w:val="1"/>
          <w:bCs w:val="1"/>
          <w:color w:val="auto"/>
        </w:rPr>
        <w:t>331 Treble Cove Road, North Billerica, MA</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5"/>
          <w:szCs w:val="15"/>
          <w:b w:val="1"/>
          <w:bCs w:val="1"/>
          <w:color w:val="auto"/>
        </w:rPr>
        <w:t>01862</w:t>
      </w:r>
    </w:p>
    <w:p>
      <w:pPr>
        <w:spacing w:after="0" w:line="93" w:lineRule="exact"/>
        <w:rPr>
          <w:sz w:val="24"/>
          <w:szCs w:val="24"/>
          <w:color w:val="auto"/>
        </w:rPr>
      </w:pPr>
    </w:p>
    <w:p>
      <w:pPr>
        <w:sectPr>
          <w:pgSz w:w="11900" w:h="16838" w:orient="portrait"/>
          <w:cols w:equalWidth="0" w:num="2">
            <w:col w:w="7400" w:space="720"/>
            <w:col w:w="2960"/>
          </w:cols>
          <w:pgMar w:left="320" w:top="1327" w:right="499" w:bottom="1440" w:gutter="0" w:footer="0" w:header="0"/>
          <w:type w:val="continuous"/>
        </w:sectPr>
      </w:pPr>
    </w:p>
    <w:p>
      <w:pPr>
        <w:ind w:left="2060"/>
        <w:spacing w:after="0"/>
        <w:rPr>
          <w:sz w:val="20"/>
          <w:szCs w:val="20"/>
          <w:color w:val="auto"/>
        </w:rPr>
      </w:pPr>
      <w:r>
        <w:rPr>
          <w:rFonts w:ascii="Arial" w:cs="Arial" w:eastAsia="Arial" w:hAnsi="Arial"/>
          <w:sz w:val="12"/>
          <w:szCs w:val="12"/>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(Zip Code)</w:t>
      </w:r>
    </w:p>
    <w:p>
      <w:pPr>
        <w:spacing w:after="0" w:line="200" w:lineRule="exact"/>
        <w:rPr>
          <w:sz w:val="24"/>
          <w:szCs w:val="24"/>
          <w:color w:val="auto"/>
        </w:rPr>
      </w:pPr>
    </w:p>
    <w:p>
      <w:pPr>
        <w:sectPr>
          <w:pgSz w:w="11900" w:h="16838" w:orient="portrait"/>
          <w:cols w:equalWidth="0" w:num="2">
            <w:col w:w="7300" w:space="720"/>
            <w:col w:w="3060"/>
          </w:cols>
          <w:pgMar w:left="320" w:top="1327" w:right="499" w:bottom="1440" w:gutter="0" w:footer="0" w:header="0"/>
          <w:type w:val="continuous"/>
        </w:sectPr>
      </w:pPr>
    </w:p>
    <w:p>
      <w:pPr>
        <w:spacing w:after="0" w:line="46"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Registrant’s telephone number, including area code: (978) 671-8001</w:t>
      </w:r>
    </w:p>
    <w:p>
      <w:pPr>
        <w:spacing w:after="0" w:line="200" w:lineRule="exact"/>
        <w:rPr>
          <w:sz w:val="24"/>
          <w:szCs w:val="24"/>
          <w:color w:val="auto"/>
        </w:rPr>
      </w:pPr>
    </w:p>
    <w:p>
      <w:pPr>
        <w:spacing w:after="0" w:line="376"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Not Applicable</w:t>
      </w:r>
    </w:p>
    <w:p>
      <w:pPr>
        <w:spacing w:after="0" w:line="32" w:lineRule="exact"/>
        <w:rPr>
          <w:sz w:val="24"/>
          <w:szCs w:val="24"/>
          <w:color w:val="auto"/>
        </w:rPr>
      </w:pPr>
    </w:p>
    <w:p>
      <w:pPr>
        <w:jc w:val="center"/>
        <w:ind w:right="-17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2782570</wp:posOffset>
            </wp:positionH>
            <wp:positionV relativeFrom="paragraph">
              <wp:posOffset>238125</wp:posOffset>
            </wp:positionV>
            <wp:extent cx="157734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7734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0" w:lineRule="exact"/>
        <w:rPr>
          <w:sz w:val="24"/>
          <w:szCs w:val="24"/>
          <w:color w:val="auto"/>
        </w:rPr>
      </w:pPr>
    </w:p>
    <w:p>
      <w:pPr>
        <w:ind w:right="160" w:firstLine="36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62" w:lineRule="exact"/>
        <w:rPr>
          <w:sz w:val="24"/>
          <w:szCs w:val="24"/>
          <w:color w:val="auto"/>
        </w:rPr>
      </w:pPr>
    </w:p>
    <w:p>
      <w:pPr>
        <w:ind w:left="260" w:hanging="21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260" w:hanging="21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260" w:hanging="21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340" w:right="2780" w:hanging="292"/>
        <w:spacing w:after="0" w:line="402" w:lineRule="auto"/>
        <w:tabs>
          <w:tab w:leader="none" w:pos="263"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57" w:lineRule="exact"/>
        <w:rPr>
          <w:sz w:val="24"/>
          <w:szCs w:val="24"/>
          <w:color w:val="auto"/>
        </w:rPr>
      </w:pPr>
    </w:p>
    <w:tbl>
      <w:tblPr>
        <w:tblLayout w:type="fixed"/>
        <w:tblInd w:w="750" w:type="dxa"/>
        <w:tblCellMar>
          <w:top w:w="0" w:type="dxa"/>
          <w:left w:w="0" w:type="dxa"/>
          <w:bottom w:w="0" w:type="dxa"/>
          <w:right w:w="0" w:type="dxa"/>
        </w:tblCellMar>
      </w:tblPr>
      <w:tr>
        <w:trPr>
          <w:trHeight w:val="256"/>
        </w:trPr>
        <w:tc>
          <w:tcPr>
            <w:tcW w:w="3900" w:type="dxa"/>
            <w:vAlign w:val="bottom"/>
            <w:tcBorders>
              <w:top w:val="single" w:sz="8" w:color="auto"/>
              <w:left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Title of each class</w:t>
            </w:r>
          </w:p>
        </w:tc>
        <w:tc>
          <w:tcPr>
            <w:tcW w:w="1860" w:type="dxa"/>
            <w:vAlign w:val="bottom"/>
            <w:tcBorders>
              <w:top w:val="single" w:sz="8" w:color="auto"/>
              <w:right w:val="single" w:sz="8" w:color="auto"/>
            </w:tcBorders>
          </w:tcPr>
          <w:p>
            <w:pPr>
              <w:spacing w:after="0"/>
              <w:rPr>
                <w:sz w:val="20"/>
                <w:szCs w:val="20"/>
                <w:color w:val="auto"/>
              </w:rPr>
            </w:pPr>
            <w:r>
              <w:rPr>
                <w:rFonts w:ascii="Arial" w:cs="Arial" w:eastAsia="Arial" w:hAnsi="Arial"/>
                <w:sz w:val="18"/>
                <w:szCs w:val="18"/>
                <w:color w:val="auto"/>
              </w:rPr>
              <w:t>Trading Symbol(s)</w:t>
            </w:r>
          </w:p>
        </w:tc>
        <w:tc>
          <w:tcPr>
            <w:tcW w:w="4040" w:type="dxa"/>
            <w:vAlign w:val="bottom"/>
            <w:tcBorders>
              <w:top w:val="single" w:sz="8" w:color="auto"/>
              <w:right w:val="single" w:sz="8" w:color="auto"/>
            </w:tcBorders>
          </w:tcPr>
          <w:p>
            <w:pPr>
              <w:spacing w:after="0"/>
              <w:rPr>
                <w:sz w:val="20"/>
                <w:szCs w:val="20"/>
                <w:color w:val="auto"/>
              </w:rPr>
            </w:pPr>
            <w:r>
              <w:rPr>
                <w:rFonts w:ascii="Arial" w:cs="Arial" w:eastAsia="Arial" w:hAnsi="Arial"/>
                <w:sz w:val="18"/>
                <w:szCs w:val="18"/>
                <w:color w:val="auto"/>
              </w:rPr>
              <w:t>Name of each exchange on which registered</w:t>
            </w:r>
          </w:p>
        </w:tc>
      </w:tr>
      <w:tr>
        <w:trPr>
          <w:trHeight w:val="27"/>
        </w:trPr>
        <w:tc>
          <w:tcPr>
            <w:tcW w:w="3900" w:type="dxa"/>
            <w:vAlign w:val="bottom"/>
            <w:tcBorders>
              <w:left w:val="single" w:sz="8" w:color="auto"/>
              <w:bottom w:val="single" w:sz="8" w:color="auto"/>
              <w:right w:val="single" w:sz="8" w:color="auto"/>
            </w:tcBorders>
          </w:tcPr>
          <w:p>
            <w:pPr>
              <w:spacing w:after="0"/>
              <w:rPr>
                <w:sz w:val="2"/>
                <w:szCs w:val="2"/>
                <w:color w:val="auto"/>
              </w:rPr>
            </w:pPr>
          </w:p>
        </w:tc>
        <w:tc>
          <w:tcPr>
            <w:tcW w:w="1860" w:type="dxa"/>
            <w:vAlign w:val="bottom"/>
            <w:tcBorders>
              <w:bottom w:val="single" w:sz="8" w:color="auto"/>
              <w:right w:val="single" w:sz="8" w:color="auto"/>
            </w:tcBorders>
          </w:tcPr>
          <w:p>
            <w:pPr>
              <w:spacing w:after="0"/>
              <w:rPr>
                <w:sz w:val="2"/>
                <w:szCs w:val="2"/>
                <w:color w:val="auto"/>
              </w:rPr>
            </w:pPr>
          </w:p>
        </w:tc>
        <w:tc>
          <w:tcPr>
            <w:tcW w:w="4040" w:type="dxa"/>
            <w:vAlign w:val="bottom"/>
            <w:tcBorders>
              <w:bottom w:val="single" w:sz="8" w:color="auto"/>
              <w:right w:val="single" w:sz="8" w:color="auto"/>
            </w:tcBorders>
          </w:tcPr>
          <w:p>
            <w:pPr>
              <w:spacing w:after="0"/>
              <w:rPr>
                <w:sz w:val="2"/>
                <w:szCs w:val="2"/>
                <w:color w:val="auto"/>
              </w:rPr>
            </w:pPr>
          </w:p>
        </w:tc>
      </w:tr>
      <w:tr>
        <w:trPr>
          <w:trHeight w:val="236"/>
        </w:trPr>
        <w:tc>
          <w:tcPr>
            <w:tcW w:w="3900" w:type="dxa"/>
            <w:vAlign w:val="bottom"/>
            <w:tcBorders>
              <w:left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Common stock, par value $0.01 per share</w:t>
            </w:r>
          </w:p>
        </w:tc>
        <w:tc>
          <w:tcPr>
            <w:tcW w:w="186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LNTH</w:t>
            </w:r>
          </w:p>
        </w:tc>
        <w:tc>
          <w:tcPr>
            <w:tcW w:w="404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The Nasdaq Global Market</w:t>
            </w:r>
          </w:p>
        </w:tc>
      </w:tr>
      <w:tr>
        <w:trPr>
          <w:trHeight w:val="27"/>
        </w:trPr>
        <w:tc>
          <w:tcPr>
            <w:tcW w:w="3900" w:type="dxa"/>
            <w:vAlign w:val="bottom"/>
            <w:tcBorders>
              <w:left w:val="single" w:sz="8" w:color="auto"/>
              <w:bottom w:val="single" w:sz="8" w:color="auto"/>
              <w:right w:val="single" w:sz="8" w:color="auto"/>
            </w:tcBorders>
          </w:tcPr>
          <w:p>
            <w:pPr>
              <w:spacing w:after="0"/>
              <w:rPr>
                <w:sz w:val="2"/>
                <w:szCs w:val="2"/>
                <w:color w:val="auto"/>
              </w:rPr>
            </w:pPr>
          </w:p>
        </w:tc>
        <w:tc>
          <w:tcPr>
            <w:tcW w:w="1860" w:type="dxa"/>
            <w:vAlign w:val="bottom"/>
            <w:tcBorders>
              <w:bottom w:val="single" w:sz="8" w:color="auto"/>
              <w:right w:val="single" w:sz="8" w:color="auto"/>
            </w:tcBorders>
          </w:tcPr>
          <w:p>
            <w:pPr>
              <w:spacing w:after="0"/>
              <w:rPr>
                <w:sz w:val="2"/>
                <w:szCs w:val="2"/>
                <w:color w:val="auto"/>
              </w:rPr>
            </w:pPr>
          </w:p>
        </w:tc>
        <w:tc>
          <w:tcPr>
            <w:tcW w:w="4040" w:type="dxa"/>
            <w:vAlign w:val="bottom"/>
            <w:tcBorders>
              <w:bottom w:val="single" w:sz="8" w:color="auto"/>
              <w:right w:val="single" w:sz="8" w:color="auto"/>
            </w:tcBorders>
          </w:tcPr>
          <w:p>
            <w:pPr>
              <w:spacing w:after="0"/>
              <w:rPr>
                <w:sz w:val="2"/>
                <w:szCs w:val="2"/>
                <w:color w:val="auto"/>
              </w:rPr>
            </w:pPr>
          </w:p>
        </w:tc>
      </w:tr>
    </w:tbl>
    <w:p>
      <w:pPr>
        <w:spacing w:after="0" w:line="94" w:lineRule="exact"/>
        <w:rPr>
          <w:sz w:val="24"/>
          <w:szCs w:val="24"/>
          <w:color w:val="auto"/>
        </w:rPr>
      </w:pPr>
    </w:p>
    <w:p>
      <w:pPr>
        <w:ind w:right="36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84" w:lineRule="exact"/>
        <w:rPr>
          <w:sz w:val="24"/>
          <w:szCs w:val="24"/>
          <w:color w:val="auto"/>
        </w:rPr>
      </w:pPr>
    </w:p>
    <w:p>
      <w:pPr>
        <w:ind w:left="6980"/>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04"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673735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47625</wp:posOffset>
            </wp:positionH>
            <wp:positionV relativeFrom="paragraph">
              <wp:posOffset>125095</wp:posOffset>
            </wp:positionV>
            <wp:extent cx="704659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046595" cy="8255"/>
                    </a:xfrm>
                    <a:prstGeom prst="rect">
                      <a:avLst/>
                    </a:prstGeom>
                    <a:noFill/>
                  </pic:spPr>
                </pic:pic>
              </a:graphicData>
            </a:graphic>
          </wp:anchor>
        </w:drawing>
        <w:drawing>
          <wp:anchor simplePos="0" relativeHeight="251657728" behindDoc="1" locked="0" layoutInCell="0" allowOverlap="1">
            <wp:simplePos x="0" y="0"/>
            <wp:positionH relativeFrom="column">
              <wp:posOffset>47625</wp:posOffset>
            </wp:positionH>
            <wp:positionV relativeFrom="paragraph">
              <wp:posOffset>64770</wp:posOffset>
            </wp:positionV>
            <wp:extent cx="704659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046595" cy="8255"/>
                    </a:xfrm>
                    <a:prstGeom prst="rect">
                      <a:avLst/>
                    </a:prstGeom>
                    <a:noFill/>
                  </pic:spPr>
                </pic:pic>
              </a:graphicData>
            </a:graphic>
          </wp:anchor>
        </w:drawing>
      </w:r>
    </w:p>
    <w:p>
      <w:pPr>
        <w:sectPr>
          <w:pgSz w:w="11900" w:h="16838" w:orient="portrait"/>
          <w:cols w:equalWidth="0" w:num="1">
            <w:col w:w="11080"/>
          </w:cols>
          <w:pgMar w:left="320" w:top="1327" w:right="499" w:bottom="1440" w:gutter="0" w:footer="0" w:header="0"/>
          <w:type w:val="continuous"/>
        </w:sectPr>
      </w:pPr>
    </w:p>
    <w:bookmarkStart w:id="1" w:name="page2"/>
    <w:bookmarkEnd w:id="1"/>
    <w:p>
      <w:pPr>
        <w:ind w:left="40"/>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121"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On July 30, 2020, Lantheus Holdings, Inc. (the “Company”) announced via press release its financial results as of and for the three and six months ended June 30, 2020. A copy of that press release is being furnished as Exhibit 99.1 and is hereby incorporated by reference.</w:t>
      </w:r>
    </w:p>
    <w:p>
      <w:pPr>
        <w:spacing w:after="0" w:line="170" w:lineRule="exact"/>
        <w:rPr>
          <w:sz w:val="20"/>
          <w:szCs w:val="20"/>
          <w:color w:val="auto"/>
        </w:rPr>
      </w:pPr>
    </w:p>
    <w:p>
      <w:pPr>
        <w:ind w:right="500"/>
        <w:spacing w:after="0" w:line="286" w:lineRule="auto"/>
        <w:rPr>
          <w:sz w:val="20"/>
          <w:szCs w:val="20"/>
          <w:color w:val="auto"/>
        </w:rPr>
      </w:pPr>
      <w:r>
        <w:rPr>
          <w:rFonts w:ascii="Arial" w:cs="Arial" w:eastAsia="Arial" w:hAnsi="Arial"/>
          <w:sz w:val="17"/>
          <w:szCs w:val="17"/>
          <w:color w:val="auto"/>
        </w:rPr>
        <w:t>The information furnished pursuant to this Item 2.02, including Exhibit 99.1, shall not be deemed “filed” for purposes of Section 18 of the Securities Exchange Act of 1934, as amended (the “Exchange Act”), or otherwise subject to the liabilities under that Section and shall not be deemed to be incorporated by reference into any filing of the Company under the Securities Act of 1933, as amended, or the Exchange Act.</w:t>
      </w:r>
    </w:p>
    <w:p>
      <w:pPr>
        <w:spacing w:after="0" w:line="269"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62" w:lineRule="exact"/>
        <w:rPr>
          <w:sz w:val="20"/>
          <w:szCs w:val="20"/>
          <w:color w:val="auto"/>
        </w:rPr>
      </w:pPr>
    </w:p>
    <w:p>
      <w:pPr>
        <w:ind w:left="100"/>
        <w:spacing w:after="0"/>
        <w:tabs>
          <w:tab w:leader="none" w:pos="5540" w:val="left"/>
        </w:tabs>
        <w:rPr>
          <w:sz w:val="20"/>
          <w:szCs w:val="20"/>
          <w:color w:val="auto"/>
        </w:rPr>
      </w:pPr>
      <w:r>
        <w:rPr>
          <w:rFonts w:ascii="Arial" w:cs="Arial" w:eastAsia="Arial" w:hAnsi="Arial"/>
          <w:sz w:val="18"/>
          <w:szCs w:val="18"/>
          <w:b w:val="1"/>
          <w:bCs w:val="1"/>
          <w:color w:val="auto"/>
        </w:rPr>
        <w:t>Exhibit No.</w:t>
      </w:r>
      <w:r>
        <w:rPr>
          <w:sz w:val="20"/>
          <w:szCs w:val="20"/>
          <w:color w:val="auto"/>
        </w:rPr>
        <w:tab/>
      </w:r>
      <w:r>
        <w:rPr>
          <w:rFonts w:ascii="Arial" w:cs="Arial" w:eastAsia="Arial" w:hAnsi="Arial"/>
          <w:sz w:val="16"/>
          <w:szCs w:val="16"/>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675513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755130" cy="8255"/>
                    </a:xfrm>
                    <a:prstGeom prst="rect">
                      <a:avLst/>
                    </a:prstGeom>
                    <a:noFill/>
                  </pic:spPr>
                </pic:pic>
              </a:graphicData>
            </a:graphic>
          </wp:anchor>
        </w:drawing>
      </w:r>
    </w:p>
    <w:p>
      <w:pPr>
        <w:spacing w:after="0" w:line="47" w:lineRule="exact"/>
        <w:rPr>
          <w:sz w:val="20"/>
          <w:szCs w:val="20"/>
          <w:color w:val="auto"/>
        </w:rPr>
      </w:pPr>
    </w:p>
    <w:p>
      <w:pPr>
        <w:ind w:left="1320" w:right="900" w:hanging="982"/>
        <w:spacing w:after="0" w:line="235" w:lineRule="auto"/>
        <w:tabs>
          <w:tab w:leader="none" w:pos="1300" w:val="left"/>
        </w:tabs>
        <w:rPr>
          <w:rFonts w:ascii="Arial" w:cs="Arial" w:eastAsia="Arial" w:hAnsi="Arial"/>
          <w:sz w:val="18"/>
          <w:szCs w:val="18"/>
          <w:u w:val="single" w:color="auto"/>
          <w:color w:val="0000FF"/>
        </w:rPr>
      </w:pPr>
      <w:r>
        <w:rPr>
          <w:rFonts w:ascii="Arial" w:cs="Arial" w:eastAsia="Arial" w:hAnsi="Arial"/>
          <w:sz w:val="18"/>
          <w:szCs w:val="18"/>
          <w:color w:val="auto"/>
        </w:rPr>
        <w:t>99.1*</w:t>
      </w:r>
      <w:r>
        <w:rPr>
          <w:sz w:val="20"/>
          <w:szCs w:val="20"/>
          <w:color w:val="auto"/>
        </w:rPr>
        <w:tab/>
      </w:r>
      <w:hyperlink w:anchor="page4">
        <w:r>
          <w:rPr>
            <w:rFonts w:ascii="Arial" w:cs="Arial" w:eastAsia="Arial" w:hAnsi="Arial"/>
            <w:sz w:val="18"/>
            <w:szCs w:val="18"/>
            <w:u w:val="single" w:color="auto"/>
            <w:color w:val="0000FF"/>
          </w:rPr>
          <w:t>Press release of Lantheus Holdings, Inc. dated July 30, 2020, entitled "Lantheus Holdings, Inc. Reports Second Quarter 2020</w:t>
        </w:r>
      </w:hyperlink>
      <w:r>
        <w:rPr>
          <w:rFonts w:ascii="Arial" w:cs="Arial" w:eastAsia="Arial" w:hAnsi="Arial"/>
          <w:sz w:val="18"/>
          <w:szCs w:val="18"/>
          <w:u w:val="single" w:color="auto"/>
          <w:color w:val="0000FF"/>
        </w:rPr>
        <w:t xml:space="preserve"> </w:t>
      </w:r>
      <w:hyperlink w:anchor="page4">
        <w:r>
          <w:rPr>
            <w:rFonts w:ascii="Arial" w:cs="Arial" w:eastAsia="Arial" w:hAnsi="Arial"/>
            <w:sz w:val="18"/>
            <w:szCs w:val="18"/>
            <w:u w:val="single" w:color="auto"/>
            <w:color w:val="0000FF"/>
          </w:rPr>
          <w:t>Financial Results"</w:t>
        </w:r>
      </w:hyperlink>
    </w:p>
    <w:p>
      <w:pPr>
        <w:spacing w:after="0" w:line="202" w:lineRule="exact"/>
        <w:rPr>
          <w:sz w:val="20"/>
          <w:szCs w:val="20"/>
          <w:color w:val="auto"/>
        </w:rPr>
      </w:pPr>
    </w:p>
    <w:p>
      <w:pPr>
        <w:ind w:left="460" w:hanging="412"/>
        <w:spacing w:after="0" w:line="286" w:lineRule="auto"/>
        <w:tabs>
          <w:tab w:leader="none" w:pos="190" w:val="left"/>
        </w:tabs>
        <w:numPr>
          <w:ilvl w:val="0"/>
          <w:numId w:val="2"/>
        </w:numPr>
        <w:rPr>
          <w:rFonts w:ascii="Arial" w:cs="Arial" w:eastAsia="Arial" w:hAnsi="Arial"/>
          <w:sz w:val="17"/>
          <w:szCs w:val="17"/>
          <w:b w:val="1"/>
          <w:bCs w:val="1"/>
          <w:color w:val="auto"/>
        </w:rPr>
      </w:pPr>
      <w:r>
        <w:rPr>
          <w:rFonts w:ascii="Arial" w:cs="Arial" w:eastAsia="Arial" w:hAnsi="Arial"/>
          <w:sz w:val="17"/>
          <w:szCs w:val="17"/>
          <w:color w:val="auto"/>
        </w:rPr>
        <w:t>Exhibit 99.1 attached hereto is being furnished and shall not be deemed “filed” for purposes of Section 18 of the Securities Exchange Act of 1934, as amended, or otherwise subject to the liabilities of that section, nor shall such information be deemed incorporated by reference in any filing under the Securities Act of 1933, as amended, except as shall be expressly set forth by specific reference in such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671195</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769" w:right="35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55" w:lineRule="exact"/>
        <w:rPr>
          <w:sz w:val="20"/>
          <w:szCs w:val="20"/>
          <w:color w:val="auto"/>
        </w:rPr>
      </w:pPr>
    </w:p>
    <w:p>
      <w:pPr>
        <w:ind w:left="6640"/>
        <w:spacing w:after="0"/>
        <w:rPr>
          <w:sz w:val="20"/>
          <w:szCs w:val="20"/>
          <w:color w:val="auto"/>
        </w:rPr>
      </w:pPr>
      <w:r>
        <w:rPr>
          <w:rFonts w:ascii="Arial" w:cs="Arial" w:eastAsia="Arial" w:hAnsi="Arial"/>
          <w:sz w:val="18"/>
          <w:szCs w:val="18"/>
          <w:b w:val="1"/>
          <w:bCs w:val="1"/>
          <w:color w:val="auto"/>
        </w:rPr>
        <w:t>LANTHEUS HOLDINGS, INC.</w:t>
      </w:r>
    </w:p>
    <w:p>
      <w:pPr>
        <w:spacing w:after="0" w:line="270" w:lineRule="exact"/>
        <w:rPr>
          <w:sz w:val="20"/>
          <w:szCs w:val="20"/>
          <w:color w:val="auto"/>
        </w:rPr>
      </w:pPr>
    </w:p>
    <w:tbl>
      <w:tblPr>
        <w:tblLayout w:type="fixed"/>
        <w:tblInd w:w="6640" w:type="dxa"/>
        <w:tblCellMar>
          <w:top w:w="0" w:type="dxa"/>
          <w:left w:w="0" w:type="dxa"/>
          <w:bottom w:w="0" w:type="dxa"/>
          <w:right w:w="0" w:type="dxa"/>
        </w:tblCellMar>
      </w:tblPr>
      <w:tr>
        <w:trPr>
          <w:trHeight w:val="244"/>
        </w:trPr>
        <w:tc>
          <w:tcPr>
            <w:tcW w:w="760" w:type="dxa"/>
            <w:vAlign w:val="bottom"/>
          </w:tcPr>
          <w:p>
            <w:pPr>
              <w:spacing w:after="0"/>
              <w:rPr>
                <w:sz w:val="20"/>
                <w:szCs w:val="20"/>
                <w:color w:val="auto"/>
              </w:rPr>
            </w:pPr>
            <w:r>
              <w:rPr>
                <w:rFonts w:ascii="Arial" w:cs="Arial" w:eastAsia="Arial" w:hAnsi="Arial"/>
                <w:sz w:val="18"/>
                <w:szCs w:val="18"/>
                <w:color w:val="auto"/>
              </w:rPr>
              <w:t>By:</w:t>
            </w:r>
          </w:p>
        </w:tc>
        <w:tc>
          <w:tcPr>
            <w:tcW w:w="3840" w:type="dxa"/>
            <w:vAlign w:val="bottom"/>
          </w:tcPr>
          <w:p>
            <w:pPr>
              <w:ind w:left="20"/>
              <w:spacing w:after="0"/>
              <w:rPr>
                <w:sz w:val="20"/>
                <w:szCs w:val="20"/>
                <w:color w:val="auto"/>
              </w:rPr>
            </w:pPr>
            <w:r>
              <w:rPr>
                <w:rFonts w:ascii="Arial" w:cs="Arial" w:eastAsia="Arial" w:hAnsi="Arial"/>
                <w:sz w:val="18"/>
                <w:szCs w:val="18"/>
                <w:color w:val="auto"/>
              </w:rPr>
              <w:t>/s/ Michael P. Duffy</w:t>
            </w:r>
          </w:p>
        </w:tc>
        <w:tc>
          <w:tcPr>
            <w:tcW w:w="0" w:type="dxa"/>
            <w:vAlign w:val="bottom"/>
          </w:tcPr>
          <w:p>
            <w:pPr>
              <w:spacing w:after="0"/>
              <w:rPr>
                <w:sz w:val="1"/>
                <w:szCs w:val="1"/>
                <w:color w:val="auto"/>
              </w:rPr>
            </w:pPr>
          </w:p>
        </w:tc>
      </w:tr>
      <w:tr>
        <w:trPr>
          <w:trHeight w:val="74"/>
        </w:trPr>
        <w:tc>
          <w:tcPr>
            <w:tcW w:w="76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38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760" w:type="dxa"/>
            <w:vAlign w:val="bottom"/>
            <w:vMerge w:val="continue"/>
          </w:tcPr>
          <w:p>
            <w:pPr>
              <w:spacing w:after="0"/>
              <w:rPr>
                <w:sz w:val="21"/>
                <w:szCs w:val="21"/>
                <w:color w:val="auto"/>
              </w:rPr>
            </w:pPr>
          </w:p>
        </w:tc>
        <w:tc>
          <w:tcPr>
            <w:tcW w:w="3840" w:type="dxa"/>
            <w:vAlign w:val="bottom"/>
          </w:tcPr>
          <w:p>
            <w:pPr>
              <w:ind w:left="20"/>
              <w:spacing w:after="0"/>
              <w:rPr>
                <w:sz w:val="20"/>
                <w:szCs w:val="20"/>
                <w:color w:val="auto"/>
              </w:rPr>
            </w:pPr>
            <w:r>
              <w:rPr>
                <w:rFonts w:ascii="Arial" w:cs="Arial" w:eastAsia="Arial" w:hAnsi="Arial"/>
                <w:sz w:val="18"/>
                <w:szCs w:val="18"/>
                <w:color w:val="auto"/>
              </w:rPr>
              <w:t>Michael P. Duffy</w:t>
            </w:r>
          </w:p>
        </w:tc>
        <w:tc>
          <w:tcPr>
            <w:tcW w:w="0" w:type="dxa"/>
            <w:vAlign w:val="bottom"/>
          </w:tcPr>
          <w:p>
            <w:pPr>
              <w:spacing w:after="0"/>
              <w:rPr>
                <w:sz w:val="1"/>
                <w:szCs w:val="1"/>
                <w:color w:val="auto"/>
              </w:rPr>
            </w:pPr>
          </w:p>
        </w:tc>
      </w:tr>
      <w:tr>
        <w:trPr>
          <w:trHeight w:val="311"/>
        </w:trPr>
        <w:tc>
          <w:tcPr>
            <w:tcW w:w="760" w:type="dxa"/>
            <w:vAlign w:val="bottom"/>
          </w:tcPr>
          <w:p>
            <w:pPr>
              <w:spacing w:after="0"/>
              <w:rPr>
                <w:sz w:val="20"/>
                <w:szCs w:val="20"/>
                <w:color w:val="auto"/>
              </w:rPr>
            </w:pPr>
            <w:r>
              <w:rPr>
                <w:rFonts w:ascii="Arial" w:cs="Arial" w:eastAsia="Arial" w:hAnsi="Arial"/>
                <w:sz w:val="18"/>
                <w:szCs w:val="18"/>
                <w:color w:val="auto"/>
              </w:rPr>
              <w:t>Title:</w:t>
            </w:r>
          </w:p>
        </w:tc>
        <w:tc>
          <w:tcPr>
            <w:tcW w:w="3840" w:type="dxa"/>
            <w:vAlign w:val="bottom"/>
          </w:tcPr>
          <w:p>
            <w:pPr>
              <w:ind w:left="20"/>
              <w:spacing w:after="0"/>
              <w:rPr>
                <w:sz w:val="20"/>
                <w:szCs w:val="20"/>
                <w:color w:val="auto"/>
              </w:rPr>
            </w:pPr>
            <w:r>
              <w:rPr>
                <w:rFonts w:ascii="Arial" w:cs="Arial" w:eastAsia="Arial" w:hAnsi="Arial"/>
                <w:sz w:val="18"/>
                <w:szCs w:val="18"/>
                <w:color w:val="auto"/>
              </w:rPr>
              <w:t>Senior Vice President and General Counsel</w:t>
            </w:r>
          </w:p>
        </w:tc>
        <w:tc>
          <w:tcPr>
            <w:tcW w:w="0" w:type="dxa"/>
            <w:vAlign w:val="bottom"/>
          </w:tcPr>
          <w:p>
            <w:pPr>
              <w:spacing w:after="0"/>
              <w:rPr>
                <w:sz w:val="1"/>
                <w:szCs w:val="1"/>
                <w:color w:val="auto"/>
              </w:rPr>
            </w:pPr>
          </w:p>
        </w:tc>
      </w:tr>
    </w:tbl>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Date: July 30, 2020</w:t>
      </w:r>
    </w:p>
    <w:p>
      <w:pPr>
        <w:sectPr>
          <w:pgSz w:w="11900" w:h="16838" w:orient="portrait"/>
          <w:cols w:equalWidth="0" w:num="1">
            <w:col w:w="11240"/>
          </w:cols>
          <w:pgMar w:left="320" w:top="769" w:right="339" w:bottom="1440" w:gutter="0" w:footer="0" w:header="0"/>
        </w:sectPr>
      </w:pPr>
    </w:p>
    <w:bookmarkStart w:id="3" w:name="page4"/>
    <w:bookmarkEnd w:id="3"/>
    <w:p>
      <w:pPr>
        <w:ind w:left="10320"/>
        <w:spacing w:after="0"/>
        <w:rPr>
          <w:sz w:val="20"/>
          <w:szCs w:val="20"/>
          <w:color w:val="auto"/>
        </w:rPr>
      </w:pPr>
      <w:r>
        <w:rPr>
          <w:rFonts w:ascii="Arial" w:cs="Arial" w:eastAsia="Arial" w:hAnsi="Arial"/>
          <w:sz w:val="16"/>
          <w:szCs w:val="16"/>
          <w:b w:val="1"/>
          <w:bCs w:val="1"/>
          <w:color w:val="auto"/>
        </w:rPr>
        <w:t>Exhibit 99.1</w:t>
      </w:r>
    </w:p>
    <w:p>
      <w:pPr>
        <w:sectPr>
          <w:pgSz w:w="11900" w:h="16838" w:orient="portrait"/>
          <w:cols w:equalWidth="0" w:num="1">
            <w:col w:w="11240"/>
          </w:cols>
          <w:pgMar w:left="320" w:top="661" w:right="339" w:bottom="1440" w:gutter="0" w:footer="0" w:header="0"/>
        </w:sectPr>
      </w:pPr>
    </w:p>
    <w:p>
      <w:pPr>
        <w:spacing w:after="0" w:line="306"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331 Treble Cove Road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-130175</wp:posOffset>
            </wp:positionV>
            <wp:extent cx="1739900" cy="4889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739900" cy="488950"/>
                    </a:xfrm>
                    <a:prstGeom prst="rect">
                      <a:avLst/>
                    </a:prstGeom>
                    <a:noFill/>
                  </pic:spPr>
                </pic:pic>
              </a:graphicData>
            </a:graphic>
          </wp:anchor>
        </w:drawing>
      </w:r>
    </w:p>
    <w:p>
      <w:pPr>
        <w:spacing w:after="0" w:line="3" w:lineRule="exact"/>
        <w:rPr>
          <w:sz w:val="20"/>
          <w:szCs w:val="20"/>
          <w:color w:val="auto"/>
        </w:rPr>
      </w:pPr>
    </w:p>
    <w:p>
      <w:pPr>
        <w:ind w:left="6540"/>
        <w:spacing w:after="0"/>
        <w:rPr>
          <w:sz w:val="20"/>
          <w:szCs w:val="20"/>
          <w:color w:val="auto"/>
        </w:rPr>
      </w:pPr>
      <w:r>
        <w:rPr>
          <w:rFonts w:ascii="Arial" w:cs="Arial" w:eastAsia="Arial" w:hAnsi="Arial"/>
          <w:sz w:val="17"/>
          <w:szCs w:val="17"/>
          <w:color w:val="auto"/>
        </w:rPr>
        <w:t>North Billerica, MA 01862</w:t>
      </w:r>
    </w:p>
    <w:p>
      <w:pPr>
        <w:spacing w:after="0" w:line="20" w:lineRule="exact"/>
        <w:rPr>
          <w:sz w:val="20"/>
          <w:szCs w:val="20"/>
          <w:color w:val="auto"/>
        </w:rPr>
      </w:pPr>
      <w:r>
        <w:rPr>
          <w:sz w:val="20"/>
          <w:szCs w:val="20"/>
          <w:color w:val="auto"/>
        </w:rPr>
        <w:br w:type="column"/>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color w:val="auto"/>
        </w:rPr>
        <w:t>800.362.2668</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www.lantheus.com</w:t>
      </w:r>
    </w:p>
    <w:p>
      <w:pPr>
        <w:spacing w:after="0" w:line="211" w:lineRule="exact"/>
        <w:rPr>
          <w:sz w:val="20"/>
          <w:szCs w:val="20"/>
          <w:color w:val="auto"/>
        </w:rPr>
      </w:pPr>
    </w:p>
    <w:p>
      <w:pPr>
        <w:sectPr>
          <w:pgSz w:w="11900" w:h="16838" w:orient="portrait"/>
          <w:cols w:equalWidth="0" w:num="2">
            <w:col w:w="8480" w:space="480"/>
            <w:col w:w="2280"/>
          </w:cols>
          <w:pgMar w:left="320" w:top="661" w:right="339" w:bottom="1440" w:gutter="0" w:footer="0" w:header="0"/>
          <w:type w:val="continuous"/>
        </w:sectPr>
      </w:pPr>
    </w:p>
    <w:p>
      <w:pPr>
        <w:spacing w:after="0" w:line="35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Lantheus Holdings, Inc. Reports Second Quarter 2020 Financial Results</w:t>
      </w:r>
    </w:p>
    <w:p>
      <w:pPr>
        <w:spacing w:after="0" w:line="225" w:lineRule="exact"/>
        <w:rPr>
          <w:sz w:val="20"/>
          <w:szCs w:val="20"/>
          <w:color w:val="auto"/>
        </w:rPr>
      </w:pPr>
    </w:p>
    <w:p>
      <w:pPr>
        <w:ind w:left="660" w:hanging="328"/>
        <w:spacing w:after="0"/>
        <w:tabs>
          <w:tab w:leader="none" w:pos="660" w:val="left"/>
        </w:tabs>
        <w:numPr>
          <w:ilvl w:val="0"/>
          <w:numId w:val="3"/>
        </w:numPr>
        <w:rPr>
          <w:rFonts w:ascii="Arial" w:cs="Arial" w:eastAsia="Arial" w:hAnsi="Arial"/>
          <w:sz w:val="16"/>
          <w:szCs w:val="16"/>
          <w:b w:val="1"/>
          <w:bCs w:val="1"/>
          <w:color w:val="auto"/>
        </w:rPr>
      </w:pPr>
      <w:r>
        <w:rPr>
          <w:rFonts w:ascii="Arial" w:cs="Arial" w:eastAsia="Arial" w:hAnsi="Arial"/>
          <w:sz w:val="16"/>
          <w:szCs w:val="16"/>
          <w:b w:val="1"/>
          <w:bCs w:val="1"/>
          <w:color w:val="auto"/>
        </w:rPr>
        <w:t>Completed acquisition of Progenics Pharmaceuticals, Inc., adding robust portfolio of oncology therapeutics and diagnostics to pipeline</w:t>
      </w:r>
    </w:p>
    <w:p>
      <w:pPr>
        <w:spacing w:after="0" w:line="248" w:lineRule="exact"/>
        <w:rPr>
          <w:rFonts w:ascii="Arial" w:cs="Arial" w:eastAsia="Arial" w:hAnsi="Arial"/>
          <w:sz w:val="16"/>
          <w:szCs w:val="16"/>
          <w:b w:val="1"/>
          <w:bCs w:val="1"/>
          <w:color w:val="auto"/>
        </w:rPr>
      </w:pPr>
    </w:p>
    <w:p>
      <w:pPr>
        <w:ind w:left="660" w:hanging="328"/>
        <w:spacing w:after="0"/>
        <w:tabs>
          <w:tab w:leader="none" w:pos="660" w:val="left"/>
        </w:tabs>
        <w:numPr>
          <w:ilvl w:val="0"/>
          <w:numId w:val="3"/>
        </w:numPr>
        <w:rPr>
          <w:rFonts w:ascii="Arial" w:cs="Arial" w:eastAsia="Arial" w:hAnsi="Arial"/>
          <w:sz w:val="17"/>
          <w:szCs w:val="17"/>
          <w:b w:val="1"/>
          <w:bCs w:val="1"/>
          <w:color w:val="auto"/>
        </w:rPr>
      </w:pPr>
      <w:r>
        <w:rPr>
          <w:rFonts w:ascii="Arial" w:cs="Arial" w:eastAsia="Arial" w:hAnsi="Arial"/>
          <w:sz w:val="17"/>
          <w:szCs w:val="17"/>
          <w:b w:val="1"/>
          <w:bCs w:val="1"/>
          <w:color w:val="auto"/>
        </w:rPr>
        <w:t>Worldwide revenue of $66.0 million for the second quarter 2020, representing a decrease of 23.0% from the prior year period</w:t>
      </w:r>
    </w:p>
    <w:p>
      <w:pPr>
        <w:spacing w:after="0" w:line="236" w:lineRule="exact"/>
        <w:rPr>
          <w:rFonts w:ascii="Arial" w:cs="Arial" w:eastAsia="Arial" w:hAnsi="Arial"/>
          <w:sz w:val="17"/>
          <w:szCs w:val="17"/>
          <w:b w:val="1"/>
          <w:bCs w:val="1"/>
          <w:color w:val="auto"/>
        </w:rPr>
      </w:pPr>
    </w:p>
    <w:p>
      <w:pPr>
        <w:ind w:left="660" w:hanging="328"/>
        <w:spacing w:after="0"/>
        <w:tabs>
          <w:tab w:leader="none" w:pos="66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Net loss of $7.0 million for the second quarter 2020, compared to net income of $6.4 million in the prior year period</w:t>
      </w:r>
    </w:p>
    <w:p>
      <w:pPr>
        <w:spacing w:after="0" w:line="225" w:lineRule="exact"/>
        <w:rPr>
          <w:rFonts w:ascii="Arial" w:cs="Arial" w:eastAsia="Arial" w:hAnsi="Arial"/>
          <w:sz w:val="18"/>
          <w:szCs w:val="18"/>
          <w:b w:val="1"/>
          <w:bCs w:val="1"/>
          <w:color w:val="auto"/>
        </w:rPr>
      </w:pPr>
    </w:p>
    <w:p>
      <w:pPr>
        <w:ind w:left="660" w:right="360" w:hanging="328"/>
        <w:spacing w:after="0" w:line="312" w:lineRule="auto"/>
        <w:tabs>
          <w:tab w:leader="none" w:pos="655" w:val="left"/>
        </w:tabs>
        <w:numPr>
          <w:ilvl w:val="0"/>
          <w:numId w:val="3"/>
        </w:numPr>
        <w:rPr>
          <w:rFonts w:ascii="Arial" w:cs="Arial" w:eastAsia="Arial" w:hAnsi="Arial"/>
          <w:sz w:val="17"/>
          <w:szCs w:val="17"/>
          <w:b w:val="1"/>
          <w:bCs w:val="1"/>
          <w:color w:val="auto"/>
        </w:rPr>
      </w:pPr>
      <w:r>
        <w:rPr>
          <w:rFonts w:ascii="Arial" w:cs="Arial" w:eastAsia="Arial" w:hAnsi="Arial"/>
          <w:sz w:val="17"/>
          <w:szCs w:val="17"/>
          <w:b w:val="1"/>
          <w:bCs w:val="1"/>
          <w:color w:val="auto"/>
        </w:rPr>
        <w:t>GAAP diluted EPS of $(0.16) for the second quarter 2020, compared to GAAP diluted EPS of $0.16 in the prior year period; adjusted diluted EPS of $0.10 for the second quarter 2020, compared to adjusted diluted EPS of $0.27 in the prior year period</w:t>
      </w:r>
    </w:p>
    <w:p>
      <w:pPr>
        <w:spacing w:after="0" w:line="139" w:lineRule="exact"/>
        <w:rPr>
          <w:rFonts w:ascii="Arial" w:cs="Arial" w:eastAsia="Arial" w:hAnsi="Arial"/>
          <w:sz w:val="17"/>
          <w:szCs w:val="17"/>
          <w:b w:val="1"/>
          <w:bCs w:val="1"/>
          <w:color w:val="auto"/>
        </w:rPr>
      </w:pPr>
    </w:p>
    <w:p>
      <w:pPr>
        <w:ind w:left="660" w:right="240" w:hanging="328"/>
        <w:spacing w:after="0" w:line="282" w:lineRule="auto"/>
        <w:tabs>
          <w:tab w:leader="none" w:pos="655"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Net cash used in operating activities was $2.2 million for the second quarter 2020. Free cash flow was a use of $4.4 million in the second quarter 2020</w:t>
      </w:r>
    </w:p>
    <w:p>
      <w:pPr>
        <w:spacing w:after="0" w:line="166" w:lineRule="exact"/>
        <w:rPr>
          <w:sz w:val="20"/>
          <w:szCs w:val="20"/>
          <w:color w:val="auto"/>
        </w:rPr>
      </w:pPr>
    </w:p>
    <w:p>
      <w:pPr>
        <w:ind w:right="280"/>
        <w:spacing w:after="0" w:line="263" w:lineRule="auto"/>
        <w:rPr>
          <w:sz w:val="20"/>
          <w:szCs w:val="20"/>
          <w:color w:val="auto"/>
        </w:rPr>
      </w:pPr>
      <w:r>
        <w:rPr>
          <w:rFonts w:ascii="Arial" w:cs="Arial" w:eastAsia="Arial" w:hAnsi="Arial"/>
          <w:sz w:val="18"/>
          <w:szCs w:val="18"/>
          <w:color w:val="auto"/>
        </w:rPr>
        <w:t xml:space="preserve">NORTH BILLERICA, MA., July 30, 2020 - </w:t>
      </w:r>
      <w:r>
        <w:rPr>
          <w:rFonts w:ascii="Arial" w:cs="Arial" w:eastAsia="Arial" w:hAnsi="Arial"/>
          <w:sz w:val="18"/>
          <w:szCs w:val="18"/>
          <w:u w:val="single" w:color="auto"/>
          <w:color w:val="0563C1"/>
        </w:rPr>
        <w:t>Lantheus Holdings, Inc.</w:t>
      </w:r>
      <w:r>
        <w:rPr>
          <w:rFonts w:ascii="Arial" w:cs="Arial" w:eastAsia="Arial" w:hAnsi="Arial"/>
          <w:sz w:val="18"/>
          <w:szCs w:val="18"/>
          <w:color w:val="auto"/>
        </w:rPr>
        <w:t xml:space="preserve"> (the “Company”) (NASDAQ: LNTH), the parent company of Lantheus Medical Imaging, Inc. and Progenics Pharmaceuticals, Inc., and a global leader in the development, manufacture and commercialization of innovative diagnostic and therapeutic agents and products, today reported financial results for its second quarter ended June 30, 2020.</w:t>
      </w:r>
    </w:p>
    <w:p>
      <w:pPr>
        <w:spacing w:after="0" w:line="184"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On June 19, 2020, the Company completed the acquisition of Progenics Pharmaceuticals, adding three leading FDA approved products and an emerging clinical-stage pipeline of radiopharmaceutical therapeutics and diagnostics for the treatment of cancer.</w:t>
      </w:r>
    </w:p>
    <w:p>
      <w:pPr>
        <w:spacing w:after="0" w:line="170" w:lineRule="exact"/>
        <w:rPr>
          <w:sz w:val="20"/>
          <w:szCs w:val="20"/>
          <w:color w:val="auto"/>
        </w:rPr>
      </w:pPr>
    </w:p>
    <w:p>
      <w:pPr>
        <w:ind w:right="440"/>
        <w:spacing w:after="0" w:line="277" w:lineRule="auto"/>
        <w:rPr>
          <w:sz w:val="20"/>
          <w:szCs w:val="20"/>
          <w:color w:val="auto"/>
        </w:rPr>
      </w:pPr>
      <w:r>
        <w:rPr>
          <w:rFonts w:ascii="Arial" w:cs="Arial" w:eastAsia="Arial" w:hAnsi="Arial"/>
          <w:sz w:val="18"/>
          <w:szCs w:val="18"/>
          <w:color w:val="auto"/>
        </w:rPr>
        <w:t>The Company’s worldwide revenue for the second quarter of 2020 totaled $66.0 million, compared with $85.7 million for the second quarter of 2019, representing a decrease of 23.0% from the prior year period.</w:t>
      </w:r>
    </w:p>
    <w:p>
      <w:pPr>
        <w:spacing w:after="0" w:line="170"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The Company’s second quarter 2020 net loss was $7.0 million, or $(0.16) per fully diluted share, as compared to net income of $6.4 million, or $0.16 per fully diluted share for the second quarter of 2019.</w:t>
      </w:r>
    </w:p>
    <w:p>
      <w:pPr>
        <w:spacing w:after="0" w:line="170" w:lineRule="exact"/>
        <w:rPr>
          <w:sz w:val="20"/>
          <w:szCs w:val="20"/>
          <w:color w:val="auto"/>
        </w:rPr>
      </w:pPr>
    </w:p>
    <w:p>
      <w:pPr>
        <w:ind w:right="920"/>
        <w:spacing w:after="0" w:line="277" w:lineRule="auto"/>
        <w:rPr>
          <w:sz w:val="20"/>
          <w:szCs w:val="20"/>
          <w:color w:val="auto"/>
        </w:rPr>
      </w:pPr>
      <w:r>
        <w:rPr>
          <w:rFonts w:ascii="Arial" w:cs="Arial" w:eastAsia="Arial" w:hAnsi="Arial"/>
          <w:sz w:val="18"/>
          <w:szCs w:val="18"/>
          <w:color w:val="auto"/>
        </w:rPr>
        <w:t>The Company’s second quarter 2020 adjusted fully diluted earnings per share were $0.10, as compared to $0.27 for the second quarter of 2019, representing a decrease of 63.0% from the prior year period.</w:t>
      </w:r>
    </w:p>
    <w:p>
      <w:pPr>
        <w:spacing w:after="0" w:line="170"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Lastly, net cash used in operating activities was $2.2 million for the second quarter 2020. Free Cash Flow was a use of $4.4 million in the second quarter of 2020, representing a decrease of approximately $22.0 million from the prior year period.</w:t>
      </w:r>
    </w:p>
    <w:p>
      <w:pPr>
        <w:spacing w:after="0" w:line="170"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“As we continue to navigate through the COVID-19 global pandemic, the health and safety of our employees, patients, and other partners in the healthcare community remain our top priority. We closed our acquisition of Progenics in June and are now integrating our portfolio of innovative products and product candidates to enhance our diagnostic and therapeutic footprint,” said Mary Anne Heino, President and CEO. “Procedures utilizing our products for the second quarter were impacted by COVID-related hospital and customer restrictions. However, we demonstrated an impressive month-to-month recovery in our business as healthcare markets across the U.S. began to re-open. As we look to the future, our focus will be on unlocking value across our newly combined company including our exciting portfolio of opportunities.”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Outlook</w:t>
      </w:r>
    </w:p>
    <w:p>
      <w:pPr>
        <w:spacing w:after="0" w:line="229"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On April 9, 2020, the Company withdrew full year 2020 revenue, revenue growth, and adjusted fully diluted earnings per share guidance as a result of the continued uncertainties surrounding the scope, duration and impacts of the COVID-19 pandemic. Due to these uncertainties, and uncertain timing of global recovery and economic normalization, Lantheus continues to be unable to provide guidance as to the overall impacts on its operations and financial results during the ongoing pandemic.</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1 of 8</w:t>
      </w:r>
    </w:p>
    <w:p>
      <w:pPr>
        <w:sectPr>
          <w:pgSz w:w="11900" w:h="16838" w:orient="portrait"/>
          <w:cols w:equalWidth="0" w:num="1">
            <w:col w:w="11240"/>
          </w:cols>
          <w:pgMar w:left="320" w:top="661" w:right="339" w:bottom="1440" w:gutter="0" w:footer="0" w:header="0"/>
          <w:type w:val="continuous"/>
        </w:sectPr>
      </w:pPr>
    </w:p>
    <w:bookmarkStart w:id="4" w:name="page5"/>
    <w:bookmarkEnd w:id="4"/>
    <w:p>
      <w:pPr>
        <w:spacing w:after="0"/>
        <w:rPr>
          <w:sz w:val="20"/>
          <w:szCs w:val="20"/>
          <w:color w:val="auto"/>
        </w:rPr>
      </w:pPr>
      <w:r>
        <w:rPr>
          <w:rFonts w:ascii="Arial" w:cs="Arial" w:eastAsia="Arial" w:hAnsi="Arial"/>
          <w:sz w:val="18"/>
          <w:szCs w:val="18"/>
          <w:b w:val="1"/>
          <w:bCs w:val="1"/>
          <w:color w:val="auto"/>
        </w:rPr>
        <w:t>Internet Posting of Information</w:t>
      </w:r>
    </w:p>
    <w:p>
      <w:pPr>
        <w:spacing w:after="0" w:line="229"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The Company routinely posts information that may be important to investors in the “Investors” section of its website at www.lantheus.com. The Company encourages investors and potential investors to consult its website regularly for important information about the Company.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Conference Call and Webcast</w:t>
      </w:r>
    </w:p>
    <w:p>
      <w:pPr>
        <w:spacing w:after="0" w:line="229" w:lineRule="exact"/>
        <w:rPr>
          <w:sz w:val="20"/>
          <w:szCs w:val="20"/>
          <w:color w:val="auto"/>
        </w:rPr>
      </w:pPr>
    </w:p>
    <w:p>
      <w:pPr>
        <w:ind w:right="140"/>
        <w:spacing w:after="0" w:line="263" w:lineRule="auto"/>
        <w:rPr>
          <w:sz w:val="20"/>
          <w:szCs w:val="20"/>
          <w:color w:val="auto"/>
        </w:rPr>
      </w:pPr>
      <w:r>
        <w:rPr>
          <w:rFonts w:ascii="Arial" w:cs="Arial" w:eastAsia="Arial" w:hAnsi="Arial"/>
          <w:sz w:val="18"/>
          <w:szCs w:val="18"/>
          <w:color w:val="auto"/>
        </w:rPr>
        <w:t>As previously announced, the Company will host a conference call on Thursday, July 30, 2020 at 8:00 a.m. ET. To access the live conference call via telephone, please dial 1-866-498-8390 (U.S. callers) or 1-678-509-7599 (international callers) and provide passcode 5565687. A live audio webcast of the call also will be available in the Investors section of the Company’s website at www.lantheus.com.</w:t>
      </w:r>
    </w:p>
    <w:p>
      <w:pPr>
        <w:spacing w:after="0" w:line="184"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A replay of the audio webcast will be available in the Investors section of our website at www.lantheus.com approximately two hours after completion of the call and will be archived for 30 days.</w:t>
      </w:r>
    </w:p>
    <w:p>
      <w:pPr>
        <w:spacing w:after="0" w:line="170" w:lineRule="exact"/>
        <w:rPr>
          <w:sz w:val="20"/>
          <w:szCs w:val="20"/>
          <w:color w:val="auto"/>
        </w:rPr>
      </w:pPr>
    </w:p>
    <w:p>
      <w:pPr>
        <w:ind w:right="180"/>
        <w:spacing w:after="0" w:line="286" w:lineRule="auto"/>
        <w:rPr>
          <w:sz w:val="20"/>
          <w:szCs w:val="20"/>
          <w:color w:val="auto"/>
        </w:rPr>
      </w:pPr>
      <w:r>
        <w:rPr>
          <w:rFonts w:ascii="Arial" w:cs="Arial" w:eastAsia="Arial" w:hAnsi="Arial"/>
          <w:sz w:val="17"/>
          <w:szCs w:val="17"/>
          <w:color w:val="auto"/>
        </w:rPr>
        <w:t>The conference call will include a discussion of non-GAAP financial measures. Reference is made to the most directly comparable GAAP financial measures, the reconciliation of the differences between the two financial measures, and the other information included in this press release, our Form 8-K filed with the SEC today, or otherwise available in the Investor Relations section of our website located at www.lantheus.com.</w:t>
      </w:r>
    </w:p>
    <w:p>
      <w:pPr>
        <w:spacing w:after="0" w:line="16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conference call may include forward-looking statements. See the cautionary information about forward-looking statements in the safe-harbor section of this press release.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Lantheus Holdings, Inc.</w:t>
      </w:r>
    </w:p>
    <w:p>
      <w:pPr>
        <w:spacing w:after="0" w:line="229"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Lantheus Holdings, Inc. is the parent company of Lantheus Medical Imaging, Inc. and Progenics Pharmaceuticals, Inc., and a global leader in the development, manufacture and commercialization of innovative diagnostic and therapeutic agents and products. Lantheus provides a broad portfolio of products, including the echocardiography agent DEFINITY® Vial for (Perflutren Lipid Microsphere) Injectable Suspension; TechneLite® (Technetium Tc99m Generator), a technetium-based generator that provides the essential medical isotope used in nuclear medicine procedures; AZEDRA® for the treatment of certain rare neuroendocrine tumors; and RELISTOR® for the treatment of opioid-induced constipation, which is partnered with Bausch Health Companies, Inc. The Company is headquartered in North Billerica, Massachusetts with offices in New York, New Jersey, Puerto Rico, Canada and Sweden. For more information, visit www.lantheus.com.</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Financial Measures</w:t>
      </w:r>
    </w:p>
    <w:p>
      <w:pPr>
        <w:spacing w:after="0" w:line="229" w:lineRule="exact"/>
        <w:rPr>
          <w:sz w:val="20"/>
          <w:szCs w:val="20"/>
          <w:color w:val="auto"/>
        </w:rPr>
      </w:pPr>
    </w:p>
    <w:p>
      <w:pPr>
        <w:ind w:right="20"/>
        <w:spacing w:after="0" w:line="291" w:lineRule="auto"/>
        <w:rPr>
          <w:sz w:val="20"/>
          <w:szCs w:val="20"/>
          <w:color w:val="auto"/>
        </w:rPr>
      </w:pPr>
      <w:r>
        <w:rPr>
          <w:rFonts w:ascii="Arial" w:cs="Arial" w:eastAsia="Arial" w:hAnsi="Arial"/>
          <w:sz w:val="16"/>
          <w:szCs w:val="16"/>
          <w:color w:val="auto"/>
        </w:rPr>
        <w:t>The Company uses non-GAAP financial measures, such as adjusted net income and its line components; adjusted net income per share - fully diluted; and free cash flow. The Company’s management believes that the presentation of these measures provides useful information to investors. These measures may assist investors in evaluating the Company’s operations, period over period. However, these measures may exclude items that may be highly variable, difficult to predict and of a size that could have a substantial impact on the Company’s reported results of operations for a particular period. Management uses these and other non-GAAP measures internally for evaluation of the performance of the business, including the allocation of resources and the evaluation of results relative to employee performance compensation targets. Investors should consider these non-GAAP measures only as a supplement to, not as a substitute for or as superior to, measures of financial performance prepared in accordance with GAAP.</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Safe Harbor for Forward-Looking and Cautionary Statements</w:t>
      </w:r>
    </w:p>
    <w:p>
      <w:pPr>
        <w:spacing w:after="0" w:line="229" w:lineRule="exact"/>
        <w:rPr>
          <w:sz w:val="20"/>
          <w:szCs w:val="20"/>
          <w:color w:val="auto"/>
        </w:rPr>
      </w:pPr>
    </w:p>
    <w:p>
      <w:pPr>
        <w:ind w:right="60"/>
        <w:spacing w:after="0" w:line="269" w:lineRule="auto"/>
        <w:rPr>
          <w:sz w:val="20"/>
          <w:szCs w:val="20"/>
          <w:color w:val="auto"/>
        </w:rPr>
      </w:pPr>
      <w:r>
        <w:rPr>
          <w:rFonts w:ascii="Arial" w:cs="Arial" w:eastAsia="Arial" w:hAnsi="Arial"/>
          <w:sz w:val="17"/>
          <w:szCs w:val="17"/>
          <w:i w:val="1"/>
          <w:iCs w:val="1"/>
          <w:color w:val="auto"/>
        </w:rPr>
        <w:t>This press release contains “forward-looking statements” as defined under U.S. federal securities laws, including statements about our 2020 outlook. Forward-looking statements may be identified by their use of terms such as anticipate, believe, confident, could, estimate, expect, intend, may, plan, predict, project, target, will and other similar terms. Such forward-looking statements are subject to risks and uncertainties that could cause actual results to materially differ from those described in the forward-looking statements. Readers are cautioned not to place undue reliance on the forward-looking statements contained herein, which speak only as of the date hereof. The Company undertakes no obligation to publicly update any forward-looking statement, whether as a result of new information, future developments or otherwise, except as may be required by law. Risks and uncertainties that could cause our actual results to materially differ from those described in the forward-looking statements include (i) our future operating results; (ii) the impact of the COVID-19 pandemic on our business, financial condition and prospects; (iii) risks that the anticipated benefits of the acquisition of Progenics Pharmaceuticals, Inc. or other commercial opportunities may otherwise not be fully realized or may take longer to realize than expected; (iv) expectations for future clinical trials, the timing and potential outcomes of clinical studies and filings and other interactions with regulatory authorities; and (v) the risk and uncertainties discussed in our filings with the Securities and Exchange Commission (including those described in the Risk Factors section in our Annual Reports on Form 10-K and our Quarterly Reports on Form 10-Q).</w:t>
      </w:r>
    </w:p>
    <w:p>
      <w:pPr>
        <w:spacing w:after="0" w:line="1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Tables Follow -</w:t>
      </w:r>
    </w:p>
    <w:p>
      <w:pPr>
        <w:spacing w:after="0" w:line="11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2 of 8</w:t>
      </w:r>
    </w:p>
    <w:p>
      <w:pPr>
        <w:sectPr>
          <w:pgSz w:w="11900" w:h="16838" w:orient="portrait"/>
          <w:cols w:equalWidth="0" w:num="1">
            <w:col w:w="11240"/>
          </w:cols>
          <w:pgMar w:left="320" w:top="877" w:right="339" w:bottom="1440" w:gutter="0" w:footer="0" w:header="0"/>
        </w:sectPr>
      </w:pPr>
    </w:p>
    <w:bookmarkStart w:id="5" w:name="page6"/>
    <w:bookmarkEnd w:id="5"/>
    <w:p>
      <w:pPr>
        <w:jc w:val="center"/>
        <w:ind w:right="20"/>
        <w:spacing w:after="0"/>
        <w:rPr>
          <w:sz w:val="20"/>
          <w:szCs w:val="20"/>
          <w:color w:val="auto"/>
        </w:rPr>
      </w:pPr>
      <w:r>
        <w:rPr>
          <w:rFonts w:ascii="Arial" w:cs="Arial" w:eastAsia="Arial" w:hAnsi="Arial"/>
          <w:sz w:val="18"/>
          <w:szCs w:val="18"/>
          <w:b w:val="1"/>
          <w:bCs w:val="1"/>
          <w:color w:val="auto"/>
        </w:rPr>
        <w:t>Lantheus Holdings, Inc.</w:t>
      </w:r>
    </w:p>
    <w:p>
      <w:pPr>
        <w:spacing w:after="0" w:line="63"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6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(in thousands, except per share data – unaudited)</w:t>
      </w: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9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40" w:type="dxa"/>
            <w:vAlign w:val="bottom"/>
            <w:gridSpan w:val="5"/>
          </w:tcPr>
          <w:p>
            <w:pPr>
              <w:ind w:left="260"/>
              <w:spacing w:after="0"/>
              <w:rPr>
                <w:sz w:val="20"/>
                <w:szCs w:val="20"/>
                <w:color w:val="auto"/>
              </w:rPr>
            </w:pPr>
            <w:r>
              <w:rPr>
                <w:rFonts w:ascii="Arial" w:cs="Arial" w:eastAsia="Arial" w:hAnsi="Arial"/>
                <w:sz w:val="14"/>
                <w:szCs w:val="14"/>
                <w:b w:val="1"/>
                <w:bCs w:val="1"/>
                <w:color w:val="auto"/>
              </w:rPr>
              <w:t>Three Months Ended</w:t>
            </w:r>
          </w:p>
        </w:tc>
        <w:tc>
          <w:tcPr>
            <w:tcW w:w="280" w:type="dxa"/>
            <w:vAlign w:val="bottom"/>
          </w:tcPr>
          <w:p>
            <w:pPr>
              <w:spacing w:after="0"/>
              <w:rPr>
                <w:sz w:val="14"/>
                <w:szCs w:val="14"/>
                <w:color w:val="auto"/>
              </w:rPr>
            </w:pPr>
          </w:p>
        </w:tc>
        <w:tc>
          <w:tcPr>
            <w:tcW w:w="2180" w:type="dxa"/>
            <w:vAlign w:val="bottom"/>
            <w:gridSpan w:val="4"/>
          </w:tcPr>
          <w:p>
            <w:pPr>
              <w:jc w:val="right"/>
              <w:ind w:right="591"/>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92"/>
        </w:trPr>
        <w:tc>
          <w:tcPr>
            <w:tcW w:w="496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3"/>
          </w:tcPr>
          <w:p>
            <w:pPr>
              <w:jc w:val="right"/>
              <w:ind w:right="30"/>
              <w:spacing w:after="0"/>
              <w:rPr>
                <w:sz w:val="20"/>
                <w:szCs w:val="20"/>
                <w:color w:val="auto"/>
              </w:rPr>
            </w:pPr>
            <w:r>
              <w:rPr>
                <w:rFonts w:ascii="Arial" w:cs="Arial" w:eastAsia="Arial" w:hAnsi="Arial"/>
                <w:sz w:val="14"/>
                <w:szCs w:val="14"/>
                <w:b w:val="1"/>
                <w:bCs w:val="1"/>
                <w:color w:val="auto"/>
              </w:rPr>
              <w:t>June 30,</w:t>
            </w:r>
          </w:p>
        </w:tc>
        <w:tc>
          <w:tcPr>
            <w:tcW w:w="860" w:type="dxa"/>
            <w:vAlign w:val="bottom"/>
            <w:tcBorders>
              <w:bottom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gridSpan w:val="3"/>
          </w:tcPr>
          <w:p>
            <w:pPr>
              <w:jc w:val="right"/>
              <w:ind w:right="30"/>
              <w:spacing w:after="0"/>
              <w:rPr>
                <w:sz w:val="20"/>
                <w:szCs w:val="20"/>
                <w:color w:val="auto"/>
              </w:rPr>
            </w:pPr>
            <w:r>
              <w:rPr>
                <w:rFonts w:ascii="Arial" w:cs="Arial" w:eastAsia="Arial" w:hAnsi="Arial"/>
                <w:sz w:val="14"/>
                <w:szCs w:val="14"/>
                <w:b w:val="1"/>
                <w:bCs w:val="1"/>
                <w:color w:val="auto"/>
              </w:rPr>
              <w:t>June 30,</w:t>
            </w: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496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373"/>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351"/>
              <w:spacing w:after="0"/>
              <w:rPr>
                <w:sz w:val="20"/>
                <w:szCs w:val="20"/>
                <w:color w:val="auto"/>
              </w:rPr>
            </w:pPr>
            <w:r>
              <w:rPr>
                <w:rFonts w:ascii="Arial" w:cs="Arial" w:eastAsia="Arial" w:hAnsi="Arial"/>
                <w:sz w:val="14"/>
                <w:szCs w:val="14"/>
                <w:b w:val="1"/>
                <w:bCs w:val="1"/>
                <w:color w:val="auto"/>
              </w:rPr>
              <w:t>2019</w:t>
            </w:r>
          </w:p>
        </w:tc>
        <w:tc>
          <w:tcPr>
            <w:tcW w:w="8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353"/>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371"/>
              <w:spacing w:after="0"/>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r>
        <w:trPr>
          <w:trHeight w:val="249"/>
        </w:trPr>
        <w:tc>
          <w:tcPr>
            <w:tcW w:w="49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Revenues</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66,010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85,705</w:t>
            </w:r>
          </w:p>
        </w:tc>
        <w:tc>
          <w:tcPr>
            <w:tcW w:w="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156,714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172,215</w:t>
            </w:r>
          </w:p>
        </w:tc>
        <w:tc>
          <w:tcPr>
            <w:tcW w:w="0" w:type="dxa"/>
            <w:vAlign w:val="bottom"/>
          </w:tcPr>
          <w:p>
            <w:pPr>
              <w:spacing w:after="0"/>
              <w:rPr>
                <w:sz w:val="1"/>
                <w:szCs w:val="1"/>
                <w:color w:val="auto"/>
              </w:rPr>
            </w:pPr>
          </w:p>
        </w:tc>
      </w:tr>
      <w:tr>
        <w:trPr>
          <w:trHeight w:val="243"/>
        </w:trPr>
        <w:tc>
          <w:tcPr>
            <w:tcW w:w="4960" w:type="dxa"/>
            <w:vAlign w:val="bottom"/>
          </w:tcPr>
          <w:p>
            <w:pPr>
              <w:spacing w:after="0"/>
              <w:rPr>
                <w:sz w:val="20"/>
                <w:szCs w:val="20"/>
                <w:color w:val="auto"/>
              </w:rPr>
            </w:pPr>
            <w:r>
              <w:rPr>
                <w:rFonts w:ascii="Arial" w:cs="Arial" w:eastAsia="Arial" w:hAnsi="Arial"/>
                <w:sz w:val="18"/>
                <w:szCs w:val="18"/>
                <w:color w:val="auto"/>
              </w:rPr>
              <w:t>Cost of goods sold</w:t>
            </w:r>
          </w:p>
        </w:tc>
        <w:tc>
          <w:tcPr>
            <w:tcW w:w="280" w:type="dxa"/>
            <w:vAlign w:val="bottom"/>
          </w:tcPr>
          <w:p>
            <w:pPr>
              <w:spacing w:after="0"/>
              <w:rPr>
                <w:sz w:val="21"/>
                <w:szCs w:val="21"/>
                <w:color w:val="auto"/>
              </w:rPr>
            </w:pPr>
          </w:p>
        </w:tc>
        <w:tc>
          <w:tcPr>
            <w:tcW w:w="900" w:type="dxa"/>
            <w:vAlign w:val="bottom"/>
          </w:tcPr>
          <w:p>
            <w:pPr>
              <w:jc w:val="right"/>
              <w:ind w:right="53"/>
              <w:spacing w:after="0"/>
              <w:rPr>
                <w:sz w:val="20"/>
                <w:szCs w:val="20"/>
                <w:color w:val="auto"/>
              </w:rPr>
            </w:pPr>
            <w:r>
              <w:rPr>
                <w:rFonts w:ascii="Arial" w:cs="Arial" w:eastAsia="Arial" w:hAnsi="Arial"/>
                <w:sz w:val="18"/>
                <w:szCs w:val="18"/>
                <w:color w:val="auto"/>
              </w:rPr>
              <w:t>40,162</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60" w:type="dxa"/>
            <w:vAlign w:val="bottom"/>
          </w:tcPr>
          <w:p>
            <w:pPr>
              <w:jc w:val="right"/>
              <w:ind w:right="71"/>
              <w:spacing w:after="0"/>
              <w:rPr>
                <w:sz w:val="20"/>
                <w:szCs w:val="20"/>
                <w:color w:val="auto"/>
              </w:rPr>
            </w:pPr>
            <w:r>
              <w:rPr>
                <w:rFonts w:ascii="Arial" w:cs="Arial" w:eastAsia="Arial" w:hAnsi="Arial"/>
                <w:sz w:val="18"/>
                <w:szCs w:val="18"/>
                <w:color w:val="auto"/>
              </w:rPr>
              <w:t>41,132</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00" w:type="dxa"/>
            <w:vAlign w:val="bottom"/>
          </w:tcPr>
          <w:p>
            <w:pPr>
              <w:jc w:val="right"/>
              <w:ind w:right="53"/>
              <w:spacing w:after="0"/>
              <w:rPr>
                <w:sz w:val="20"/>
                <w:szCs w:val="20"/>
                <w:color w:val="auto"/>
              </w:rPr>
            </w:pPr>
            <w:r>
              <w:rPr>
                <w:rFonts w:ascii="Arial" w:cs="Arial" w:eastAsia="Arial" w:hAnsi="Arial"/>
                <w:sz w:val="18"/>
                <w:szCs w:val="18"/>
                <w:color w:val="auto"/>
              </w:rPr>
              <w:t>92,864</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60" w:type="dxa"/>
            <w:vAlign w:val="bottom"/>
          </w:tcPr>
          <w:p>
            <w:pPr>
              <w:jc w:val="right"/>
              <w:ind w:right="51"/>
              <w:spacing w:after="0"/>
              <w:rPr>
                <w:sz w:val="20"/>
                <w:szCs w:val="20"/>
                <w:color w:val="auto"/>
              </w:rPr>
            </w:pPr>
            <w:r>
              <w:rPr>
                <w:rFonts w:ascii="Arial" w:cs="Arial" w:eastAsia="Arial" w:hAnsi="Arial"/>
                <w:sz w:val="18"/>
                <w:szCs w:val="18"/>
                <w:color w:val="auto"/>
              </w:rPr>
              <w:t>83,558</w:t>
            </w:r>
          </w:p>
        </w:tc>
        <w:tc>
          <w:tcPr>
            <w:tcW w:w="0" w:type="dxa"/>
            <w:vAlign w:val="bottom"/>
          </w:tcPr>
          <w:p>
            <w:pPr>
              <w:spacing w:after="0"/>
              <w:rPr>
                <w:sz w:val="1"/>
                <w:szCs w:val="1"/>
                <w:color w:val="auto"/>
              </w:rPr>
            </w:pPr>
          </w:p>
        </w:tc>
      </w:tr>
      <w:tr>
        <w:trPr>
          <w:trHeight w:val="27"/>
        </w:trPr>
        <w:tc>
          <w:tcPr>
            <w:tcW w:w="49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9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Gross profit</w:t>
            </w:r>
          </w:p>
        </w:tc>
        <w:tc>
          <w:tcPr>
            <w:tcW w:w="28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25,848</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44,573</w:t>
            </w:r>
          </w:p>
        </w:tc>
        <w:tc>
          <w:tcPr>
            <w:tcW w:w="8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63,850</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88,657</w:t>
            </w:r>
          </w:p>
        </w:tc>
        <w:tc>
          <w:tcPr>
            <w:tcW w:w="0" w:type="dxa"/>
            <w:vAlign w:val="bottom"/>
          </w:tcPr>
          <w:p>
            <w:pPr>
              <w:spacing w:after="0"/>
              <w:rPr>
                <w:sz w:val="1"/>
                <w:szCs w:val="1"/>
                <w:color w:val="auto"/>
              </w:rPr>
            </w:pPr>
          </w:p>
        </w:tc>
      </w:tr>
      <w:tr>
        <w:trPr>
          <w:trHeight w:val="223"/>
        </w:trPr>
        <w:tc>
          <w:tcPr>
            <w:tcW w:w="4960" w:type="dxa"/>
            <w:vAlign w:val="bottom"/>
          </w:tcPr>
          <w:p>
            <w:pPr>
              <w:spacing w:after="0"/>
              <w:rPr>
                <w:sz w:val="20"/>
                <w:szCs w:val="20"/>
                <w:color w:val="auto"/>
              </w:rPr>
            </w:pPr>
            <w:r>
              <w:rPr>
                <w:rFonts w:ascii="Arial" w:cs="Arial" w:eastAsia="Arial" w:hAnsi="Arial"/>
                <w:sz w:val="18"/>
                <w:szCs w:val="18"/>
                <w:color w:val="auto"/>
              </w:rPr>
              <w:t>Operating expenses</w:t>
            </w:r>
          </w:p>
        </w:tc>
        <w:tc>
          <w:tcPr>
            <w:tcW w:w="28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860" w:type="dxa"/>
            <w:vAlign w:val="bottom"/>
            <w:tcBorders>
              <w:top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86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49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86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9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Sales and marketing</w:t>
            </w:r>
          </w:p>
        </w:tc>
        <w:tc>
          <w:tcPr>
            <w:tcW w:w="2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6,305</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10,948</w:t>
            </w:r>
          </w:p>
        </w:tc>
        <w:tc>
          <w:tcPr>
            <w:tcW w:w="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16,435</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21,345</w:t>
            </w:r>
          </w:p>
        </w:tc>
        <w:tc>
          <w:tcPr>
            <w:tcW w:w="0" w:type="dxa"/>
            <w:vAlign w:val="bottom"/>
          </w:tcPr>
          <w:p>
            <w:pPr>
              <w:spacing w:after="0"/>
              <w:rPr>
                <w:sz w:val="1"/>
                <w:szCs w:val="1"/>
                <w:color w:val="auto"/>
              </w:rPr>
            </w:pPr>
          </w:p>
        </w:tc>
      </w:tr>
      <w:tr>
        <w:trPr>
          <w:trHeight w:val="243"/>
        </w:trPr>
        <w:tc>
          <w:tcPr>
            <w:tcW w:w="4960" w:type="dxa"/>
            <w:vAlign w:val="bottom"/>
          </w:tcPr>
          <w:p>
            <w:pPr>
              <w:ind w:left="200"/>
              <w:spacing w:after="0"/>
              <w:rPr>
                <w:sz w:val="20"/>
                <w:szCs w:val="20"/>
                <w:color w:val="auto"/>
              </w:rPr>
            </w:pPr>
            <w:r>
              <w:rPr>
                <w:rFonts w:ascii="Arial" w:cs="Arial" w:eastAsia="Arial" w:hAnsi="Arial"/>
                <w:sz w:val="18"/>
                <w:szCs w:val="18"/>
                <w:color w:val="auto"/>
              </w:rPr>
              <w:t>General and administrative</w:t>
            </w:r>
          </w:p>
        </w:tc>
        <w:tc>
          <w:tcPr>
            <w:tcW w:w="280" w:type="dxa"/>
            <w:vAlign w:val="bottom"/>
          </w:tcPr>
          <w:p>
            <w:pPr>
              <w:spacing w:after="0"/>
              <w:rPr>
                <w:sz w:val="21"/>
                <w:szCs w:val="21"/>
                <w:color w:val="auto"/>
              </w:rPr>
            </w:pPr>
          </w:p>
        </w:tc>
        <w:tc>
          <w:tcPr>
            <w:tcW w:w="900" w:type="dxa"/>
            <w:vAlign w:val="bottom"/>
          </w:tcPr>
          <w:p>
            <w:pPr>
              <w:jc w:val="right"/>
              <w:ind w:right="53"/>
              <w:spacing w:after="0"/>
              <w:rPr>
                <w:sz w:val="20"/>
                <w:szCs w:val="20"/>
                <w:color w:val="auto"/>
              </w:rPr>
            </w:pPr>
            <w:r>
              <w:rPr>
                <w:rFonts w:ascii="Arial" w:cs="Arial" w:eastAsia="Arial" w:hAnsi="Arial"/>
                <w:sz w:val="18"/>
                <w:szCs w:val="18"/>
                <w:color w:val="auto"/>
              </w:rPr>
              <w:t>20,670</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60" w:type="dxa"/>
            <w:vAlign w:val="bottom"/>
          </w:tcPr>
          <w:p>
            <w:pPr>
              <w:jc w:val="right"/>
              <w:ind w:right="71"/>
              <w:spacing w:after="0"/>
              <w:rPr>
                <w:sz w:val="20"/>
                <w:szCs w:val="20"/>
                <w:color w:val="auto"/>
              </w:rPr>
            </w:pPr>
            <w:r>
              <w:rPr>
                <w:rFonts w:ascii="Arial" w:cs="Arial" w:eastAsia="Arial" w:hAnsi="Arial"/>
                <w:sz w:val="18"/>
                <w:szCs w:val="18"/>
                <w:color w:val="auto"/>
              </w:rPr>
              <w:t>13,293</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00" w:type="dxa"/>
            <w:vAlign w:val="bottom"/>
          </w:tcPr>
          <w:p>
            <w:pPr>
              <w:jc w:val="right"/>
              <w:ind w:right="53"/>
              <w:spacing w:after="0"/>
              <w:rPr>
                <w:sz w:val="20"/>
                <w:szCs w:val="20"/>
                <w:color w:val="auto"/>
              </w:rPr>
            </w:pPr>
            <w:r>
              <w:rPr>
                <w:rFonts w:ascii="Arial" w:cs="Arial" w:eastAsia="Arial" w:hAnsi="Arial"/>
                <w:sz w:val="18"/>
                <w:szCs w:val="18"/>
                <w:color w:val="auto"/>
              </w:rPr>
              <w:t>37,369</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60" w:type="dxa"/>
            <w:vAlign w:val="bottom"/>
          </w:tcPr>
          <w:p>
            <w:pPr>
              <w:jc w:val="right"/>
              <w:ind w:right="51"/>
              <w:spacing w:after="0"/>
              <w:rPr>
                <w:sz w:val="20"/>
                <w:szCs w:val="20"/>
                <w:color w:val="auto"/>
              </w:rPr>
            </w:pPr>
            <w:r>
              <w:rPr>
                <w:rFonts w:ascii="Arial" w:cs="Arial" w:eastAsia="Arial" w:hAnsi="Arial"/>
                <w:sz w:val="18"/>
                <w:szCs w:val="18"/>
                <w:color w:val="auto"/>
              </w:rPr>
              <w:t>25,882</w:t>
            </w:r>
          </w:p>
        </w:tc>
        <w:tc>
          <w:tcPr>
            <w:tcW w:w="0" w:type="dxa"/>
            <w:vAlign w:val="bottom"/>
          </w:tcPr>
          <w:p>
            <w:pPr>
              <w:spacing w:after="0"/>
              <w:rPr>
                <w:sz w:val="1"/>
                <w:szCs w:val="1"/>
                <w:color w:val="auto"/>
              </w:rPr>
            </w:pPr>
          </w:p>
        </w:tc>
      </w:tr>
      <w:tr>
        <w:trPr>
          <w:trHeight w:val="27"/>
        </w:trPr>
        <w:tc>
          <w:tcPr>
            <w:tcW w:w="49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86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9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Research and development</w:t>
            </w:r>
          </w:p>
        </w:tc>
        <w:tc>
          <w:tcPr>
            <w:tcW w:w="28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4,418</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5,795</w:t>
            </w:r>
          </w:p>
        </w:tc>
        <w:tc>
          <w:tcPr>
            <w:tcW w:w="8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8,466</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10,724</w:t>
            </w:r>
          </w:p>
        </w:tc>
        <w:tc>
          <w:tcPr>
            <w:tcW w:w="0" w:type="dxa"/>
            <w:vAlign w:val="bottom"/>
          </w:tcPr>
          <w:p>
            <w:pPr>
              <w:spacing w:after="0"/>
              <w:rPr>
                <w:sz w:val="1"/>
                <w:szCs w:val="1"/>
                <w:color w:val="auto"/>
              </w:rPr>
            </w:pPr>
          </w:p>
        </w:tc>
      </w:tr>
      <w:tr>
        <w:trPr>
          <w:trHeight w:val="237"/>
        </w:trPr>
        <w:tc>
          <w:tcPr>
            <w:tcW w:w="4960" w:type="dxa"/>
            <w:vAlign w:val="bottom"/>
          </w:tcPr>
          <w:p>
            <w:pPr>
              <w:ind w:left="440"/>
              <w:spacing w:after="0"/>
              <w:rPr>
                <w:sz w:val="20"/>
                <w:szCs w:val="20"/>
                <w:color w:val="auto"/>
              </w:rPr>
            </w:pPr>
            <w:r>
              <w:rPr>
                <w:rFonts w:ascii="Arial" w:cs="Arial" w:eastAsia="Arial" w:hAnsi="Arial"/>
                <w:sz w:val="18"/>
                <w:szCs w:val="18"/>
                <w:color w:val="auto"/>
              </w:rPr>
              <w:t>Total operating expenses</w:t>
            </w:r>
          </w:p>
        </w:tc>
        <w:tc>
          <w:tcPr>
            <w:tcW w:w="28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ind w:right="53"/>
              <w:spacing w:after="0"/>
              <w:rPr>
                <w:sz w:val="20"/>
                <w:szCs w:val="20"/>
                <w:color w:val="auto"/>
              </w:rPr>
            </w:pPr>
            <w:r>
              <w:rPr>
                <w:rFonts w:ascii="Arial" w:cs="Arial" w:eastAsia="Arial" w:hAnsi="Arial"/>
                <w:sz w:val="18"/>
                <w:szCs w:val="18"/>
                <w:color w:val="auto"/>
              </w:rPr>
              <w:t>31,393</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71"/>
              <w:spacing w:after="0"/>
              <w:rPr>
                <w:sz w:val="20"/>
                <w:szCs w:val="20"/>
                <w:color w:val="auto"/>
              </w:rPr>
            </w:pPr>
            <w:r>
              <w:rPr>
                <w:rFonts w:ascii="Arial" w:cs="Arial" w:eastAsia="Arial" w:hAnsi="Arial"/>
                <w:sz w:val="18"/>
                <w:szCs w:val="18"/>
                <w:color w:val="auto"/>
              </w:rPr>
              <w:t>30,036</w:t>
            </w:r>
          </w:p>
        </w:tc>
        <w:tc>
          <w:tcPr>
            <w:tcW w:w="8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ind w:right="53"/>
              <w:spacing w:after="0"/>
              <w:rPr>
                <w:sz w:val="20"/>
                <w:szCs w:val="20"/>
                <w:color w:val="auto"/>
              </w:rPr>
            </w:pPr>
            <w:r>
              <w:rPr>
                <w:rFonts w:ascii="Arial" w:cs="Arial" w:eastAsia="Arial" w:hAnsi="Arial"/>
                <w:sz w:val="18"/>
                <w:szCs w:val="18"/>
                <w:color w:val="auto"/>
              </w:rPr>
              <w:t>62,270</w:t>
            </w: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51"/>
              <w:spacing w:after="0"/>
              <w:rPr>
                <w:sz w:val="20"/>
                <w:szCs w:val="20"/>
                <w:color w:val="auto"/>
              </w:rPr>
            </w:pPr>
            <w:r>
              <w:rPr>
                <w:rFonts w:ascii="Arial" w:cs="Arial" w:eastAsia="Arial" w:hAnsi="Arial"/>
                <w:sz w:val="18"/>
                <w:szCs w:val="18"/>
                <w:color w:val="auto"/>
              </w:rPr>
              <w:t>57,951</w:t>
            </w:r>
          </w:p>
        </w:tc>
        <w:tc>
          <w:tcPr>
            <w:tcW w:w="0" w:type="dxa"/>
            <w:vAlign w:val="bottom"/>
          </w:tcPr>
          <w:p>
            <w:pPr>
              <w:spacing w:after="0"/>
              <w:rPr>
                <w:sz w:val="1"/>
                <w:szCs w:val="1"/>
                <w:color w:val="auto"/>
              </w:rPr>
            </w:pPr>
          </w:p>
        </w:tc>
      </w:tr>
      <w:tr>
        <w:trPr>
          <w:trHeight w:val="27"/>
        </w:trPr>
        <w:tc>
          <w:tcPr>
            <w:tcW w:w="49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4960" w:type="dxa"/>
            <w:vAlign w:val="bottom"/>
            <w:tcBorders>
              <w:bottom w:val="single" w:sz="8" w:color="CCEEFF"/>
            </w:tcBorders>
            <w:shd w:val="clear" w:color="auto" w:fill="CCEEFF"/>
          </w:tcPr>
          <w:p>
            <w:pPr>
              <w:ind w:left="620"/>
              <w:spacing w:after="0"/>
              <w:rPr>
                <w:sz w:val="20"/>
                <w:szCs w:val="20"/>
                <w:color w:val="auto"/>
              </w:rPr>
            </w:pPr>
            <w:r>
              <w:rPr>
                <w:rFonts w:ascii="Arial" w:cs="Arial" w:eastAsia="Arial" w:hAnsi="Arial"/>
                <w:sz w:val="18"/>
                <w:szCs w:val="18"/>
                <w:color w:val="auto"/>
              </w:rPr>
              <w:t>Operating (loss) income</w:t>
            </w:r>
          </w:p>
        </w:tc>
        <w:tc>
          <w:tcPr>
            <w:tcW w:w="2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(5,545)</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14,537</w:t>
            </w:r>
          </w:p>
        </w:tc>
        <w:tc>
          <w:tcPr>
            <w:tcW w:w="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1,580</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30,706</w:t>
            </w:r>
          </w:p>
        </w:tc>
        <w:tc>
          <w:tcPr>
            <w:tcW w:w="0" w:type="dxa"/>
            <w:vAlign w:val="bottom"/>
          </w:tcPr>
          <w:p>
            <w:pPr>
              <w:spacing w:after="0"/>
              <w:rPr>
                <w:sz w:val="1"/>
                <w:szCs w:val="1"/>
                <w:color w:val="auto"/>
              </w:rPr>
            </w:pPr>
          </w:p>
        </w:tc>
      </w:tr>
      <w:tr>
        <w:trPr>
          <w:trHeight w:val="243"/>
        </w:trPr>
        <w:tc>
          <w:tcPr>
            <w:tcW w:w="4960" w:type="dxa"/>
            <w:vAlign w:val="bottom"/>
          </w:tcPr>
          <w:p>
            <w:pPr>
              <w:spacing w:after="0"/>
              <w:rPr>
                <w:sz w:val="20"/>
                <w:szCs w:val="20"/>
                <w:color w:val="auto"/>
              </w:rPr>
            </w:pPr>
            <w:r>
              <w:rPr>
                <w:rFonts w:ascii="Arial" w:cs="Arial" w:eastAsia="Arial" w:hAnsi="Arial"/>
                <w:sz w:val="18"/>
                <w:szCs w:val="18"/>
                <w:color w:val="auto"/>
              </w:rPr>
              <w:t>Interest expense</w:t>
            </w:r>
          </w:p>
        </w:tc>
        <w:tc>
          <w:tcPr>
            <w:tcW w:w="280" w:type="dxa"/>
            <w:vAlign w:val="bottom"/>
          </w:tcPr>
          <w:p>
            <w:pPr>
              <w:spacing w:after="0"/>
              <w:rPr>
                <w:sz w:val="21"/>
                <w:szCs w:val="21"/>
                <w:color w:val="auto"/>
              </w:rPr>
            </w:pPr>
          </w:p>
        </w:tc>
        <w:tc>
          <w:tcPr>
            <w:tcW w:w="900" w:type="dxa"/>
            <w:vAlign w:val="bottom"/>
          </w:tcPr>
          <w:p>
            <w:pPr>
              <w:jc w:val="right"/>
              <w:ind w:right="53"/>
              <w:spacing w:after="0"/>
              <w:rPr>
                <w:sz w:val="20"/>
                <w:szCs w:val="20"/>
                <w:color w:val="auto"/>
              </w:rPr>
            </w:pPr>
            <w:r>
              <w:rPr>
                <w:rFonts w:ascii="Arial" w:cs="Arial" w:eastAsia="Arial" w:hAnsi="Arial"/>
                <w:sz w:val="18"/>
                <w:szCs w:val="18"/>
                <w:color w:val="auto"/>
              </w:rPr>
              <w:t>1,914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60" w:type="dxa"/>
            <w:vAlign w:val="bottom"/>
          </w:tcPr>
          <w:p>
            <w:pPr>
              <w:jc w:val="right"/>
              <w:ind w:right="71"/>
              <w:spacing w:after="0"/>
              <w:rPr>
                <w:sz w:val="20"/>
                <w:szCs w:val="20"/>
                <w:color w:val="auto"/>
              </w:rPr>
            </w:pPr>
            <w:r>
              <w:rPr>
                <w:rFonts w:ascii="Arial" w:cs="Arial" w:eastAsia="Arial" w:hAnsi="Arial"/>
                <w:sz w:val="18"/>
                <w:szCs w:val="18"/>
                <w:color w:val="auto"/>
              </w:rPr>
              <w:t>4,543</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00" w:type="dxa"/>
            <w:vAlign w:val="bottom"/>
          </w:tcPr>
          <w:p>
            <w:pPr>
              <w:jc w:val="right"/>
              <w:ind w:right="53"/>
              <w:spacing w:after="0"/>
              <w:rPr>
                <w:sz w:val="20"/>
                <w:szCs w:val="20"/>
                <w:color w:val="auto"/>
              </w:rPr>
            </w:pPr>
            <w:r>
              <w:rPr>
                <w:rFonts w:ascii="Arial" w:cs="Arial" w:eastAsia="Arial" w:hAnsi="Arial"/>
                <w:sz w:val="18"/>
                <w:szCs w:val="18"/>
                <w:color w:val="auto"/>
              </w:rPr>
              <w:t>3,860</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60" w:type="dxa"/>
            <w:vAlign w:val="bottom"/>
          </w:tcPr>
          <w:p>
            <w:pPr>
              <w:jc w:val="right"/>
              <w:ind w:right="51"/>
              <w:spacing w:after="0"/>
              <w:rPr>
                <w:sz w:val="20"/>
                <w:szCs w:val="20"/>
                <w:color w:val="auto"/>
              </w:rPr>
            </w:pPr>
            <w:r>
              <w:rPr>
                <w:rFonts w:ascii="Arial" w:cs="Arial" w:eastAsia="Arial" w:hAnsi="Arial"/>
                <w:sz w:val="18"/>
                <w:szCs w:val="18"/>
                <w:color w:val="auto"/>
              </w:rPr>
              <w:t>9,135</w:t>
            </w:r>
          </w:p>
        </w:tc>
        <w:tc>
          <w:tcPr>
            <w:tcW w:w="0" w:type="dxa"/>
            <w:vAlign w:val="bottom"/>
          </w:tcPr>
          <w:p>
            <w:pPr>
              <w:spacing w:after="0"/>
              <w:rPr>
                <w:sz w:val="1"/>
                <w:szCs w:val="1"/>
                <w:color w:val="auto"/>
              </w:rPr>
            </w:pPr>
          </w:p>
        </w:tc>
      </w:tr>
      <w:tr>
        <w:trPr>
          <w:trHeight w:val="27"/>
        </w:trPr>
        <w:tc>
          <w:tcPr>
            <w:tcW w:w="49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86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9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Loss on extinguishment of debt</w:t>
            </w: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3,196</w:t>
            </w:r>
          </w:p>
        </w:tc>
        <w:tc>
          <w:tcPr>
            <w:tcW w:w="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3,196</w:t>
            </w:r>
          </w:p>
        </w:tc>
        <w:tc>
          <w:tcPr>
            <w:tcW w:w="0" w:type="dxa"/>
            <w:vAlign w:val="bottom"/>
          </w:tcPr>
          <w:p>
            <w:pPr>
              <w:spacing w:after="0"/>
              <w:rPr>
                <w:sz w:val="1"/>
                <w:szCs w:val="1"/>
                <w:color w:val="auto"/>
              </w:rPr>
            </w:pPr>
          </w:p>
        </w:tc>
      </w:tr>
      <w:tr>
        <w:trPr>
          <w:trHeight w:val="243"/>
        </w:trPr>
        <w:tc>
          <w:tcPr>
            <w:tcW w:w="4960" w:type="dxa"/>
            <w:vAlign w:val="bottom"/>
          </w:tcPr>
          <w:p>
            <w:pPr>
              <w:spacing w:after="0"/>
              <w:rPr>
                <w:sz w:val="20"/>
                <w:szCs w:val="20"/>
                <w:color w:val="auto"/>
              </w:rPr>
            </w:pPr>
            <w:r>
              <w:rPr>
                <w:rFonts w:ascii="Arial" w:cs="Arial" w:eastAsia="Arial" w:hAnsi="Arial"/>
                <w:sz w:val="18"/>
                <w:szCs w:val="18"/>
                <w:color w:val="auto"/>
              </w:rPr>
              <w:t>Other income</w:t>
            </w:r>
          </w:p>
        </w:tc>
        <w:tc>
          <w:tcPr>
            <w:tcW w:w="280" w:type="dxa"/>
            <w:vAlign w:val="bottom"/>
          </w:tcPr>
          <w:p>
            <w:pPr>
              <w:spacing w:after="0"/>
              <w:rPr>
                <w:sz w:val="21"/>
                <w:szCs w:val="21"/>
                <w:color w:val="auto"/>
              </w:rPr>
            </w:pPr>
          </w:p>
        </w:tc>
        <w:tc>
          <w:tcPr>
            <w:tcW w:w="900" w:type="dxa"/>
            <w:vAlign w:val="bottom"/>
          </w:tcPr>
          <w:p>
            <w:pPr>
              <w:jc w:val="right"/>
              <w:ind w:right="13"/>
              <w:spacing w:after="0"/>
              <w:rPr>
                <w:sz w:val="20"/>
                <w:szCs w:val="20"/>
                <w:color w:val="auto"/>
              </w:rPr>
            </w:pPr>
            <w:r>
              <w:rPr>
                <w:rFonts w:ascii="Arial" w:cs="Arial" w:eastAsia="Arial" w:hAnsi="Arial"/>
                <w:sz w:val="18"/>
                <w:szCs w:val="18"/>
                <w:color w:val="auto"/>
              </w:rPr>
              <w:t>(756)</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60" w:type="dxa"/>
            <w:vAlign w:val="bottom"/>
          </w:tcPr>
          <w:p>
            <w:pPr>
              <w:jc w:val="right"/>
              <w:ind w:right="11"/>
              <w:spacing w:after="0"/>
              <w:rPr>
                <w:sz w:val="20"/>
                <w:szCs w:val="20"/>
                <w:color w:val="auto"/>
              </w:rPr>
            </w:pPr>
            <w:r>
              <w:rPr>
                <w:rFonts w:ascii="Arial" w:cs="Arial" w:eastAsia="Arial" w:hAnsi="Arial"/>
                <w:sz w:val="18"/>
                <w:szCs w:val="18"/>
                <w:color w:val="auto"/>
              </w:rPr>
              <w:t>(1,312)</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00" w:type="dxa"/>
            <w:vAlign w:val="bottom"/>
          </w:tcPr>
          <w:p>
            <w:pPr>
              <w:jc w:val="right"/>
              <w:ind w:right="13"/>
              <w:spacing w:after="0"/>
              <w:rPr>
                <w:sz w:val="20"/>
                <w:szCs w:val="20"/>
                <w:color w:val="auto"/>
              </w:rPr>
            </w:pPr>
            <w:r>
              <w:rPr>
                <w:rFonts w:ascii="Arial" w:cs="Arial" w:eastAsia="Arial" w:hAnsi="Arial"/>
                <w:sz w:val="18"/>
                <w:szCs w:val="18"/>
                <w:color w:val="auto"/>
              </w:rPr>
              <w:t>(1,106)</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60" w:type="dxa"/>
            <w:vAlign w:val="bottom"/>
          </w:tcPr>
          <w:p>
            <w:pPr>
              <w:jc w:val="right"/>
              <w:ind w:right="11"/>
              <w:spacing w:after="0"/>
              <w:rPr>
                <w:sz w:val="20"/>
                <w:szCs w:val="20"/>
                <w:color w:val="auto"/>
              </w:rPr>
            </w:pPr>
            <w:r>
              <w:rPr>
                <w:rFonts w:ascii="Arial" w:cs="Arial" w:eastAsia="Arial" w:hAnsi="Arial"/>
                <w:sz w:val="18"/>
                <w:szCs w:val="18"/>
                <w:color w:val="auto"/>
              </w:rPr>
              <w:t>(2,499)</w:t>
            </w:r>
          </w:p>
        </w:tc>
        <w:tc>
          <w:tcPr>
            <w:tcW w:w="0" w:type="dxa"/>
            <w:vAlign w:val="bottom"/>
          </w:tcPr>
          <w:p>
            <w:pPr>
              <w:spacing w:after="0"/>
              <w:rPr>
                <w:sz w:val="1"/>
                <w:szCs w:val="1"/>
                <w:color w:val="auto"/>
              </w:rPr>
            </w:pPr>
          </w:p>
        </w:tc>
      </w:tr>
      <w:tr>
        <w:trPr>
          <w:trHeight w:val="27"/>
        </w:trPr>
        <w:tc>
          <w:tcPr>
            <w:tcW w:w="49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3"/>
        </w:trPr>
        <w:tc>
          <w:tcPr>
            <w:tcW w:w="49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8"/>
                <w:szCs w:val="18"/>
                <w:color w:val="auto"/>
              </w:rPr>
              <w:t>(Loss) income before income taxes</w:t>
            </w:r>
          </w:p>
        </w:tc>
        <w:tc>
          <w:tcPr>
            <w:tcW w:w="28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(6,703)</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8,110</w:t>
            </w:r>
          </w:p>
        </w:tc>
        <w:tc>
          <w:tcPr>
            <w:tcW w:w="8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(1,174)</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20,874</w:t>
            </w:r>
          </w:p>
        </w:tc>
        <w:tc>
          <w:tcPr>
            <w:tcW w:w="0" w:type="dxa"/>
            <w:vAlign w:val="bottom"/>
          </w:tcPr>
          <w:p>
            <w:pPr>
              <w:spacing w:after="0"/>
              <w:rPr>
                <w:sz w:val="1"/>
                <w:szCs w:val="1"/>
                <w:color w:val="auto"/>
              </w:rPr>
            </w:pPr>
          </w:p>
        </w:tc>
      </w:tr>
      <w:tr>
        <w:trPr>
          <w:trHeight w:val="237"/>
        </w:trPr>
        <w:tc>
          <w:tcPr>
            <w:tcW w:w="4960" w:type="dxa"/>
            <w:vAlign w:val="bottom"/>
          </w:tcPr>
          <w:p>
            <w:pPr>
              <w:spacing w:after="0"/>
              <w:rPr>
                <w:sz w:val="20"/>
                <w:szCs w:val="20"/>
                <w:color w:val="auto"/>
              </w:rPr>
            </w:pPr>
            <w:r>
              <w:rPr>
                <w:rFonts w:ascii="Arial" w:cs="Arial" w:eastAsia="Arial" w:hAnsi="Arial"/>
                <w:sz w:val="18"/>
                <w:szCs w:val="18"/>
                <w:color w:val="auto"/>
              </w:rPr>
              <w:t>Income tax expense</w:t>
            </w:r>
          </w:p>
        </w:tc>
        <w:tc>
          <w:tcPr>
            <w:tcW w:w="28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ind w:right="53"/>
              <w:spacing w:after="0"/>
              <w:rPr>
                <w:sz w:val="20"/>
                <w:szCs w:val="20"/>
                <w:color w:val="auto"/>
              </w:rPr>
            </w:pPr>
            <w:r>
              <w:rPr>
                <w:rFonts w:ascii="Arial" w:cs="Arial" w:eastAsia="Arial" w:hAnsi="Arial"/>
                <w:sz w:val="18"/>
                <w:szCs w:val="18"/>
                <w:color w:val="auto"/>
              </w:rPr>
              <w:t>309</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71"/>
              <w:spacing w:after="0"/>
              <w:rPr>
                <w:sz w:val="20"/>
                <w:szCs w:val="20"/>
                <w:color w:val="auto"/>
              </w:rPr>
            </w:pPr>
            <w:r>
              <w:rPr>
                <w:rFonts w:ascii="Arial" w:cs="Arial" w:eastAsia="Arial" w:hAnsi="Arial"/>
                <w:sz w:val="18"/>
                <w:szCs w:val="18"/>
                <w:color w:val="auto"/>
              </w:rPr>
              <w:t>1,698</w:t>
            </w:r>
          </w:p>
        </w:tc>
        <w:tc>
          <w:tcPr>
            <w:tcW w:w="8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ind w:right="53"/>
              <w:spacing w:after="0"/>
              <w:rPr>
                <w:sz w:val="20"/>
                <w:szCs w:val="20"/>
                <w:color w:val="auto"/>
              </w:rPr>
            </w:pPr>
            <w:r>
              <w:rPr>
                <w:rFonts w:ascii="Arial" w:cs="Arial" w:eastAsia="Arial" w:hAnsi="Arial"/>
                <w:sz w:val="18"/>
                <w:szCs w:val="18"/>
                <w:color w:val="auto"/>
              </w:rPr>
              <w:t>2,501</w:t>
            </w: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51"/>
              <w:spacing w:after="0"/>
              <w:rPr>
                <w:sz w:val="20"/>
                <w:szCs w:val="20"/>
                <w:color w:val="auto"/>
              </w:rPr>
            </w:pPr>
            <w:r>
              <w:rPr>
                <w:rFonts w:ascii="Arial" w:cs="Arial" w:eastAsia="Arial" w:hAnsi="Arial"/>
                <w:sz w:val="18"/>
                <w:szCs w:val="18"/>
                <w:color w:val="auto"/>
              </w:rPr>
              <w:t>4,513</w:t>
            </w:r>
          </w:p>
        </w:tc>
        <w:tc>
          <w:tcPr>
            <w:tcW w:w="0" w:type="dxa"/>
            <w:vAlign w:val="bottom"/>
          </w:tcPr>
          <w:p>
            <w:pPr>
              <w:spacing w:after="0"/>
              <w:rPr>
                <w:sz w:val="1"/>
                <w:szCs w:val="1"/>
                <w:color w:val="auto"/>
              </w:rPr>
            </w:pPr>
          </w:p>
        </w:tc>
      </w:tr>
      <w:tr>
        <w:trPr>
          <w:trHeight w:val="27"/>
        </w:trPr>
        <w:tc>
          <w:tcPr>
            <w:tcW w:w="49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8"/>
        </w:trPr>
        <w:tc>
          <w:tcPr>
            <w:tcW w:w="49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8"/>
                <w:szCs w:val="18"/>
                <w:color w:val="auto"/>
              </w:rPr>
              <w:t>Net (loss) income</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(7,012)</w:t>
            </w:r>
          </w:p>
        </w:tc>
        <w:tc>
          <w:tcPr>
            <w:tcW w:w="10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6,412</w:t>
            </w:r>
          </w:p>
        </w:tc>
        <w:tc>
          <w:tcPr>
            <w:tcW w:w="80" w:type="dxa"/>
            <w:vAlign w:val="bottom"/>
            <w:tcBorders>
              <w:bottom w:val="single" w:sz="8" w:color="CCEEFF"/>
            </w:tcBorders>
            <w:shd w:val="clear" w:color="auto" w:fill="CCEEFF"/>
          </w:tcPr>
          <w:p>
            <w:pPr>
              <w:spacing w:after="0"/>
              <w:rPr>
                <w:sz w:val="24"/>
                <w:szCs w:val="24"/>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(3,675)</w:t>
            </w:r>
          </w:p>
        </w:tc>
        <w:tc>
          <w:tcPr>
            <w:tcW w:w="100" w:type="dxa"/>
            <w:vAlign w:val="bottom"/>
            <w:tcBorders>
              <w:bottom w:val="single" w:sz="8" w:color="CCEEFF"/>
            </w:tcBorders>
            <w:shd w:val="clear" w:color="auto" w:fill="CCEEFF"/>
          </w:tcPr>
          <w:p>
            <w:pPr>
              <w:spacing w:after="0"/>
              <w:rPr>
                <w:sz w:val="24"/>
                <w:szCs w:val="24"/>
                <w:color w:val="auto"/>
              </w:rPr>
            </w:pPr>
          </w:p>
        </w:tc>
        <w:tc>
          <w:tcPr>
            <w:tcW w:w="3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16,361</w:t>
            </w:r>
          </w:p>
        </w:tc>
        <w:tc>
          <w:tcPr>
            <w:tcW w:w="0" w:type="dxa"/>
            <w:vAlign w:val="bottom"/>
          </w:tcPr>
          <w:p>
            <w:pPr>
              <w:spacing w:after="0"/>
              <w:rPr>
                <w:sz w:val="1"/>
                <w:szCs w:val="1"/>
                <w:color w:val="auto"/>
              </w:rPr>
            </w:pPr>
          </w:p>
        </w:tc>
      </w:tr>
      <w:tr>
        <w:trPr>
          <w:trHeight w:val="20"/>
        </w:trPr>
        <w:tc>
          <w:tcPr>
            <w:tcW w:w="496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Net (loss) income per common share:</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4960" w:type="dxa"/>
            <w:vAlign w:val="bottom"/>
            <w:vMerge w:val="continue"/>
          </w:tcPr>
          <w:p>
            <w:pPr>
              <w:spacing w:after="0"/>
              <w:rPr>
                <w:sz w:val="16"/>
                <w:szCs w:val="16"/>
                <w:color w:val="auto"/>
              </w:rPr>
            </w:pPr>
          </w:p>
        </w:tc>
        <w:tc>
          <w:tcPr>
            <w:tcW w:w="28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
        </w:trPr>
        <w:tc>
          <w:tcPr>
            <w:tcW w:w="49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86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95"/>
        </w:trPr>
        <w:tc>
          <w:tcPr>
            <w:tcW w:w="49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8"/>
                <w:szCs w:val="18"/>
                <w:color w:val="auto"/>
              </w:rPr>
              <w:t>Basic</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(0.16)</w:t>
            </w:r>
          </w:p>
        </w:tc>
        <w:tc>
          <w:tcPr>
            <w:tcW w:w="10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0.16</w:t>
            </w:r>
          </w:p>
        </w:tc>
        <w:tc>
          <w:tcPr>
            <w:tcW w:w="80" w:type="dxa"/>
            <w:vAlign w:val="bottom"/>
            <w:tcBorders>
              <w:bottom w:val="single" w:sz="8" w:color="CCEEFF"/>
            </w:tcBorders>
            <w:shd w:val="clear" w:color="auto" w:fill="CCEEFF"/>
          </w:tcPr>
          <w:p>
            <w:pPr>
              <w:spacing w:after="0"/>
              <w:rPr>
                <w:sz w:val="24"/>
                <w:szCs w:val="24"/>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(0.09)</w:t>
            </w:r>
          </w:p>
        </w:tc>
        <w:tc>
          <w:tcPr>
            <w:tcW w:w="100" w:type="dxa"/>
            <w:vAlign w:val="bottom"/>
            <w:tcBorders>
              <w:bottom w:val="single" w:sz="8" w:color="CCEEFF"/>
            </w:tcBorders>
            <w:shd w:val="clear" w:color="auto" w:fill="CCEEFF"/>
          </w:tcPr>
          <w:p>
            <w:pPr>
              <w:spacing w:after="0"/>
              <w:rPr>
                <w:sz w:val="24"/>
                <w:szCs w:val="24"/>
                <w:color w:val="auto"/>
              </w:rPr>
            </w:pPr>
          </w:p>
        </w:tc>
        <w:tc>
          <w:tcPr>
            <w:tcW w:w="3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0.42</w:t>
            </w:r>
          </w:p>
        </w:tc>
        <w:tc>
          <w:tcPr>
            <w:tcW w:w="0" w:type="dxa"/>
            <w:vAlign w:val="bottom"/>
          </w:tcPr>
          <w:p>
            <w:pPr>
              <w:spacing w:after="0"/>
              <w:rPr>
                <w:sz w:val="1"/>
                <w:szCs w:val="1"/>
                <w:color w:val="auto"/>
              </w:rPr>
            </w:pPr>
          </w:p>
        </w:tc>
      </w:tr>
      <w:tr>
        <w:trPr>
          <w:trHeight w:val="20"/>
        </w:trPr>
        <w:tc>
          <w:tcPr>
            <w:tcW w:w="4960" w:type="dxa"/>
            <w:vAlign w:val="bottom"/>
            <w:tcBorders>
              <w:top w:val="single" w:sz="8" w:color="CCEEFF"/>
              <w:bottom w:val="single" w:sz="8" w:color="CCEEFF"/>
            </w:tcBorders>
            <w:vMerge w:val="restart"/>
          </w:tcPr>
          <w:p>
            <w:pPr>
              <w:ind w:left="320"/>
              <w:spacing w:after="0"/>
              <w:rPr>
                <w:sz w:val="20"/>
                <w:szCs w:val="20"/>
                <w:color w:val="auto"/>
              </w:rPr>
            </w:pPr>
            <w:r>
              <w:rPr>
                <w:rFonts w:ascii="Arial" w:cs="Arial" w:eastAsia="Arial" w:hAnsi="Arial"/>
                <w:sz w:val="18"/>
                <w:szCs w:val="18"/>
                <w:color w:val="auto"/>
              </w:rPr>
              <w:t>Diluted</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4960" w:type="dxa"/>
            <w:vAlign w:val="bottom"/>
            <w:vMerge w:val="continue"/>
          </w:tcPr>
          <w:p>
            <w:pPr>
              <w:spacing w:after="0"/>
              <w:rPr>
                <w:sz w:val="18"/>
                <w:szCs w:val="18"/>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ind w:right="13"/>
              <w:spacing w:after="0"/>
              <w:rPr>
                <w:sz w:val="20"/>
                <w:szCs w:val="20"/>
                <w:color w:val="auto"/>
              </w:rPr>
            </w:pPr>
            <w:r>
              <w:rPr>
                <w:rFonts w:ascii="Arial" w:cs="Arial" w:eastAsia="Arial" w:hAnsi="Arial"/>
                <w:sz w:val="18"/>
                <w:szCs w:val="18"/>
                <w:color w:val="auto"/>
              </w:rPr>
              <w:t>(0.16)</w:t>
            </w:r>
          </w:p>
        </w:tc>
        <w:tc>
          <w:tcPr>
            <w:tcW w:w="100" w:type="dxa"/>
            <w:vAlign w:val="bottom"/>
          </w:tcPr>
          <w:p>
            <w:pPr>
              <w:spacing w:after="0"/>
              <w:rPr>
                <w:sz w:val="18"/>
                <w:szCs w:val="18"/>
                <w:color w:val="auto"/>
              </w:rPr>
            </w:pP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ind w:right="71"/>
              <w:spacing w:after="0"/>
              <w:rPr>
                <w:sz w:val="20"/>
                <w:szCs w:val="20"/>
                <w:color w:val="auto"/>
              </w:rPr>
            </w:pPr>
            <w:r>
              <w:rPr>
                <w:rFonts w:ascii="Arial" w:cs="Arial" w:eastAsia="Arial" w:hAnsi="Arial"/>
                <w:sz w:val="18"/>
                <w:szCs w:val="18"/>
                <w:color w:val="auto"/>
              </w:rPr>
              <w:t>0.16</w:t>
            </w:r>
          </w:p>
        </w:tc>
        <w:tc>
          <w:tcPr>
            <w:tcW w:w="80" w:type="dxa"/>
            <w:vAlign w:val="bottom"/>
          </w:tcPr>
          <w:p>
            <w:pPr>
              <w:spacing w:after="0"/>
              <w:rPr>
                <w:sz w:val="18"/>
                <w:szCs w:val="18"/>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ind w:right="13"/>
              <w:spacing w:after="0"/>
              <w:rPr>
                <w:sz w:val="20"/>
                <w:szCs w:val="20"/>
                <w:color w:val="auto"/>
              </w:rPr>
            </w:pPr>
            <w:r>
              <w:rPr>
                <w:rFonts w:ascii="Arial" w:cs="Arial" w:eastAsia="Arial" w:hAnsi="Arial"/>
                <w:sz w:val="18"/>
                <w:szCs w:val="18"/>
                <w:color w:val="auto"/>
              </w:rPr>
              <w:t>(0.09)</w:t>
            </w:r>
          </w:p>
        </w:tc>
        <w:tc>
          <w:tcPr>
            <w:tcW w:w="100" w:type="dxa"/>
            <w:vAlign w:val="bottom"/>
          </w:tcPr>
          <w:p>
            <w:pPr>
              <w:spacing w:after="0"/>
              <w:rPr>
                <w:sz w:val="18"/>
                <w:szCs w:val="18"/>
                <w:color w:val="auto"/>
              </w:rPr>
            </w:pP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ind w:right="51"/>
              <w:spacing w:after="0"/>
              <w:rPr>
                <w:sz w:val="20"/>
                <w:szCs w:val="20"/>
                <w:color w:val="auto"/>
              </w:rPr>
            </w:pPr>
            <w:r>
              <w:rPr>
                <w:rFonts w:ascii="Arial" w:cs="Arial" w:eastAsia="Arial" w:hAnsi="Arial"/>
                <w:sz w:val="18"/>
                <w:szCs w:val="18"/>
                <w:color w:val="auto"/>
              </w:rPr>
              <w:t>0.41</w:t>
            </w:r>
          </w:p>
        </w:tc>
        <w:tc>
          <w:tcPr>
            <w:tcW w:w="0" w:type="dxa"/>
            <w:vAlign w:val="bottom"/>
          </w:tcPr>
          <w:p>
            <w:pPr>
              <w:spacing w:after="0"/>
              <w:rPr>
                <w:sz w:val="1"/>
                <w:szCs w:val="1"/>
                <w:color w:val="auto"/>
              </w:rPr>
            </w:pPr>
          </w:p>
        </w:tc>
      </w:tr>
      <w:tr>
        <w:trPr>
          <w:trHeight w:val="27"/>
        </w:trPr>
        <w:tc>
          <w:tcPr>
            <w:tcW w:w="49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96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49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Weighted-average common shares outstanding:</w:t>
            </w:r>
          </w:p>
        </w:tc>
        <w:tc>
          <w:tcPr>
            <w:tcW w:w="280" w:type="dxa"/>
            <w:vAlign w:val="bottom"/>
            <w:tcBorders>
              <w:bottom w:val="single" w:sz="8" w:color="CCEEFF"/>
            </w:tcBorders>
            <w:shd w:val="clear" w:color="auto" w:fill="CCEEFF"/>
          </w:tcPr>
          <w:p>
            <w:pPr>
              <w:spacing w:after="0"/>
              <w:rPr>
                <w:sz w:val="18"/>
                <w:szCs w:val="18"/>
                <w:color w:val="auto"/>
              </w:rPr>
            </w:pPr>
          </w:p>
        </w:tc>
        <w:tc>
          <w:tcPr>
            <w:tcW w:w="9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CCEEFF"/>
            </w:tcBorders>
            <w:shd w:val="clear" w:color="auto" w:fill="CCEEFF"/>
          </w:tcPr>
          <w:p>
            <w:pPr>
              <w:spacing w:after="0"/>
              <w:rPr>
                <w:sz w:val="18"/>
                <w:szCs w:val="18"/>
                <w:color w:val="auto"/>
              </w:rPr>
            </w:pPr>
          </w:p>
        </w:tc>
        <w:tc>
          <w:tcPr>
            <w:tcW w:w="86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CCEEFF"/>
            </w:tcBorders>
            <w:shd w:val="clear" w:color="auto" w:fill="CCEEFF"/>
          </w:tcPr>
          <w:p>
            <w:pPr>
              <w:spacing w:after="0"/>
              <w:rPr>
                <w:sz w:val="18"/>
                <w:szCs w:val="18"/>
                <w:color w:val="auto"/>
              </w:rPr>
            </w:pPr>
          </w:p>
        </w:tc>
        <w:tc>
          <w:tcPr>
            <w:tcW w:w="9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320" w:type="dxa"/>
            <w:vAlign w:val="bottom"/>
            <w:tcBorders>
              <w:bottom w:val="single" w:sz="8" w:color="CCEEFF"/>
            </w:tcBorders>
            <w:shd w:val="clear" w:color="auto" w:fill="CCEEFF"/>
          </w:tcPr>
          <w:p>
            <w:pPr>
              <w:spacing w:after="0"/>
              <w:rPr>
                <w:sz w:val="18"/>
                <w:szCs w:val="18"/>
                <w:color w:val="auto"/>
              </w:rPr>
            </w:pPr>
          </w:p>
        </w:tc>
        <w:tc>
          <w:tcPr>
            <w:tcW w:w="86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4960" w:type="dxa"/>
            <w:vAlign w:val="bottom"/>
          </w:tcPr>
          <w:p>
            <w:pPr>
              <w:ind w:left="320"/>
              <w:spacing w:after="0"/>
              <w:rPr>
                <w:sz w:val="20"/>
                <w:szCs w:val="20"/>
                <w:color w:val="auto"/>
              </w:rPr>
            </w:pPr>
            <w:r>
              <w:rPr>
                <w:rFonts w:ascii="Arial" w:cs="Arial" w:eastAsia="Arial" w:hAnsi="Arial"/>
                <w:sz w:val="18"/>
                <w:szCs w:val="18"/>
                <w:color w:val="auto"/>
              </w:rPr>
              <w:t>Basic</w:t>
            </w:r>
          </w:p>
        </w:tc>
        <w:tc>
          <w:tcPr>
            <w:tcW w:w="280" w:type="dxa"/>
            <w:vAlign w:val="bottom"/>
          </w:tcPr>
          <w:p>
            <w:pPr>
              <w:spacing w:after="0"/>
              <w:rPr>
                <w:sz w:val="21"/>
                <w:szCs w:val="21"/>
                <w:color w:val="auto"/>
              </w:rPr>
            </w:pPr>
          </w:p>
        </w:tc>
        <w:tc>
          <w:tcPr>
            <w:tcW w:w="900" w:type="dxa"/>
            <w:vAlign w:val="bottom"/>
          </w:tcPr>
          <w:p>
            <w:pPr>
              <w:jc w:val="right"/>
              <w:ind w:right="53"/>
              <w:spacing w:after="0"/>
              <w:rPr>
                <w:sz w:val="20"/>
                <w:szCs w:val="20"/>
                <w:color w:val="auto"/>
              </w:rPr>
            </w:pPr>
            <w:r>
              <w:rPr>
                <w:rFonts w:ascii="Arial" w:cs="Arial" w:eastAsia="Arial" w:hAnsi="Arial"/>
                <w:sz w:val="18"/>
                <w:szCs w:val="18"/>
                <w:color w:val="auto"/>
              </w:rPr>
              <w:t>43,135</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60" w:type="dxa"/>
            <w:vAlign w:val="bottom"/>
          </w:tcPr>
          <w:p>
            <w:pPr>
              <w:jc w:val="right"/>
              <w:ind w:right="71"/>
              <w:spacing w:after="0"/>
              <w:rPr>
                <w:sz w:val="20"/>
                <w:szCs w:val="20"/>
                <w:color w:val="auto"/>
              </w:rPr>
            </w:pPr>
            <w:r>
              <w:rPr>
                <w:rFonts w:ascii="Arial" w:cs="Arial" w:eastAsia="Arial" w:hAnsi="Arial"/>
                <w:sz w:val="18"/>
                <w:szCs w:val="18"/>
                <w:color w:val="auto"/>
              </w:rPr>
              <w:t>38,972</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00" w:type="dxa"/>
            <w:vAlign w:val="bottom"/>
          </w:tcPr>
          <w:p>
            <w:pPr>
              <w:jc w:val="right"/>
              <w:ind w:right="53"/>
              <w:spacing w:after="0"/>
              <w:rPr>
                <w:sz w:val="20"/>
                <w:szCs w:val="20"/>
                <w:color w:val="auto"/>
              </w:rPr>
            </w:pPr>
            <w:r>
              <w:rPr>
                <w:rFonts w:ascii="Arial" w:cs="Arial" w:eastAsia="Arial" w:hAnsi="Arial"/>
                <w:sz w:val="18"/>
                <w:szCs w:val="18"/>
                <w:color w:val="auto"/>
              </w:rPr>
              <w:t>41,284</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60" w:type="dxa"/>
            <w:vAlign w:val="bottom"/>
          </w:tcPr>
          <w:p>
            <w:pPr>
              <w:jc w:val="right"/>
              <w:ind w:right="51"/>
              <w:spacing w:after="0"/>
              <w:rPr>
                <w:sz w:val="20"/>
                <w:szCs w:val="20"/>
                <w:color w:val="auto"/>
              </w:rPr>
            </w:pPr>
            <w:r>
              <w:rPr>
                <w:rFonts w:ascii="Arial" w:cs="Arial" w:eastAsia="Arial" w:hAnsi="Arial"/>
                <w:sz w:val="18"/>
                <w:szCs w:val="18"/>
                <w:color w:val="auto"/>
              </w:rPr>
              <w:t>38,789</w:t>
            </w:r>
          </w:p>
        </w:tc>
        <w:tc>
          <w:tcPr>
            <w:tcW w:w="0" w:type="dxa"/>
            <w:vAlign w:val="bottom"/>
          </w:tcPr>
          <w:p>
            <w:pPr>
              <w:spacing w:after="0"/>
              <w:rPr>
                <w:sz w:val="1"/>
                <w:szCs w:val="1"/>
                <w:color w:val="auto"/>
              </w:rPr>
            </w:pPr>
          </w:p>
        </w:tc>
      </w:tr>
      <w:tr>
        <w:trPr>
          <w:trHeight w:val="27"/>
        </w:trPr>
        <w:tc>
          <w:tcPr>
            <w:tcW w:w="49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96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9"/>
        </w:trPr>
        <w:tc>
          <w:tcPr>
            <w:tcW w:w="49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8"/>
                <w:szCs w:val="18"/>
                <w:color w:val="auto"/>
              </w:rPr>
              <w:t>Diluted</w:t>
            </w:r>
          </w:p>
        </w:tc>
        <w:tc>
          <w:tcPr>
            <w:tcW w:w="280" w:type="dxa"/>
            <w:vAlign w:val="bottom"/>
            <w:tcBorders>
              <w:bottom w:val="single" w:sz="8" w:color="CCEEFF"/>
            </w:tcBorders>
            <w:shd w:val="clear" w:color="auto" w:fill="CCEEFF"/>
          </w:tcPr>
          <w:p>
            <w:pPr>
              <w:spacing w:after="0"/>
              <w:rPr>
                <w:sz w:val="24"/>
                <w:szCs w:val="24"/>
                <w:color w:val="auto"/>
              </w:rPr>
            </w:pPr>
          </w:p>
        </w:tc>
        <w:tc>
          <w:tcPr>
            <w:tcW w:w="90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43,135</w:t>
            </w:r>
          </w:p>
        </w:tc>
        <w:tc>
          <w:tcPr>
            <w:tcW w:w="10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spacing w:after="0"/>
              <w:rPr>
                <w:sz w:val="24"/>
                <w:szCs w:val="24"/>
                <w:color w:val="auto"/>
              </w:rPr>
            </w:pPr>
          </w:p>
        </w:tc>
        <w:tc>
          <w:tcPr>
            <w:tcW w:w="86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40,239</w:t>
            </w:r>
          </w:p>
        </w:tc>
        <w:tc>
          <w:tcPr>
            <w:tcW w:w="80" w:type="dxa"/>
            <w:vAlign w:val="bottom"/>
            <w:tcBorders>
              <w:bottom w:val="single" w:sz="8" w:color="CCEEFF"/>
            </w:tcBorders>
            <w:shd w:val="clear" w:color="auto" w:fill="CCEEFF"/>
          </w:tcPr>
          <w:p>
            <w:pPr>
              <w:spacing w:after="0"/>
              <w:rPr>
                <w:sz w:val="24"/>
                <w:szCs w:val="24"/>
                <w:color w:val="auto"/>
              </w:rPr>
            </w:pPr>
          </w:p>
        </w:tc>
        <w:tc>
          <w:tcPr>
            <w:tcW w:w="280" w:type="dxa"/>
            <w:vAlign w:val="bottom"/>
            <w:tcBorders>
              <w:bottom w:val="single" w:sz="8" w:color="CCEEFF"/>
            </w:tcBorders>
            <w:shd w:val="clear" w:color="auto" w:fill="CCEEFF"/>
          </w:tcPr>
          <w:p>
            <w:pPr>
              <w:spacing w:after="0"/>
              <w:rPr>
                <w:sz w:val="24"/>
                <w:szCs w:val="24"/>
                <w:color w:val="auto"/>
              </w:rPr>
            </w:pPr>
          </w:p>
        </w:tc>
        <w:tc>
          <w:tcPr>
            <w:tcW w:w="90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41,284</w:t>
            </w:r>
          </w:p>
        </w:tc>
        <w:tc>
          <w:tcPr>
            <w:tcW w:w="100" w:type="dxa"/>
            <w:vAlign w:val="bottom"/>
            <w:tcBorders>
              <w:bottom w:val="single" w:sz="8" w:color="CCEEFF"/>
            </w:tcBorders>
            <w:shd w:val="clear" w:color="auto" w:fill="CCEEFF"/>
          </w:tcPr>
          <w:p>
            <w:pPr>
              <w:spacing w:after="0"/>
              <w:rPr>
                <w:sz w:val="24"/>
                <w:szCs w:val="24"/>
                <w:color w:val="auto"/>
              </w:rPr>
            </w:pPr>
          </w:p>
        </w:tc>
        <w:tc>
          <w:tcPr>
            <w:tcW w:w="320" w:type="dxa"/>
            <w:vAlign w:val="bottom"/>
            <w:tcBorders>
              <w:bottom w:val="single" w:sz="8" w:color="CCEEFF"/>
            </w:tcBorders>
            <w:shd w:val="clear" w:color="auto" w:fill="CCEEFF"/>
          </w:tcPr>
          <w:p>
            <w:pPr>
              <w:spacing w:after="0"/>
              <w:rPr>
                <w:sz w:val="24"/>
                <w:szCs w:val="24"/>
                <w:color w:val="auto"/>
              </w:rPr>
            </w:pPr>
          </w:p>
        </w:tc>
        <w:tc>
          <w:tcPr>
            <w:tcW w:w="86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40,064</w:t>
            </w:r>
          </w:p>
        </w:tc>
        <w:tc>
          <w:tcPr>
            <w:tcW w:w="0" w:type="dxa"/>
            <w:vAlign w:val="bottom"/>
          </w:tcPr>
          <w:p>
            <w:pPr>
              <w:spacing w:after="0"/>
              <w:rPr>
                <w:sz w:val="1"/>
                <w:szCs w:val="1"/>
                <w:color w:val="auto"/>
              </w:rPr>
            </w:pPr>
          </w:p>
        </w:tc>
      </w:tr>
      <w:tr>
        <w:trPr>
          <w:trHeight w:val="20"/>
        </w:trPr>
        <w:tc>
          <w:tcPr>
            <w:tcW w:w="496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Page 3 of 8</w:t>
      </w:r>
    </w:p>
    <w:p>
      <w:pPr>
        <w:sectPr>
          <w:pgSz w:w="11900" w:h="16838" w:orient="portrait"/>
          <w:cols w:equalWidth="0" w:num="1">
            <w:col w:w="9940"/>
          </w:cols>
          <w:pgMar w:left="980" w:top="715" w:right="979" w:bottom="1440" w:gutter="0" w:footer="0" w:header="0"/>
        </w:sectPr>
      </w:pPr>
    </w:p>
    <w:bookmarkStart w:id="6" w:name="page7"/>
    <w:bookmarkEnd w:id="6"/>
    <w:p>
      <w:pPr>
        <w:jc w:val="center"/>
        <w:ind w:right="20"/>
        <w:spacing w:after="0"/>
        <w:rPr>
          <w:sz w:val="20"/>
          <w:szCs w:val="20"/>
          <w:color w:val="auto"/>
        </w:rPr>
      </w:pPr>
      <w:r>
        <w:rPr>
          <w:rFonts w:ascii="Arial" w:cs="Arial" w:eastAsia="Arial" w:hAnsi="Arial"/>
          <w:sz w:val="18"/>
          <w:szCs w:val="18"/>
          <w:b w:val="1"/>
          <w:bCs w:val="1"/>
          <w:color w:val="auto"/>
        </w:rPr>
        <w:t>Lantheus Holdings, Inc.</w:t>
      </w:r>
    </w:p>
    <w:p>
      <w:pPr>
        <w:spacing w:after="0" w:line="63"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Consolidated Segment Revenues Analysis</w:t>
      </w:r>
    </w:p>
    <w:p>
      <w:pPr>
        <w:spacing w:after="0" w:line="6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(in thousands – unaudited)</w:t>
      </w: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420" w:type="dxa"/>
            <w:vAlign w:val="bottom"/>
            <w:gridSpan w:val="6"/>
          </w:tcPr>
          <w:p>
            <w:pPr>
              <w:jc w:val="center"/>
              <w:ind w:right="60"/>
              <w:spacing w:after="0"/>
              <w:rPr>
                <w:sz w:val="20"/>
                <w:szCs w:val="20"/>
                <w:color w:val="auto"/>
              </w:rPr>
            </w:pPr>
            <w:r>
              <w:rPr>
                <w:rFonts w:ascii="Arial" w:cs="Arial" w:eastAsia="Arial" w:hAnsi="Arial"/>
                <w:sz w:val="14"/>
                <w:szCs w:val="14"/>
                <w:b w:val="1"/>
                <w:bCs w:val="1"/>
                <w:color w:val="auto"/>
                <w:w w:val="95"/>
              </w:rPr>
              <w:t>Three Months Ended</w:t>
            </w: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260" w:type="dxa"/>
            <w:vAlign w:val="bottom"/>
            <w:gridSpan w:val="4"/>
          </w:tcPr>
          <w:p>
            <w:pPr>
              <w:jc w:val="center"/>
              <w:spacing w:after="0"/>
              <w:rPr>
                <w:sz w:val="20"/>
                <w:szCs w:val="20"/>
                <w:color w:val="auto"/>
              </w:rPr>
            </w:pPr>
            <w:r>
              <w:rPr>
                <w:rFonts w:ascii="Arial" w:cs="Arial" w:eastAsia="Arial" w:hAnsi="Arial"/>
                <w:sz w:val="14"/>
                <w:szCs w:val="14"/>
                <w:b w:val="1"/>
                <w:bCs w:val="1"/>
                <w:color w:val="auto"/>
                <w:w w:val="93"/>
              </w:rPr>
              <w:t>Six Months Ended</w:t>
            </w:r>
          </w:p>
        </w:tc>
        <w:tc>
          <w:tcPr>
            <w:tcW w:w="1120" w:type="dxa"/>
            <w:vAlign w:val="bottom"/>
          </w:tcPr>
          <w:p>
            <w:pPr>
              <w:spacing w:after="0"/>
              <w:rPr>
                <w:sz w:val="14"/>
                <w:szCs w:val="14"/>
                <w:color w:val="auto"/>
              </w:rPr>
            </w:pPr>
          </w:p>
        </w:tc>
      </w:tr>
      <w:tr>
        <w:trPr>
          <w:trHeight w:val="192"/>
        </w:trPr>
        <w:tc>
          <w:tcPr>
            <w:tcW w:w="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gridSpan w:val="3"/>
          </w:tcPr>
          <w:p>
            <w:pPr>
              <w:jc w:val="center"/>
              <w:ind w:right="380"/>
              <w:spacing w:after="0"/>
              <w:rPr>
                <w:sz w:val="20"/>
                <w:szCs w:val="20"/>
                <w:color w:val="auto"/>
              </w:rPr>
            </w:pPr>
            <w:r>
              <w:rPr>
                <w:rFonts w:ascii="Arial" w:cs="Arial" w:eastAsia="Arial" w:hAnsi="Arial"/>
                <w:sz w:val="14"/>
                <w:szCs w:val="14"/>
                <w:b w:val="1"/>
                <w:bCs w:val="1"/>
                <w:color w:val="auto"/>
                <w:w w:val="92"/>
              </w:rPr>
              <w:t>June 30,</w:t>
            </w:r>
          </w:p>
        </w:tc>
        <w:tc>
          <w:tcPr>
            <w:tcW w:w="9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gridSpan w:val="2"/>
          </w:tcPr>
          <w:p>
            <w:pPr>
              <w:jc w:val="center"/>
              <w:ind w:right="260"/>
              <w:spacing w:after="0"/>
              <w:rPr>
                <w:sz w:val="20"/>
                <w:szCs w:val="20"/>
                <w:color w:val="auto"/>
              </w:rPr>
            </w:pPr>
            <w:r>
              <w:rPr>
                <w:rFonts w:ascii="Arial" w:cs="Arial" w:eastAsia="Arial" w:hAnsi="Arial"/>
                <w:sz w:val="14"/>
                <w:szCs w:val="14"/>
                <w:b w:val="1"/>
                <w:bCs w:val="1"/>
                <w:color w:val="auto"/>
                <w:w w:val="89"/>
              </w:rPr>
              <w:t>June 30,</w:t>
            </w:r>
          </w:p>
        </w:tc>
        <w:tc>
          <w:tcPr>
            <w:tcW w:w="1120" w:type="dxa"/>
            <w:vAlign w:val="bottom"/>
            <w:tcBorders>
              <w:bottom w:val="single" w:sz="8" w:color="auto"/>
            </w:tcBorders>
          </w:tcPr>
          <w:p>
            <w:pPr>
              <w:spacing w:after="0"/>
              <w:rPr>
                <w:sz w:val="16"/>
                <w:szCs w:val="16"/>
                <w:color w:val="auto"/>
              </w:rPr>
            </w:pPr>
          </w:p>
        </w:tc>
      </w:tr>
      <w:tr>
        <w:trPr>
          <w:trHeight w:val="196"/>
        </w:trPr>
        <w:tc>
          <w:tcPr>
            <w:tcW w:w="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40" w:type="dxa"/>
            <w:vAlign w:val="bottom"/>
          </w:tcPr>
          <w:p>
            <w:pPr>
              <w:jc w:val="right"/>
              <w:ind w:right="191"/>
              <w:spacing w:after="0"/>
              <w:rPr>
                <w:sz w:val="20"/>
                <w:szCs w:val="20"/>
                <w:color w:val="auto"/>
              </w:rPr>
            </w:pPr>
            <w:r>
              <w:rPr>
                <w:rFonts w:ascii="Arial" w:cs="Arial" w:eastAsia="Arial" w:hAnsi="Arial"/>
                <w:sz w:val="14"/>
                <w:szCs w:val="14"/>
                <w:b w:val="1"/>
                <w:bCs w:val="1"/>
                <w:color w:val="auto"/>
              </w:rPr>
              <w:t>2020</w:t>
            </w: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40" w:type="dxa"/>
            <w:vAlign w:val="bottom"/>
          </w:tcPr>
          <w:p>
            <w:pPr>
              <w:jc w:val="right"/>
              <w:ind w:right="252"/>
              <w:spacing w:after="0"/>
              <w:rPr>
                <w:sz w:val="20"/>
                <w:szCs w:val="20"/>
                <w:color w:val="auto"/>
              </w:rPr>
            </w:pPr>
            <w:r>
              <w:rPr>
                <w:rFonts w:ascii="Arial" w:cs="Arial" w:eastAsia="Arial" w:hAnsi="Arial"/>
                <w:sz w:val="14"/>
                <w:szCs w:val="14"/>
                <w:b w:val="1"/>
                <w:bCs w:val="1"/>
                <w:color w:val="auto"/>
              </w:rPr>
              <w:t>2019</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80" w:type="dxa"/>
            <w:vAlign w:val="bottom"/>
            <w:gridSpan w:val="2"/>
          </w:tcPr>
          <w:p>
            <w:pPr>
              <w:ind w:left="100"/>
              <w:spacing w:after="0"/>
              <w:rPr>
                <w:sz w:val="20"/>
                <w:szCs w:val="20"/>
                <w:color w:val="auto"/>
              </w:rPr>
            </w:pPr>
            <w:r>
              <w:rPr>
                <w:rFonts w:ascii="Arial" w:cs="Arial" w:eastAsia="Arial" w:hAnsi="Arial"/>
                <w:sz w:val="14"/>
                <w:szCs w:val="14"/>
                <w:b w:val="1"/>
                <w:bCs w:val="1"/>
                <w:color w:val="auto"/>
              </w:rPr>
              <w:t>% Change</w:t>
            </w:r>
          </w:p>
        </w:tc>
        <w:tc>
          <w:tcPr>
            <w:tcW w:w="220" w:type="dxa"/>
            <w:vAlign w:val="bottom"/>
          </w:tcPr>
          <w:p>
            <w:pPr>
              <w:spacing w:after="0"/>
              <w:rPr>
                <w:sz w:val="17"/>
                <w:szCs w:val="17"/>
                <w:color w:val="auto"/>
              </w:rPr>
            </w:pPr>
          </w:p>
        </w:tc>
        <w:tc>
          <w:tcPr>
            <w:tcW w:w="840" w:type="dxa"/>
            <w:vAlign w:val="bottom"/>
          </w:tcPr>
          <w:p>
            <w:pPr>
              <w:jc w:val="right"/>
              <w:ind w:right="251"/>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60" w:type="dxa"/>
            <w:vAlign w:val="bottom"/>
          </w:tcPr>
          <w:p>
            <w:pPr>
              <w:jc w:val="right"/>
              <w:ind w:right="252"/>
              <w:spacing w:after="0"/>
              <w:rPr>
                <w:sz w:val="20"/>
                <w:szCs w:val="20"/>
                <w:color w:val="auto"/>
              </w:rPr>
            </w:pPr>
            <w:r>
              <w:rPr>
                <w:rFonts w:ascii="Arial" w:cs="Arial" w:eastAsia="Arial" w:hAnsi="Arial"/>
                <w:sz w:val="14"/>
                <w:szCs w:val="14"/>
                <w:b w:val="1"/>
                <w:bCs w:val="1"/>
                <w:color w:val="auto"/>
              </w:rPr>
              <w:t>2019</w:t>
            </w:r>
          </w:p>
        </w:tc>
        <w:tc>
          <w:tcPr>
            <w:tcW w:w="100" w:type="dxa"/>
            <w:vAlign w:val="bottom"/>
          </w:tcPr>
          <w:p>
            <w:pPr>
              <w:spacing w:after="0"/>
              <w:rPr>
                <w:sz w:val="17"/>
                <w:szCs w:val="17"/>
                <w:color w:val="auto"/>
              </w:rPr>
            </w:pPr>
          </w:p>
        </w:tc>
        <w:tc>
          <w:tcPr>
            <w:tcW w:w="1120" w:type="dxa"/>
            <w:vAlign w:val="bottom"/>
          </w:tcPr>
          <w:p>
            <w:pPr>
              <w:jc w:val="right"/>
              <w:ind w:right="151"/>
              <w:spacing w:after="0"/>
              <w:rPr>
                <w:sz w:val="20"/>
                <w:szCs w:val="20"/>
                <w:color w:val="auto"/>
              </w:rPr>
            </w:pPr>
            <w:r>
              <w:rPr>
                <w:rFonts w:ascii="Arial" w:cs="Arial" w:eastAsia="Arial" w:hAnsi="Arial"/>
                <w:sz w:val="14"/>
                <w:szCs w:val="14"/>
                <w:b w:val="1"/>
                <w:bCs w:val="1"/>
                <w:color w:val="auto"/>
              </w:rPr>
              <w:t>% Change</w:t>
            </w:r>
          </w:p>
        </w:tc>
      </w:tr>
      <w:tr>
        <w:trPr>
          <w:trHeight w:val="189"/>
        </w:trPr>
        <w:tc>
          <w:tcPr>
            <w:tcW w:w="20" w:type="dxa"/>
            <w:vAlign w:val="bottom"/>
            <w:tcBorders>
              <w:top w:val="single" w:sz="8" w:color="CCEEFF"/>
            </w:tcBorders>
            <w:shd w:val="clear" w:color="auto" w:fill="CCEEFF"/>
          </w:tcPr>
          <w:p>
            <w:pPr>
              <w:spacing w:after="0"/>
              <w:rPr>
                <w:sz w:val="16"/>
                <w:szCs w:val="16"/>
                <w:color w:val="auto"/>
              </w:rPr>
            </w:pPr>
          </w:p>
        </w:tc>
        <w:tc>
          <w:tcPr>
            <w:tcW w:w="2980" w:type="dxa"/>
            <w:vAlign w:val="bottom"/>
            <w:tcBorders>
              <w:top w:val="single" w:sz="8" w:color="CCEEFF"/>
            </w:tcBorders>
            <w:gridSpan w:val="4"/>
            <w:shd w:val="clear" w:color="auto" w:fill="CCEEFF"/>
          </w:tcPr>
          <w:p>
            <w:pPr>
              <w:spacing w:after="0" w:line="189" w:lineRule="exact"/>
              <w:rPr>
                <w:sz w:val="20"/>
                <w:szCs w:val="20"/>
                <w:color w:val="auto"/>
              </w:rPr>
            </w:pPr>
            <w:r>
              <w:rPr>
                <w:rFonts w:ascii="Arial" w:cs="Arial" w:eastAsia="Arial" w:hAnsi="Arial"/>
                <w:sz w:val="18"/>
                <w:szCs w:val="18"/>
                <w:color w:val="auto"/>
              </w:rPr>
              <w:t>United States</w:t>
            </w:r>
          </w:p>
        </w:tc>
        <w:tc>
          <w:tcPr>
            <w:tcW w:w="260" w:type="dxa"/>
            <w:vAlign w:val="bottom"/>
            <w:tcBorders>
              <w:top w:val="single" w:sz="8" w:color="auto"/>
            </w:tcBorders>
            <w:shd w:val="clear" w:color="auto" w:fill="CCEEFF"/>
          </w:tcPr>
          <w:p>
            <w:pPr>
              <w:spacing w:after="0"/>
              <w:rPr>
                <w:sz w:val="16"/>
                <w:szCs w:val="16"/>
                <w:color w:val="auto"/>
              </w:rPr>
            </w:pPr>
          </w:p>
        </w:tc>
        <w:tc>
          <w:tcPr>
            <w:tcW w:w="740" w:type="dxa"/>
            <w:vAlign w:val="bottom"/>
            <w:tcBorders>
              <w:top w:val="single" w:sz="8" w:color="auto"/>
            </w:tcBorders>
            <w:shd w:val="clear" w:color="auto" w:fill="CCEEFF"/>
          </w:tcPr>
          <w:p>
            <w:pPr>
              <w:spacing w:after="0"/>
              <w:rPr>
                <w:sz w:val="16"/>
                <w:szCs w:val="16"/>
                <w:color w:val="auto"/>
              </w:rPr>
            </w:pPr>
          </w:p>
        </w:tc>
        <w:tc>
          <w:tcPr>
            <w:tcW w:w="6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spacing w:after="0"/>
              <w:rPr>
                <w:sz w:val="16"/>
                <w:szCs w:val="16"/>
                <w:color w:val="auto"/>
              </w:rPr>
            </w:pPr>
          </w:p>
        </w:tc>
        <w:tc>
          <w:tcPr>
            <w:tcW w:w="84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9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spacing w:after="0"/>
              <w:rPr>
                <w:sz w:val="16"/>
                <w:szCs w:val="16"/>
                <w:color w:val="auto"/>
              </w:rPr>
            </w:pPr>
          </w:p>
        </w:tc>
        <w:tc>
          <w:tcPr>
            <w:tcW w:w="84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spacing w:after="0"/>
              <w:rPr>
                <w:sz w:val="16"/>
                <w:szCs w:val="16"/>
                <w:color w:val="auto"/>
              </w:rPr>
            </w:pPr>
          </w:p>
        </w:tc>
        <w:tc>
          <w:tcPr>
            <w:tcW w:w="86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1120" w:type="dxa"/>
            <w:vAlign w:val="bottom"/>
            <w:tcBorders>
              <w:top w:val="single" w:sz="8" w:color="auto"/>
            </w:tcBorders>
            <w:shd w:val="clear" w:color="auto" w:fill="CCEEFF"/>
          </w:tcPr>
          <w:p>
            <w:pPr>
              <w:spacing w:after="0"/>
              <w:rPr>
                <w:sz w:val="16"/>
                <w:szCs w:val="16"/>
                <w:color w:val="auto"/>
              </w:rPr>
            </w:pPr>
          </w:p>
        </w:tc>
      </w:tr>
      <w:tr>
        <w:trPr>
          <w:trHeight w:val="48"/>
        </w:trPr>
        <w:tc>
          <w:tcPr>
            <w:tcW w:w="2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auto"/>
            </w:tcBorders>
            <w:shd w:val="clear" w:color="auto" w:fill="CCEEFF"/>
          </w:tcPr>
          <w:p>
            <w:pPr>
              <w:spacing w:after="0"/>
              <w:rPr>
                <w:sz w:val="4"/>
                <w:szCs w:val="4"/>
                <w:color w:val="auto"/>
              </w:rPr>
            </w:pPr>
          </w:p>
        </w:tc>
        <w:tc>
          <w:tcPr>
            <w:tcW w:w="40" w:type="dxa"/>
            <w:vAlign w:val="bottom"/>
            <w:tcBorders>
              <w:top w:val="single" w:sz="8" w:color="auto"/>
            </w:tcBorders>
            <w:shd w:val="clear" w:color="auto" w:fill="CCEEFF"/>
          </w:tcPr>
          <w:p>
            <w:pPr>
              <w:spacing w:after="0"/>
              <w:rPr>
                <w:sz w:val="4"/>
                <w:szCs w:val="4"/>
                <w:color w:val="auto"/>
              </w:rPr>
            </w:pPr>
          </w:p>
        </w:tc>
        <w:tc>
          <w:tcPr>
            <w:tcW w:w="202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7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8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98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20" w:type="dxa"/>
            <w:vAlign w:val="bottom"/>
            <w:tcBorders>
              <w:top w:val="single" w:sz="8" w:color="CCEEFF"/>
            </w:tcBorders>
            <w:shd w:val="clear" w:color="auto" w:fill="CCEEFF"/>
          </w:tcPr>
          <w:p>
            <w:pPr>
              <w:spacing w:after="0"/>
              <w:rPr>
                <w:sz w:val="4"/>
                <w:szCs w:val="4"/>
                <w:color w:val="auto"/>
              </w:rPr>
            </w:pPr>
          </w:p>
        </w:tc>
        <w:tc>
          <w:tcPr>
            <w:tcW w:w="8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86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120" w:type="dxa"/>
            <w:vAlign w:val="bottom"/>
            <w:tcBorders>
              <w:top w:val="single" w:sz="8" w:color="CCEEFF"/>
            </w:tcBorders>
            <w:shd w:val="clear" w:color="auto" w:fill="CCEEFF"/>
          </w:tcPr>
          <w:p>
            <w:pPr>
              <w:spacing w:after="0"/>
              <w:rPr>
                <w:sz w:val="4"/>
                <w:szCs w:val="4"/>
                <w:color w:val="auto"/>
              </w:rPr>
            </w:pPr>
          </w:p>
        </w:tc>
      </w:tr>
      <w:tr>
        <w:trPr>
          <w:trHeight w:val="243"/>
        </w:trPr>
        <w:tc>
          <w:tcPr>
            <w:tcW w:w="20" w:type="dxa"/>
            <w:vAlign w:val="bottom"/>
          </w:tcPr>
          <w:p>
            <w:pPr>
              <w:spacing w:after="0"/>
              <w:rPr>
                <w:sz w:val="21"/>
                <w:szCs w:val="21"/>
                <w:color w:val="auto"/>
              </w:rPr>
            </w:pPr>
          </w:p>
        </w:tc>
        <w:tc>
          <w:tcPr>
            <w:tcW w:w="2980" w:type="dxa"/>
            <w:vAlign w:val="bottom"/>
            <w:gridSpan w:val="4"/>
          </w:tcPr>
          <w:p>
            <w:pPr>
              <w:ind w:left="180"/>
              <w:spacing w:after="0"/>
              <w:rPr>
                <w:sz w:val="20"/>
                <w:szCs w:val="20"/>
                <w:color w:val="auto"/>
              </w:rPr>
            </w:pPr>
            <w:r>
              <w:rPr>
                <w:rFonts w:ascii="Arial" w:cs="Arial" w:eastAsia="Arial" w:hAnsi="Arial"/>
                <w:sz w:val="18"/>
                <w:szCs w:val="18"/>
                <w:color w:val="auto"/>
              </w:rPr>
              <w:t>DEFINITY</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39,544</w:t>
            </w:r>
          </w:p>
        </w:tc>
        <w:tc>
          <w:tcPr>
            <w:tcW w:w="360" w:type="dxa"/>
            <w:vAlign w:val="bottom"/>
            <w:gridSpan w:val="3"/>
          </w:tcPr>
          <w:p>
            <w:pPr>
              <w:jc w:val="right"/>
              <w:ind w:right="1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52"/>
              <w:spacing w:after="0"/>
              <w:rPr>
                <w:sz w:val="20"/>
                <w:szCs w:val="20"/>
                <w:color w:val="auto"/>
              </w:rPr>
            </w:pPr>
            <w:r>
              <w:rPr>
                <w:rFonts w:ascii="Arial" w:cs="Arial" w:eastAsia="Arial" w:hAnsi="Arial"/>
                <w:sz w:val="18"/>
                <w:szCs w:val="18"/>
                <w:color w:val="auto"/>
              </w:rPr>
              <w:t>53,466</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(26.0)%</w:t>
            </w:r>
          </w:p>
        </w:tc>
        <w:tc>
          <w:tcPr>
            <w:tcW w:w="100" w:type="dxa"/>
            <w:vAlign w:val="bottom"/>
          </w:tcPr>
          <w:p>
            <w:pPr>
              <w:spacing w:after="0"/>
              <w:rPr>
                <w:sz w:val="21"/>
                <w:szCs w:val="21"/>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ind w:right="51"/>
              <w:spacing w:after="0"/>
              <w:rPr>
                <w:sz w:val="20"/>
                <w:szCs w:val="20"/>
                <w:color w:val="auto"/>
              </w:rPr>
            </w:pPr>
            <w:r>
              <w:rPr>
                <w:rFonts w:ascii="Arial" w:cs="Arial" w:eastAsia="Arial" w:hAnsi="Arial"/>
                <w:sz w:val="18"/>
                <w:szCs w:val="18"/>
                <w:color w:val="auto"/>
              </w:rPr>
              <w:t>94,554</w:t>
            </w:r>
          </w:p>
        </w:tc>
        <w:tc>
          <w:tcPr>
            <w:tcW w:w="30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860" w:type="dxa"/>
            <w:vAlign w:val="bottom"/>
          </w:tcPr>
          <w:p>
            <w:pPr>
              <w:jc w:val="right"/>
              <w:ind w:right="52"/>
              <w:spacing w:after="0"/>
              <w:rPr>
                <w:sz w:val="20"/>
                <w:szCs w:val="20"/>
                <w:color w:val="auto"/>
              </w:rPr>
            </w:pPr>
            <w:r>
              <w:rPr>
                <w:rFonts w:ascii="Arial" w:cs="Arial" w:eastAsia="Arial" w:hAnsi="Arial"/>
                <w:sz w:val="18"/>
                <w:szCs w:val="18"/>
                <w:color w:val="auto"/>
              </w:rPr>
              <w:t>103,182</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(8.4)%</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2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2980" w:type="dxa"/>
            <w:vAlign w:val="bottom"/>
            <w:tcBorders>
              <w:bottom w:val="single" w:sz="8" w:color="CCEEFF"/>
            </w:tcBorders>
            <w:gridSpan w:val="4"/>
            <w:shd w:val="clear" w:color="auto" w:fill="CCEEFF"/>
          </w:tcPr>
          <w:p>
            <w:pPr>
              <w:ind w:left="180"/>
              <w:spacing w:after="0"/>
              <w:rPr>
                <w:sz w:val="20"/>
                <w:szCs w:val="20"/>
                <w:color w:val="auto"/>
              </w:rPr>
            </w:pPr>
            <w:r>
              <w:rPr>
                <w:rFonts w:ascii="Arial" w:cs="Arial" w:eastAsia="Arial" w:hAnsi="Arial"/>
                <w:sz w:val="18"/>
                <w:szCs w:val="18"/>
                <w:color w:val="auto"/>
              </w:rPr>
              <w:t>TechneLite</w:t>
            </w:r>
          </w:p>
        </w:tc>
        <w:tc>
          <w:tcPr>
            <w:tcW w:w="2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15,591</w:t>
            </w: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16,865</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34,947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36,923</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w:t>
            </w:r>
          </w:p>
        </w:tc>
      </w:tr>
      <w:tr>
        <w:trPr>
          <w:trHeight w:val="243"/>
        </w:trPr>
        <w:tc>
          <w:tcPr>
            <w:tcW w:w="20" w:type="dxa"/>
            <w:vAlign w:val="bottom"/>
          </w:tcPr>
          <w:p>
            <w:pPr>
              <w:spacing w:after="0"/>
              <w:rPr>
                <w:sz w:val="21"/>
                <w:szCs w:val="21"/>
                <w:color w:val="auto"/>
              </w:rPr>
            </w:pPr>
          </w:p>
        </w:tc>
        <w:tc>
          <w:tcPr>
            <w:tcW w:w="2980" w:type="dxa"/>
            <w:vAlign w:val="bottom"/>
            <w:gridSpan w:val="4"/>
          </w:tcPr>
          <w:p>
            <w:pPr>
              <w:ind w:left="180"/>
              <w:spacing w:after="0"/>
              <w:rPr>
                <w:sz w:val="20"/>
                <w:szCs w:val="20"/>
                <w:color w:val="auto"/>
              </w:rPr>
            </w:pPr>
            <w:r>
              <w:rPr>
                <w:rFonts w:ascii="Arial" w:cs="Arial" w:eastAsia="Arial" w:hAnsi="Arial"/>
                <w:sz w:val="18"/>
                <w:szCs w:val="18"/>
                <w:color w:val="auto"/>
              </w:rPr>
              <w:t>Other nuclear</w:t>
            </w:r>
          </w:p>
        </w:tc>
        <w:tc>
          <w:tcPr>
            <w:tcW w:w="26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5,804</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40" w:type="dxa"/>
            <w:vAlign w:val="bottom"/>
          </w:tcPr>
          <w:p>
            <w:pPr>
              <w:jc w:val="right"/>
              <w:ind w:right="52"/>
              <w:spacing w:after="0"/>
              <w:rPr>
                <w:sz w:val="20"/>
                <w:szCs w:val="20"/>
                <w:color w:val="auto"/>
              </w:rPr>
            </w:pPr>
            <w:r>
              <w:rPr>
                <w:rFonts w:ascii="Arial" w:cs="Arial" w:eastAsia="Arial" w:hAnsi="Arial"/>
                <w:sz w:val="18"/>
                <w:szCs w:val="18"/>
                <w:color w:val="auto"/>
              </w:rPr>
              <w:t>9,127</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(36.4)%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ind w:right="51"/>
              <w:spacing w:after="0"/>
              <w:rPr>
                <w:sz w:val="20"/>
                <w:szCs w:val="20"/>
                <w:color w:val="auto"/>
              </w:rPr>
            </w:pPr>
            <w:r>
              <w:rPr>
                <w:rFonts w:ascii="Arial" w:cs="Arial" w:eastAsia="Arial" w:hAnsi="Arial"/>
                <w:sz w:val="18"/>
                <w:szCs w:val="18"/>
                <w:color w:val="auto"/>
              </w:rPr>
              <w:t>14,866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60" w:type="dxa"/>
            <w:vAlign w:val="bottom"/>
          </w:tcPr>
          <w:p>
            <w:pPr>
              <w:jc w:val="right"/>
              <w:ind w:right="52"/>
              <w:spacing w:after="0"/>
              <w:rPr>
                <w:sz w:val="20"/>
                <w:szCs w:val="20"/>
                <w:color w:val="auto"/>
              </w:rPr>
            </w:pPr>
            <w:r>
              <w:rPr>
                <w:rFonts w:ascii="Arial" w:cs="Arial" w:eastAsia="Arial" w:hAnsi="Arial"/>
                <w:sz w:val="18"/>
                <w:szCs w:val="18"/>
                <w:color w:val="auto"/>
              </w:rPr>
              <w:t>18,651</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(20.3)%</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2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20" w:type="dxa"/>
            <w:vAlign w:val="bottom"/>
            <w:tcBorders>
              <w:bottom w:val="single" w:sz="8" w:color="CCEEFF"/>
            </w:tcBorders>
            <w:shd w:val="clear" w:color="auto" w:fill="CCEEFF"/>
          </w:tcPr>
          <w:p>
            <w:pPr>
              <w:spacing w:after="0"/>
              <w:rPr>
                <w:sz w:val="23"/>
                <w:szCs w:val="23"/>
                <w:color w:val="auto"/>
              </w:rPr>
            </w:pPr>
          </w:p>
        </w:tc>
        <w:tc>
          <w:tcPr>
            <w:tcW w:w="2980" w:type="dxa"/>
            <w:vAlign w:val="bottom"/>
            <w:tcBorders>
              <w:bottom w:val="single" w:sz="8" w:color="CCEEFF"/>
            </w:tcBorders>
            <w:gridSpan w:val="4"/>
            <w:shd w:val="clear" w:color="auto" w:fill="CCEEFF"/>
          </w:tcPr>
          <w:p>
            <w:pPr>
              <w:ind w:left="220"/>
              <w:spacing w:after="0"/>
              <w:rPr>
                <w:sz w:val="20"/>
                <w:szCs w:val="20"/>
                <w:color w:val="auto"/>
              </w:rPr>
            </w:pPr>
            <w:r>
              <w:rPr>
                <w:rFonts w:ascii="Arial" w:cs="Arial" w:eastAsia="Arial" w:hAnsi="Arial"/>
                <w:sz w:val="18"/>
                <w:szCs w:val="18"/>
                <w:color w:val="auto"/>
              </w:rPr>
              <w:t>Rebates and allowances</w:t>
            </w:r>
          </w:p>
        </w:tc>
        <w:tc>
          <w:tcPr>
            <w:tcW w:w="26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(3,540)</w:t>
            </w:r>
          </w:p>
        </w:tc>
        <w:tc>
          <w:tcPr>
            <w:tcW w:w="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(4,268)</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(17.1)%</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(8,223)</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(8,132)</w:t>
            </w:r>
          </w:p>
        </w:tc>
        <w:tc>
          <w:tcPr>
            <w:tcW w:w="10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1.1 %</w:t>
            </w:r>
          </w:p>
        </w:tc>
      </w:tr>
      <w:tr>
        <w:trPr>
          <w:trHeight w:val="237"/>
        </w:trPr>
        <w:tc>
          <w:tcPr>
            <w:tcW w:w="3000" w:type="dxa"/>
            <w:vAlign w:val="bottom"/>
            <w:gridSpan w:val="5"/>
          </w:tcPr>
          <w:p>
            <w:pPr>
              <w:ind w:left="20"/>
              <w:spacing w:after="0"/>
              <w:rPr>
                <w:sz w:val="20"/>
                <w:szCs w:val="20"/>
                <w:color w:val="auto"/>
              </w:rPr>
            </w:pPr>
            <w:r>
              <w:rPr>
                <w:rFonts w:ascii="Arial" w:cs="Arial" w:eastAsia="Arial" w:hAnsi="Arial"/>
                <w:sz w:val="18"/>
                <w:szCs w:val="18"/>
                <w:color w:val="auto"/>
              </w:rPr>
              <w:t>Total United States</w:t>
            </w:r>
          </w:p>
        </w:tc>
        <w:tc>
          <w:tcPr>
            <w:tcW w:w="260" w:type="dxa"/>
            <w:vAlign w:val="bottom"/>
            <w:tcBorders>
              <w:top w:val="single" w:sz="8" w:color="auto"/>
            </w:tcBorders>
          </w:tcPr>
          <w:p>
            <w:pPr>
              <w:spacing w:after="0"/>
              <w:rPr>
                <w:sz w:val="20"/>
                <w:szCs w:val="20"/>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57,399</w:t>
            </w:r>
          </w:p>
        </w:tc>
        <w:tc>
          <w:tcPr>
            <w:tcW w:w="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840" w:type="dxa"/>
            <w:vAlign w:val="bottom"/>
            <w:tcBorders>
              <w:top w:val="single" w:sz="8" w:color="auto"/>
            </w:tcBorders>
          </w:tcPr>
          <w:p>
            <w:pPr>
              <w:jc w:val="right"/>
              <w:ind w:right="52"/>
              <w:spacing w:after="0"/>
              <w:rPr>
                <w:sz w:val="20"/>
                <w:szCs w:val="20"/>
                <w:color w:val="auto"/>
              </w:rPr>
            </w:pPr>
            <w:r>
              <w:rPr>
                <w:rFonts w:ascii="Arial" w:cs="Arial" w:eastAsia="Arial" w:hAnsi="Arial"/>
                <w:sz w:val="18"/>
                <w:szCs w:val="18"/>
                <w:color w:val="auto"/>
              </w:rPr>
              <w:t>75,190</w:t>
            </w:r>
          </w:p>
        </w:tc>
        <w:tc>
          <w:tcPr>
            <w:tcW w:w="10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(23.7)%</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40" w:type="dxa"/>
            <w:vAlign w:val="bottom"/>
            <w:tcBorders>
              <w:top w:val="single" w:sz="8" w:color="auto"/>
            </w:tcBorders>
          </w:tcPr>
          <w:p>
            <w:pPr>
              <w:jc w:val="right"/>
              <w:ind w:right="51"/>
              <w:spacing w:after="0"/>
              <w:rPr>
                <w:sz w:val="20"/>
                <w:szCs w:val="20"/>
                <w:color w:val="auto"/>
              </w:rPr>
            </w:pPr>
            <w:r>
              <w:rPr>
                <w:rFonts w:ascii="Arial" w:cs="Arial" w:eastAsia="Arial" w:hAnsi="Arial"/>
                <w:sz w:val="18"/>
                <w:szCs w:val="18"/>
                <w:color w:val="auto"/>
              </w:rPr>
              <w:t>136,144</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52"/>
              <w:spacing w:after="0"/>
              <w:rPr>
                <w:sz w:val="20"/>
                <w:szCs w:val="20"/>
                <w:color w:val="auto"/>
              </w:rPr>
            </w:pPr>
            <w:r>
              <w:rPr>
                <w:rFonts w:ascii="Arial" w:cs="Arial" w:eastAsia="Arial" w:hAnsi="Arial"/>
                <w:sz w:val="18"/>
                <w:szCs w:val="18"/>
                <w:color w:val="auto"/>
              </w:rPr>
              <w:t>150,624</w:t>
            </w:r>
          </w:p>
        </w:tc>
        <w:tc>
          <w:tcPr>
            <w:tcW w:w="100" w:type="dxa"/>
            <w:vAlign w:val="bottom"/>
          </w:tcPr>
          <w:p>
            <w:pPr>
              <w:spacing w:after="0"/>
              <w:rPr>
                <w:sz w:val="20"/>
                <w:szCs w:val="20"/>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(9.6)%</w:t>
            </w:r>
          </w:p>
        </w:tc>
      </w:tr>
      <w:tr>
        <w:trPr>
          <w:trHeight w:val="27"/>
        </w:trPr>
        <w:tc>
          <w:tcPr>
            <w:tcW w:w="2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20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0"/>
        </w:trPr>
        <w:tc>
          <w:tcPr>
            <w:tcW w:w="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auto"/>
            </w:tcBorders>
            <w:gridSpan w:val="2"/>
            <w:shd w:val="clear" w:color="auto" w:fill="CCEEFF"/>
          </w:tcPr>
          <w:p>
            <w:pPr>
              <w:spacing w:after="0" w:line="182" w:lineRule="exact"/>
              <w:rPr>
                <w:sz w:val="20"/>
                <w:szCs w:val="20"/>
                <w:color w:val="auto"/>
              </w:rPr>
            </w:pPr>
            <w:r>
              <w:rPr>
                <w:rFonts w:ascii="Arial" w:cs="Arial" w:eastAsia="Arial" w:hAnsi="Arial"/>
                <w:sz w:val="18"/>
                <w:szCs w:val="18"/>
                <w:color w:val="auto"/>
                <w:w w:val="90"/>
              </w:rPr>
              <w:t>International</w:t>
            </w:r>
          </w:p>
        </w:tc>
        <w:tc>
          <w:tcPr>
            <w:tcW w:w="2060" w:type="dxa"/>
            <w:vAlign w:val="bottom"/>
            <w:tcBorders>
              <w:bottom w:val="single" w:sz="8" w:color="CCEEFF"/>
            </w:tcBorders>
            <w:gridSpan w:val="2"/>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74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r>
      <w:tr>
        <w:trPr>
          <w:trHeight w:val="243"/>
        </w:trPr>
        <w:tc>
          <w:tcPr>
            <w:tcW w:w="20" w:type="dxa"/>
            <w:vAlign w:val="bottom"/>
          </w:tcPr>
          <w:p>
            <w:pPr>
              <w:spacing w:after="0"/>
              <w:rPr>
                <w:sz w:val="21"/>
                <w:szCs w:val="21"/>
                <w:color w:val="auto"/>
              </w:rPr>
            </w:pPr>
          </w:p>
        </w:tc>
        <w:tc>
          <w:tcPr>
            <w:tcW w:w="2980" w:type="dxa"/>
            <w:vAlign w:val="bottom"/>
            <w:gridSpan w:val="4"/>
          </w:tcPr>
          <w:p>
            <w:pPr>
              <w:ind w:left="180"/>
              <w:spacing w:after="0"/>
              <w:rPr>
                <w:sz w:val="20"/>
                <w:szCs w:val="20"/>
                <w:color w:val="auto"/>
              </w:rPr>
            </w:pPr>
            <w:r>
              <w:rPr>
                <w:rFonts w:ascii="Arial" w:cs="Arial" w:eastAsia="Arial" w:hAnsi="Arial"/>
                <w:sz w:val="18"/>
                <w:szCs w:val="18"/>
                <w:color w:val="auto"/>
              </w:rPr>
              <w:t>DEFINITY</w:t>
            </w:r>
          </w:p>
        </w:tc>
        <w:tc>
          <w:tcPr>
            <w:tcW w:w="26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821</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40" w:type="dxa"/>
            <w:vAlign w:val="bottom"/>
          </w:tcPr>
          <w:p>
            <w:pPr>
              <w:jc w:val="right"/>
              <w:ind w:right="52"/>
              <w:spacing w:after="0"/>
              <w:rPr>
                <w:sz w:val="20"/>
                <w:szCs w:val="20"/>
                <w:color w:val="auto"/>
              </w:rPr>
            </w:pPr>
            <w:r>
              <w:rPr>
                <w:rFonts w:ascii="Arial" w:cs="Arial" w:eastAsia="Arial" w:hAnsi="Arial"/>
                <w:sz w:val="18"/>
                <w:szCs w:val="18"/>
                <w:color w:val="auto"/>
              </w:rPr>
              <w:t>1,163</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(29.4)%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ind w:right="51"/>
              <w:spacing w:after="0"/>
              <w:rPr>
                <w:sz w:val="20"/>
                <w:szCs w:val="20"/>
                <w:color w:val="auto"/>
              </w:rPr>
            </w:pPr>
            <w:r>
              <w:rPr>
                <w:rFonts w:ascii="Arial" w:cs="Arial" w:eastAsia="Arial" w:hAnsi="Arial"/>
                <w:sz w:val="18"/>
                <w:szCs w:val="18"/>
                <w:color w:val="auto"/>
              </w:rPr>
              <w:t>2,602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60" w:type="dxa"/>
            <w:vAlign w:val="bottom"/>
          </w:tcPr>
          <w:p>
            <w:pPr>
              <w:jc w:val="right"/>
              <w:ind w:right="52"/>
              <w:spacing w:after="0"/>
              <w:rPr>
                <w:sz w:val="20"/>
                <w:szCs w:val="20"/>
                <w:color w:val="auto"/>
              </w:rPr>
            </w:pPr>
            <w:r>
              <w:rPr>
                <w:rFonts w:ascii="Arial" w:cs="Arial" w:eastAsia="Arial" w:hAnsi="Arial"/>
                <w:sz w:val="18"/>
                <w:szCs w:val="18"/>
                <w:color w:val="auto"/>
              </w:rPr>
              <w:t>2,558</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1.7 %</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2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2980" w:type="dxa"/>
            <w:vAlign w:val="bottom"/>
            <w:tcBorders>
              <w:bottom w:val="single" w:sz="8" w:color="CCEEFF"/>
            </w:tcBorders>
            <w:gridSpan w:val="4"/>
            <w:shd w:val="clear" w:color="auto" w:fill="CCEEFF"/>
          </w:tcPr>
          <w:p>
            <w:pPr>
              <w:ind w:left="180"/>
              <w:spacing w:after="0"/>
              <w:rPr>
                <w:sz w:val="20"/>
                <w:szCs w:val="20"/>
                <w:color w:val="auto"/>
              </w:rPr>
            </w:pPr>
            <w:r>
              <w:rPr>
                <w:rFonts w:ascii="Arial" w:cs="Arial" w:eastAsia="Arial" w:hAnsi="Arial"/>
                <w:sz w:val="18"/>
                <w:szCs w:val="18"/>
                <w:color w:val="auto"/>
              </w:rPr>
              <w:t>TechneLite</w:t>
            </w:r>
          </w:p>
        </w:tc>
        <w:tc>
          <w:tcPr>
            <w:tcW w:w="2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3,318</w:t>
            </w: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3,241</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2.4 %</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7,060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7,328</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w:t>
            </w:r>
          </w:p>
        </w:tc>
      </w:tr>
      <w:tr>
        <w:trPr>
          <w:trHeight w:val="243"/>
        </w:trPr>
        <w:tc>
          <w:tcPr>
            <w:tcW w:w="20" w:type="dxa"/>
            <w:vAlign w:val="bottom"/>
          </w:tcPr>
          <w:p>
            <w:pPr>
              <w:spacing w:after="0"/>
              <w:rPr>
                <w:sz w:val="21"/>
                <w:szCs w:val="21"/>
                <w:color w:val="auto"/>
              </w:rPr>
            </w:pPr>
          </w:p>
        </w:tc>
        <w:tc>
          <w:tcPr>
            <w:tcW w:w="2980" w:type="dxa"/>
            <w:vAlign w:val="bottom"/>
            <w:gridSpan w:val="4"/>
          </w:tcPr>
          <w:p>
            <w:pPr>
              <w:ind w:left="180"/>
              <w:spacing w:after="0"/>
              <w:rPr>
                <w:sz w:val="20"/>
                <w:szCs w:val="20"/>
                <w:color w:val="auto"/>
              </w:rPr>
            </w:pPr>
            <w:r>
              <w:rPr>
                <w:rFonts w:ascii="Arial" w:cs="Arial" w:eastAsia="Arial" w:hAnsi="Arial"/>
                <w:sz w:val="18"/>
                <w:szCs w:val="18"/>
                <w:color w:val="auto"/>
              </w:rPr>
              <w:t>Other nuclear</w:t>
            </w:r>
          </w:p>
        </w:tc>
        <w:tc>
          <w:tcPr>
            <w:tcW w:w="26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4,473</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40" w:type="dxa"/>
            <w:vAlign w:val="bottom"/>
          </w:tcPr>
          <w:p>
            <w:pPr>
              <w:jc w:val="right"/>
              <w:ind w:right="52"/>
              <w:spacing w:after="0"/>
              <w:rPr>
                <w:sz w:val="20"/>
                <w:szCs w:val="20"/>
                <w:color w:val="auto"/>
              </w:rPr>
            </w:pPr>
            <w:r>
              <w:rPr>
                <w:rFonts w:ascii="Arial" w:cs="Arial" w:eastAsia="Arial" w:hAnsi="Arial"/>
                <w:sz w:val="18"/>
                <w:szCs w:val="18"/>
                <w:color w:val="auto"/>
              </w:rPr>
              <w:t>6,119</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(26.9)%</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ind w:right="51"/>
              <w:spacing w:after="0"/>
              <w:rPr>
                <w:sz w:val="20"/>
                <w:szCs w:val="20"/>
                <w:color w:val="auto"/>
              </w:rPr>
            </w:pPr>
            <w:r>
              <w:rPr>
                <w:rFonts w:ascii="Arial" w:cs="Arial" w:eastAsia="Arial" w:hAnsi="Arial"/>
                <w:sz w:val="18"/>
                <w:szCs w:val="18"/>
                <w:color w:val="auto"/>
              </w:rPr>
              <w:t>10,911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60" w:type="dxa"/>
            <w:vAlign w:val="bottom"/>
          </w:tcPr>
          <w:p>
            <w:pPr>
              <w:jc w:val="right"/>
              <w:ind w:right="52"/>
              <w:spacing w:after="0"/>
              <w:rPr>
                <w:sz w:val="20"/>
                <w:szCs w:val="20"/>
                <w:color w:val="auto"/>
              </w:rPr>
            </w:pPr>
            <w:r>
              <w:rPr>
                <w:rFonts w:ascii="Arial" w:cs="Arial" w:eastAsia="Arial" w:hAnsi="Arial"/>
                <w:sz w:val="18"/>
                <w:szCs w:val="18"/>
                <w:color w:val="auto"/>
              </w:rPr>
              <w:t>11,715</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(6.9)%</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2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20" w:type="dxa"/>
            <w:vAlign w:val="bottom"/>
            <w:tcBorders>
              <w:bottom w:val="single" w:sz="8" w:color="CCEEFF"/>
            </w:tcBorders>
            <w:shd w:val="clear" w:color="auto" w:fill="CCEEFF"/>
          </w:tcPr>
          <w:p>
            <w:pPr>
              <w:spacing w:after="0"/>
              <w:rPr>
                <w:sz w:val="23"/>
                <w:szCs w:val="23"/>
                <w:color w:val="auto"/>
              </w:rPr>
            </w:pPr>
          </w:p>
        </w:tc>
        <w:tc>
          <w:tcPr>
            <w:tcW w:w="2980" w:type="dxa"/>
            <w:vAlign w:val="bottom"/>
            <w:tcBorders>
              <w:bottom w:val="single" w:sz="8" w:color="CCEEFF"/>
            </w:tcBorders>
            <w:gridSpan w:val="4"/>
            <w:shd w:val="clear" w:color="auto" w:fill="CCEEFF"/>
          </w:tcPr>
          <w:p>
            <w:pPr>
              <w:ind w:left="220"/>
              <w:spacing w:after="0"/>
              <w:rPr>
                <w:sz w:val="20"/>
                <w:szCs w:val="20"/>
                <w:color w:val="auto"/>
              </w:rPr>
            </w:pPr>
            <w:r>
              <w:rPr>
                <w:rFonts w:ascii="Arial" w:cs="Arial" w:eastAsia="Arial" w:hAnsi="Arial"/>
                <w:sz w:val="18"/>
                <w:szCs w:val="18"/>
                <w:color w:val="auto"/>
              </w:rPr>
              <w:t>Rebates and allowances</w:t>
            </w:r>
          </w:p>
        </w:tc>
        <w:tc>
          <w:tcPr>
            <w:tcW w:w="26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(87.5)%</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w:t>
            </w:r>
          </w:p>
        </w:tc>
        <w:tc>
          <w:tcPr>
            <w:tcW w:w="10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(70.0)%</w:t>
            </w:r>
          </w:p>
        </w:tc>
      </w:tr>
      <w:tr>
        <w:trPr>
          <w:trHeight w:val="237"/>
        </w:trPr>
        <w:tc>
          <w:tcPr>
            <w:tcW w:w="3000" w:type="dxa"/>
            <w:vAlign w:val="bottom"/>
            <w:gridSpan w:val="5"/>
          </w:tcPr>
          <w:p>
            <w:pPr>
              <w:ind w:left="20"/>
              <w:spacing w:after="0"/>
              <w:rPr>
                <w:sz w:val="20"/>
                <w:szCs w:val="20"/>
                <w:color w:val="auto"/>
              </w:rPr>
            </w:pPr>
            <w:r>
              <w:rPr>
                <w:rFonts w:ascii="Arial" w:cs="Arial" w:eastAsia="Arial" w:hAnsi="Arial"/>
                <w:sz w:val="18"/>
                <w:szCs w:val="18"/>
                <w:color w:val="auto"/>
              </w:rPr>
              <w:t>Total International</w:t>
            </w:r>
          </w:p>
        </w:tc>
        <w:tc>
          <w:tcPr>
            <w:tcW w:w="260" w:type="dxa"/>
            <w:vAlign w:val="bottom"/>
            <w:tcBorders>
              <w:top w:val="single" w:sz="8" w:color="auto"/>
            </w:tcBorders>
          </w:tcPr>
          <w:p>
            <w:pPr>
              <w:spacing w:after="0"/>
              <w:rPr>
                <w:sz w:val="20"/>
                <w:szCs w:val="20"/>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8,611</w:t>
            </w:r>
          </w:p>
        </w:tc>
        <w:tc>
          <w:tcPr>
            <w:tcW w:w="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840" w:type="dxa"/>
            <w:vAlign w:val="bottom"/>
            <w:tcBorders>
              <w:top w:val="single" w:sz="8" w:color="auto"/>
            </w:tcBorders>
          </w:tcPr>
          <w:p>
            <w:pPr>
              <w:jc w:val="right"/>
              <w:ind w:right="52"/>
              <w:spacing w:after="0"/>
              <w:rPr>
                <w:sz w:val="20"/>
                <w:szCs w:val="20"/>
                <w:color w:val="auto"/>
              </w:rPr>
            </w:pPr>
            <w:r>
              <w:rPr>
                <w:rFonts w:ascii="Arial" w:cs="Arial" w:eastAsia="Arial" w:hAnsi="Arial"/>
                <w:sz w:val="18"/>
                <w:szCs w:val="18"/>
                <w:color w:val="auto"/>
              </w:rPr>
              <w:t>10,515</w:t>
            </w:r>
          </w:p>
        </w:tc>
        <w:tc>
          <w:tcPr>
            <w:tcW w:w="10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(18.1)%</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40" w:type="dxa"/>
            <w:vAlign w:val="bottom"/>
            <w:tcBorders>
              <w:top w:val="single" w:sz="8" w:color="auto"/>
            </w:tcBorders>
          </w:tcPr>
          <w:p>
            <w:pPr>
              <w:jc w:val="right"/>
              <w:ind w:right="51"/>
              <w:spacing w:after="0"/>
              <w:rPr>
                <w:sz w:val="20"/>
                <w:szCs w:val="20"/>
                <w:color w:val="auto"/>
              </w:rPr>
            </w:pPr>
            <w:r>
              <w:rPr>
                <w:rFonts w:ascii="Arial" w:cs="Arial" w:eastAsia="Arial" w:hAnsi="Arial"/>
                <w:sz w:val="18"/>
                <w:szCs w:val="18"/>
                <w:color w:val="auto"/>
              </w:rPr>
              <w:t>20,570</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52"/>
              <w:spacing w:after="0"/>
              <w:rPr>
                <w:sz w:val="20"/>
                <w:szCs w:val="20"/>
                <w:color w:val="auto"/>
              </w:rPr>
            </w:pPr>
            <w:r>
              <w:rPr>
                <w:rFonts w:ascii="Arial" w:cs="Arial" w:eastAsia="Arial" w:hAnsi="Arial"/>
                <w:sz w:val="18"/>
                <w:szCs w:val="18"/>
                <w:color w:val="auto"/>
              </w:rPr>
              <w:t>21,591</w:t>
            </w:r>
          </w:p>
        </w:tc>
        <w:tc>
          <w:tcPr>
            <w:tcW w:w="100" w:type="dxa"/>
            <w:vAlign w:val="bottom"/>
          </w:tcPr>
          <w:p>
            <w:pPr>
              <w:spacing w:after="0"/>
              <w:rPr>
                <w:sz w:val="20"/>
                <w:szCs w:val="20"/>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(4.7)%</w:t>
            </w:r>
          </w:p>
        </w:tc>
      </w:tr>
      <w:tr>
        <w:trPr>
          <w:trHeight w:val="27"/>
        </w:trPr>
        <w:tc>
          <w:tcPr>
            <w:tcW w:w="2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20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0"/>
        </w:trPr>
        <w:tc>
          <w:tcPr>
            <w:tcW w:w="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auto"/>
            </w:tcBorders>
            <w:shd w:val="clear" w:color="auto" w:fill="CCEEFF"/>
          </w:tcPr>
          <w:p>
            <w:pPr>
              <w:spacing w:after="0" w:line="182" w:lineRule="exact"/>
              <w:rPr>
                <w:sz w:val="20"/>
                <w:szCs w:val="20"/>
                <w:color w:val="auto"/>
              </w:rPr>
            </w:pPr>
            <w:r>
              <w:rPr>
                <w:rFonts w:ascii="Arial" w:cs="Arial" w:eastAsia="Arial" w:hAnsi="Arial"/>
                <w:sz w:val="18"/>
                <w:szCs w:val="18"/>
                <w:color w:val="auto"/>
                <w:w w:val="92"/>
              </w:rPr>
              <w:t>Worldwide</w:t>
            </w:r>
          </w:p>
        </w:tc>
        <w:tc>
          <w:tcPr>
            <w:tcW w:w="2180" w:type="dxa"/>
            <w:vAlign w:val="bottom"/>
            <w:tcBorders>
              <w:bottom w:val="single" w:sz="8" w:color="CCEEFF"/>
            </w:tcBorders>
            <w:gridSpan w:val="3"/>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74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r>
      <w:tr>
        <w:trPr>
          <w:trHeight w:val="243"/>
        </w:trPr>
        <w:tc>
          <w:tcPr>
            <w:tcW w:w="20" w:type="dxa"/>
            <w:vAlign w:val="bottom"/>
          </w:tcPr>
          <w:p>
            <w:pPr>
              <w:spacing w:after="0"/>
              <w:rPr>
                <w:sz w:val="21"/>
                <w:szCs w:val="21"/>
                <w:color w:val="auto"/>
              </w:rPr>
            </w:pPr>
          </w:p>
        </w:tc>
        <w:tc>
          <w:tcPr>
            <w:tcW w:w="2980" w:type="dxa"/>
            <w:vAlign w:val="bottom"/>
            <w:gridSpan w:val="4"/>
          </w:tcPr>
          <w:p>
            <w:pPr>
              <w:ind w:left="180"/>
              <w:spacing w:after="0"/>
              <w:rPr>
                <w:sz w:val="20"/>
                <w:szCs w:val="20"/>
                <w:color w:val="auto"/>
              </w:rPr>
            </w:pPr>
            <w:r>
              <w:rPr>
                <w:rFonts w:ascii="Arial" w:cs="Arial" w:eastAsia="Arial" w:hAnsi="Arial"/>
                <w:sz w:val="18"/>
                <w:szCs w:val="18"/>
                <w:color w:val="auto"/>
              </w:rPr>
              <w:t>DEFINITY</w:t>
            </w:r>
          </w:p>
        </w:tc>
        <w:tc>
          <w:tcPr>
            <w:tcW w:w="26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40,365</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40" w:type="dxa"/>
            <w:vAlign w:val="bottom"/>
          </w:tcPr>
          <w:p>
            <w:pPr>
              <w:jc w:val="right"/>
              <w:ind w:right="52"/>
              <w:spacing w:after="0"/>
              <w:rPr>
                <w:sz w:val="20"/>
                <w:szCs w:val="20"/>
                <w:color w:val="auto"/>
              </w:rPr>
            </w:pPr>
            <w:r>
              <w:rPr>
                <w:rFonts w:ascii="Arial" w:cs="Arial" w:eastAsia="Arial" w:hAnsi="Arial"/>
                <w:sz w:val="18"/>
                <w:szCs w:val="18"/>
                <w:color w:val="auto"/>
              </w:rPr>
              <w:t>54,629</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(26.1)%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ind w:right="51"/>
              <w:spacing w:after="0"/>
              <w:rPr>
                <w:sz w:val="20"/>
                <w:szCs w:val="20"/>
                <w:color w:val="auto"/>
              </w:rPr>
            </w:pPr>
            <w:r>
              <w:rPr>
                <w:rFonts w:ascii="Arial" w:cs="Arial" w:eastAsia="Arial" w:hAnsi="Arial"/>
                <w:sz w:val="18"/>
                <w:szCs w:val="18"/>
                <w:color w:val="auto"/>
              </w:rPr>
              <w:t>97,156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60" w:type="dxa"/>
            <w:vAlign w:val="bottom"/>
          </w:tcPr>
          <w:p>
            <w:pPr>
              <w:jc w:val="right"/>
              <w:ind w:right="52"/>
              <w:spacing w:after="0"/>
              <w:rPr>
                <w:sz w:val="20"/>
                <w:szCs w:val="20"/>
                <w:color w:val="auto"/>
              </w:rPr>
            </w:pPr>
            <w:r>
              <w:rPr>
                <w:rFonts w:ascii="Arial" w:cs="Arial" w:eastAsia="Arial" w:hAnsi="Arial"/>
                <w:sz w:val="18"/>
                <w:szCs w:val="18"/>
                <w:color w:val="auto"/>
              </w:rPr>
              <w:t>105,740</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(8.1)%</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2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2980" w:type="dxa"/>
            <w:vAlign w:val="bottom"/>
            <w:tcBorders>
              <w:bottom w:val="single" w:sz="8" w:color="CCEEFF"/>
            </w:tcBorders>
            <w:gridSpan w:val="4"/>
            <w:shd w:val="clear" w:color="auto" w:fill="CCEEFF"/>
          </w:tcPr>
          <w:p>
            <w:pPr>
              <w:ind w:left="180"/>
              <w:spacing w:after="0"/>
              <w:rPr>
                <w:sz w:val="20"/>
                <w:szCs w:val="20"/>
                <w:color w:val="auto"/>
              </w:rPr>
            </w:pPr>
            <w:r>
              <w:rPr>
                <w:rFonts w:ascii="Arial" w:cs="Arial" w:eastAsia="Arial" w:hAnsi="Arial"/>
                <w:sz w:val="18"/>
                <w:szCs w:val="18"/>
                <w:color w:val="auto"/>
              </w:rPr>
              <w:t>TechneLite</w:t>
            </w:r>
          </w:p>
        </w:tc>
        <w:tc>
          <w:tcPr>
            <w:tcW w:w="2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18,909</w:t>
            </w: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20,106</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42,007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color w:val="auto"/>
              </w:rPr>
              <w:t>44,251</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w:t>
            </w:r>
          </w:p>
        </w:tc>
      </w:tr>
      <w:tr>
        <w:trPr>
          <w:trHeight w:val="243"/>
        </w:trPr>
        <w:tc>
          <w:tcPr>
            <w:tcW w:w="20" w:type="dxa"/>
            <w:vAlign w:val="bottom"/>
          </w:tcPr>
          <w:p>
            <w:pPr>
              <w:spacing w:after="0"/>
              <w:rPr>
                <w:sz w:val="21"/>
                <w:szCs w:val="21"/>
                <w:color w:val="auto"/>
              </w:rPr>
            </w:pPr>
          </w:p>
        </w:tc>
        <w:tc>
          <w:tcPr>
            <w:tcW w:w="2980" w:type="dxa"/>
            <w:vAlign w:val="bottom"/>
            <w:gridSpan w:val="4"/>
          </w:tcPr>
          <w:p>
            <w:pPr>
              <w:ind w:left="180"/>
              <w:spacing w:after="0"/>
              <w:rPr>
                <w:sz w:val="20"/>
                <w:szCs w:val="20"/>
                <w:color w:val="auto"/>
              </w:rPr>
            </w:pPr>
            <w:r>
              <w:rPr>
                <w:rFonts w:ascii="Arial" w:cs="Arial" w:eastAsia="Arial" w:hAnsi="Arial"/>
                <w:sz w:val="18"/>
                <w:szCs w:val="18"/>
                <w:color w:val="auto"/>
              </w:rPr>
              <w:t>Other nuclear</w:t>
            </w:r>
          </w:p>
        </w:tc>
        <w:tc>
          <w:tcPr>
            <w:tcW w:w="26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10,277</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40" w:type="dxa"/>
            <w:vAlign w:val="bottom"/>
          </w:tcPr>
          <w:p>
            <w:pPr>
              <w:jc w:val="right"/>
              <w:ind w:right="52"/>
              <w:spacing w:after="0"/>
              <w:rPr>
                <w:sz w:val="20"/>
                <w:szCs w:val="20"/>
                <w:color w:val="auto"/>
              </w:rPr>
            </w:pPr>
            <w:r>
              <w:rPr>
                <w:rFonts w:ascii="Arial" w:cs="Arial" w:eastAsia="Arial" w:hAnsi="Arial"/>
                <w:sz w:val="18"/>
                <w:szCs w:val="18"/>
                <w:color w:val="auto"/>
              </w:rPr>
              <w:t>15,246</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(32.6)%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ind w:right="51"/>
              <w:spacing w:after="0"/>
              <w:rPr>
                <w:sz w:val="20"/>
                <w:szCs w:val="20"/>
                <w:color w:val="auto"/>
              </w:rPr>
            </w:pPr>
            <w:r>
              <w:rPr>
                <w:rFonts w:ascii="Arial" w:cs="Arial" w:eastAsia="Arial" w:hAnsi="Arial"/>
                <w:sz w:val="18"/>
                <w:szCs w:val="18"/>
                <w:color w:val="auto"/>
              </w:rPr>
              <w:t>25,777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60" w:type="dxa"/>
            <w:vAlign w:val="bottom"/>
          </w:tcPr>
          <w:p>
            <w:pPr>
              <w:jc w:val="right"/>
              <w:ind w:right="52"/>
              <w:spacing w:after="0"/>
              <w:rPr>
                <w:sz w:val="20"/>
                <w:szCs w:val="20"/>
                <w:color w:val="auto"/>
              </w:rPr>
            </w:pPr>
            <w:r>
              <w:rPr>
                <w:rFonts w:ascii="Arial" w:cs="Arial" w:eastAsia="Arial" w:hAnsi="Arial"/>
                <w:sz w:val="18"/>
                <w:szCs w:val="18"/>
                <w:color w:val="auto"/>
              </w:rPr>
              <w:t>30,366</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(15.1)%</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2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7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20" w:type="dxa"/>
            <w:vAlign w:val="bottom"/>
            <w:tcBorders>
              <w:bottom w:val="single" w:sz="8" w:color="CCEEFF"/>
            </w:tcBorders>
            <w:shd w:val="clear" w:color="auto" w:fill="CCEEFF"/>
          </w:tcPr>
          <w:p>
            <w:pPr>
              <w:spacing w:after="0"/>
              <w:rPr>
                <w:sz w:val="23"/>
                <w:szCs w:val="23"/>
                <w:color w:val="auto"/>
              </w:rPr>
            </w:pPr>
          </w:p>
        </w:tc>
        <w:tc>
          <w:tcPr>
            <w:tcW w:w="2980" w:type="dxa"/>
            <w:vAlign w:val="bottom"/>
            <w:tcBorders>
              <w:bottom w:val="single" w:sz="8" w:color="CCEEFF"/>
            </w:tcBorders>
            <w:gridSpan w:val="4"/>
            <w:shd w:val="clear" w:color="auto" w:fill="CCEEFF"/>
          </w:tcPr>
          <w:p>
            <w:pPr>
              <w:ind w:left="220"/>
              <w:spacing w:after="0"/>
              <w:rPr>
                <w:sz w:val="20"/>
                <w:szCs w:val="20"/>
                <w:color w:val="auto"/>
              </w:rPr>
            </w:pPr>
            <w:r>
              <w:rPr>
                <w:rFonts w:ascii="Arial" w:cs="Arial" w:eastAsia="Arial" w:hAnsi="Arial"/>
                <w:sz w:val="18"/>
                <w:szCs w:val="18"/>
                <w:color w:val="auto"/>
              </w:rPr>
              <w:t>Rebates and allowances</w:t>
            </w:r>
          </w:p>
        </w:tc>
        <w:tc>
          <w:tcPr>
            <w:tcW w:w="26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(3,541)</w:t>
            </w:r>
          </w:p>
        </w:tc>
        <w:tc>
          <w:tcPr>
            <w:tcW w:w="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(4,276)</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(17.2)%</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(8,226)</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(8,142)</w:t>
            </w:r>
          </w:p>
        </w:tc>
        <w:tc>
          <w:tcPr>
            <w:tcW w:w="10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1.0 %</w:t>
            </w:r>
          </w:p>
        </w:tc>
      </w:tr>
      <w:tr>
        <w:trPr>
          <w:trHeight w:val="263"/>
        </w:trPr>
        <w:tc>
          <w:tcPr>
            <w:tcW w:w="3000" w:type="dxa"/>
            <w:vAlign w:val="bottom"/>
            <w:gridSpan w:val="5"/>
          </w:tcPr>
          <w:p>
            <w:pPr>
              <w:ind w:left="20"/>
              <w:spacing w:after="0"/>
              <w:rPr>
                <w:sz w:val="20"/>
                <w:szCs w:val="20"/>
                <w:color w:val="auto"/>
              </w:rPr>
            </w:pPr>
            <w:r>
              <w:rPr>
                <w:rFonts w:ascii="Arial" w:cs="Arial" w:eastAsia="Arial" w:hAnsi="Arial"/>
                <w:sz w:val="18"/>
                <w:szCs w:val="18"/>
                <w:color w:val="auto"/>
              </w:rPr>
              <w:t>Total Revenues</w:t>
            </w: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66,010</w:t>
            </w:r>
          </w:p>
        </w:tc>
        <w:tc>
          <w:tcPr>
            <w:tcW w:w="60" w:type="dxa"/>
            <w:vAlign w:val="bottom"/>
            <w:tcBorders>
              <w:top w:val="single" w:sz="8" w:color="auto"/>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bottom w:val="single" w:sz="8" w:color="auto"/>
            </w:tcBorders>
          </w:tcPr>
          <w:p>
            <w:pPr>
              <w:jc w:val="right"/>
              <w:ind w:right="52"/>
              <w:spacing w:after="0"/>
              <w:rPr>
                <w:sz w:val="20"/>
                <w:szCs w:val="20"/>
                <w:color w:val="auto"/>
              </w:rPr>
            </w:pPr>
            <w:r>
              <w:rPr>
                <w:rFonts w:ascii="Arial" w:cs="Arial" w:eastAsia="Arial" w:hAnsi="Arial"/>
                <w:sz w:val="18"/>
                <w:szCs w:val="18"/>
                <w:color w:val="auto"/>
              </w:rPr>
              <w:t>85,705</w:t>
            </w:r>
          </w:p>
        </w:tc>
        <w:tc>
          <w:tcPr>
            <w:tcW w:w="100" w:type="dxa"/>
            <w:vAlign w:val="bottom"/>
          </w:tcPr>
          <w:p>
            <w:pPr>
              <w:spacing w:after="0"/>
              <w:rPr>
                <w:sz w:val="22"/>
                <w:szCs w:val="22"/>
                <w:color w:val="auto"/>
              </w:rPr>
            </w:pPr>
          </w:p>
        </w:tc>
        <w:tc>
          <w:tcPr>
            <w:tcW w:w="120" w:type="dxa"/>
            <w:vAlign w:val="bottom"/>
            <w:tcBorders>
              <w:top w:val="single" w:sz="8" w:color="auto"/>
              <w:bottom w:val="single" w:sz="8" w:color="auto"/>
            </w:tcBorders>
          </w:tcPr>
          <w:p>
            <w:pPr>
              <w:spacing w:after="0"/>
              <w:rPr>
                <w:sz w:val="22"/>
                <w:szCs w:val="22"/>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(23.0)%</w:t>
            </w:r>
          </w:p>
        </w:tc>
        <w:tc>
          <w:tcPr>
            <w:tcW w:w="10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bottom w:val="single" w:sz="8" w:color="auto"/>
            </w:tcBorders>
          </w:tcPr>
          <w:p>
            <w:pPr>
              <w:jc w:val="right"/>
              <w:ind w:right="51"/>
              <w:spacing w:after="0"/>
              <w:rPr>
                <w:sz w:val="20"/>
                <w:szCs w:val="20"/>
                <w:color w:val="auto"/>
              </w:rPr>
            </w:pPr>
            <w:r>
              <w:rPr>
                <w:rFonts w:ascii="Arial" w:cs="Arial" w:eastAsia="Arial" w:hAnsi="Arial"/>
                <w:sz w:val="18"/>
                <w:szCs w:val="18"/>
                <w:color w:val="auto"/>
              </w:rPr>
              <w:t>156,714</w:t>
            </w: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tcPr>
          <w:p>
            <w:pPr>
              <w:jc w:val="right"/>
              <w:ind w:right="52"/>
              <w:spacing w:after="0"/>
              <w:rPr>
                <w:sz w:val="20"/>
                <w:szCs w:val="20"/>
                <w:color w:val="auto"/>
              </w:rPr>
            </w:pPr>
            <w:r>
              <w:rPr>
                <w:rFonts w:ascii="Arial" w:cs="Arial" w:eastAsia="Arial" w:hAnsi="Arial"/>
                <w:sz w:val="18"/>
                <w:szCs w:val="18"/>
                <w:color w:val="auto"/>
              </w:rPr>
              <w:t>172,215</w:t>
            </w:r>
          </w:p>
        </w:tc>
        <w:tc>
          <w:tcPr>
            <w:tcW w:w="100" w:type="dxa"/>
            <w:vAlign w:val="bottom"/>
          </w:tcPr>
          <w:p>
            <w:pPr>
              <w:spacing w:after="0"/>
              <w:rPr>
                <w:sz w:val="22"/>
                <w:szCs w:val="22"/>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(9.0)%</w:t>
            </w:r>
          </w:p>
        </w:tc>
      </w:tr>
      <w:tr>
        <w:trPr>
          <w:trHeight w:val="20"/>
        </w:trPr>
        <w:tc>
          <w:tcPr>
            <w:tcW w:w="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5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Page 4 of 8</w:t>
      </w:r>
    </w:p>
    <w:p>
      <w:pPr>
        <w:sectPr>
          <w:pgSz w:w="11900" w:h="16838" w:orient="portrait"/>
          <w:cols w:equalWidth="0" w:num="1">
            <w:col w:w="9940"/>
          </w:cols>
          <w:pgMar w:left="980" w:top="715" w:right="979" w:bottom="1440" w:gutter="0" w:footer="0" w:header="0"/>
        </w:sectPr>
      </w:pPr>
    </w:p>
    <w:bookmarkStart w:id="7" w:name="page8"/>
    <w:bookmarkEnd w:id="7"/>
    <w:p>
      <w:pPr>
        <w:jc w:val="center"/>
        <w:ind w:right="616"/>
        <w:spacing w:after="0"/>
        <w:rPr>
          <w:sz w:val="20"/>
          <w:szCs w:val="20"/>
          <w:color w:val="auto"/>
        </w:rPr>
      </w:pPr>
      <w:r>
        <w:rPr>
          <w:rFonts w:ascii="Arial" w:cs="Arial" w:eastAsia="Arial" w:hAnsi="Arial"/>
          <w:sz w:val="18"/>
          <w:szCs w:val="18"/>
          <w:b w:val="1"/>
          <w:bCs w:val="1"/>
          <w:color w:val="auto"/>
        </w:rPr>
        <w:t>Lantheus Holdings, Inc.</w:t>
      </w:r>
    </w:p>
    <w:p>
      <w:pPr>
        <w:spacing w:after="0" w:line="63" w:lineRule="exact"/>
        <w:rPr>
          <w:sz w:val="20"/>
          <w:szCs w:val="20"/>
          <w:color w:val="auto"/>
        </w:rPr>
      </w:pPr>
    </w:p>
    <w:p>
      <w:pPr>
        <w:jc w:val="center"/>
        <w:ind w:right="616"/>
        <w:spacing w:after="0"/>
        <w:rPr>
          <w:sz w:val="20"/>
          <w:szCs w:val="20"/>
          <w:color w:val="auto"/>
        </w:rPr>
      </w:pPr>
      <w:r>
        <w:rPr>
          <w:rFonts w:ascii="Arial" w:cs="Arial" w:eastAsia="Arial" w:hAnsi="Arial"/>
          <w:sz w:val="18"/>
          <w:szCs w:val="18"/>
          <w:b w:val="1"/>
          <w:bCs w:val="1"/>
          <w:color w:val="auto"/>
        </w:rPr>
        <w:t>Reconciliation of GAAP to Non-GAAP Financial Measures</w:t>
      </w:r>
    </w:p>
    <w:p>
      <w:pPr>
        <w:spacing w:after="0" w:line="67" w:lineRule="exact"/>
        <w:rPr>
          <w:sz w:val="20"/>
          <w:szCs w:val="20"/>
          <w:color w:val="auto"/>
        </w:rPr>
      </w:pPr>
    </w:p>
    <w:p>
      <w:pPr>
        <w:jc w:val="center"/>
        <w:ind w:right="616"/>
        <w:spacing w:after="0"/>
        <w:rPr>
          <w:sz w:val="20"/>
          <w:szCs w:val="20"/>
          <w:color w:val="auto"/>
        </w:rPr>
      </w:pPr>
      <w:r>
        <w:rPr>
          <w:rFonts w:ascii="Arial" w:cs="Arial" w:eastAsia="Arial" w:hAnsi="Arial"/>
          <w:sz w:val="18"/>
          <w:szCs w:val="18"/>
          <w:color w:val="auto"/>
        </w:rPr>
        <w:t>(in thousands, except per share data – unaudited)</w:t>
      </w:r>
    </w:p>
    <w:p>
      <w:pPr>
        <w:spacing w:after="0" w:line="258" w:lineRule="exact"/>
        <w:rPr>
          <w:sz w:val="20"/>
          <w:szCs w:val="20"/>
          <w:color w:val="auto"/>
        </w:rPr>
      </w:pPr>
    </w:p>
    <w:tbl>
      <w:tblPr>
        <w:tblLayout w:type="fixed"/>
        <w:tblInd w:w="44" w:type="dxa"/>
        <w:tblCellMar>
          <w:top w:w="0" w:type="dxa"/>
          <w:left w:w="0" w:type="dxa"/>
          <w:bottom w:w="0" w:type="dxa"/>
          <w:right w:w="0" w:type="dxa"/>
        </w:tblCellMar>
      </w:tblPr>
      <w:tr>
        <w:trPr>
          <w:trHeight w:val="161"/>
        </w:trPr>
        <w:tc>
          <w:tcPr>
            <w:tcW w:w="60" w:type="dxa"/>
            <w:vAlign w:val="bottom"/>
          </w:tcPr>
          <w:p>
            <w:pPr>
              <w:spacing w:after="0"/>
              <w:rPr>
                <w:sz w:val="14"/>
                <w:szCs w:val="14"/>
                <w:color w:val="auto"/>
              </w:rPr>
            </w:pPr>
          </w:p>
        </w:tc>
        <w:tc>
          <w:tcPr>
            <w:tcW w:w="45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980" w:type="dxa"/>
            <w:vAlign w:val="bottom"/>
            <w:gridSpan w:val="5"/>
          </w:tcPr>
          <w:p>
            <w:pPr>
              <w:ind w:left="260"/>
              <w:spacing w:after="0"/>
              <w:rPr>
                <w:sz w:val="20"/>
                <w:szCs w:val="20"/>
                <w:color w:val="auto"/>
              </w:rPr>
            </w:pPr>
            <w:r>
              <w:rPr>
                <w:rFonts w:ascii="Arial" w:cs="Arial" w:eastAsia="Arial" w:hAnsi="Arial"/>
                <w:sz w:val="14"/>
                <w:szCs w:val="14"/>
                <w:b w:val="1"/>
                <w:bCs w:val="1"/>
                <w:color w:val="auto"/>
              </w:rPr>
              <w:t>Three Months Ended</w:t>
            </w: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40" w:type="dxa"/>
            <w:vAlign w:val="bottom"/>
            <w:gridSpan w:val="6"/>
          </w:tcPr>
          <w:p>
            <w:pPr>
              <w:jc w:val="right"/>
              <w:ind w:right="471"/>
              <w:spacing w:after="0"/>
              <w:rPr>
                <w:sz w:val="20"/>
                <w:szCs w:val="20"/>
                <w:color w:val="auto"/>
              </w:rPr>
            </w:pPr>
            <w:r>
              <w:rPr>
                <w:rFonts w:ascii="Arial" w:cs="Arial" w:eastAsia="Arial" w:hAnsi="Arial"/>
                <w:sz w:val="14"/>
                <w:szCs w:val="14"/>
                <w:b w:val="1"/>
                <w:bCs w:val="1"/>
                <w:color w:val="auto"/>
              </w:rPr>
              <w:t>Six Months Ended</w:t>
            </w:r>
          </w:p>
        </w:tc>
        <w:tc>
          <w:tcPr>
            <w:tcW w:w="200" w:type="dxa"/>
            <w:vAlign w:val="bottom"/>
          </w:tcPr>
          <w:p>
            <w:pPr>
              <w:spacing w:after="0"/>
              <w:rPr>
                <w:sz w:val="14"/>
                <w:szCs w:val="14"/>
                <w:color w:val="auto"/>
              </w:rPr>
            </w:pPr>
          </w:p>
        </w:tc>
        <w:tc>
          <w:tcPr>
            <w:tcW w:w="40" w:type="dxa"/>
            <w:vAlign w:val="bottom"/>
          </w:tcPr>
          <w:p>
            <w:pPr>
              <w:spacing w:after="0"/>
              <w:rPr>
                <w:sz w:val="14"/>
                <w:szCs w:val="14"/>
                <w:color w:val="auto"/>
              </w:rPr>
            </w:pPr>
          </w:p>
        </w:tc>
      </w:tr>
      <w:tr>
        <w:trPr>
          <w:trHeight w:val="192"/>
        </w:trPr>
        <w:tc>
          <w:tcPr>
            <w:tcW w:w="60" w:type="dxa"/>
            <w:vAlign w:val="bottom"/>
          </w:tcPr>
          <w:p>
            <w:pPr>
              <w:spacing w:after="0"/>
              <w:rPr>
                <w:sz w:val="16"/>
                <w:szCs w:val="16"/>
                <w:color w:val="auto"/>
              </w:rPr>
            </w:pPr>
          </w:p>
        </w:tc>
        <w:tc>
          <w:tcPr>
            <w:tcW w:w="45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4"/>
          </w:tcPr>
          <w:p>
            <w:pPr>
              <w:ind w:left="660"/>
              <w:spacing w:after="0"/>
              <w:rPr>
                <w:sz w:val="20"/>
                <w:szCs w:val="20"/>
                <w:color w:val="auto"/>
              </w:rPr>
            </w:pPr>
            <w:r>
              <w:rPr>
                <w:rFonts w:ascii="Arial" w:cs="Arial" w:eastAsia="Arial" w:hAnsi="Arial"/>
                <w:sz w:val="14"/>
                <w:szCs w:val="14"/>
                <w:b w:val="1"/>
                <w:bCs w:val="1"/>
                <w:color w:val="auto"/>
              </w:rPr>
              <w:t>June 30,</w:t>
            </w:r>
          </w:p>
        </w:tc>
        <w:tc>
          <w:tcPr>
            <w:tcW w:w="6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5"/>
          </w:tcPr>
          <w:p>
            <w:pPr>
              <w:jc w:val="right"/>
              <w:ind w:right="180"/>
              <w:spacing w:after="0"/>
              <w:rPr>
                <w:sz w:val="20"/>
                <w:szCs w:val="20"/>
                <w:color w:val="auto"/>
              </w:rPr>
            </w:pPr>
            <w:r>
              <w:rPr>
                <w:rFonts w:ascii="Arial" w:cs="Arial" w:eastAsia="Arial" w:hAnsi="Arial"/>
                <w:sz w:val="14"/>
                <w:szCs w:val="14"/>
                <w:b w:val="1"/>
                <w:bCs w:val="1"/>
                <w:color w:val="auto"/>
              </w:rPr>
              <w:t>June 30,</w:t>
            </w:r>
          </w:p>
        </w:tc>
        <w:tc>
          <w:tcPr>
            <w:tcW w:w="66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40" w:type="dxa"/>
            <w:vAlign w:val="bottom"/>
          </w:tcPr>
          <w:p>
            <w:pPr>
              <w:spacing w:after="0"/>
              <w:rPr>
                <w:sz w:val="16"/>
                <w:szCs w:val="16"/>
                <w:color w:val="auto"/>
              </w:rPr>
            </w:pPr>
          </w:p>
        </w:tc>
      </w:tr>
      <w:tr>
        <w:trPr>
          <w:trHeight w:val="196"/>
        </w:trPr>
        <w:tc>
          <w:tcPr>
            <w:tcW w:w="60" w:type="dxa"/>
            <w:vAlign w:val="bottom"/>
          </w:tcPr>
          <w:p>
            <w:pPr>
              <w:spacing w:after="0"/>
              <w:rPr>
                <w:sz w:val="17"/>
                <w:szCs w:val="17"/>
                <w:color w:val="auto"/>
              </w:rPr>
            </w:pPr>
          </w:p>
        </w:tc>
        <w:tc>
          <w:tcPr>
            <w:tcW w:w="45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ind w:right="152"/>
              <w:spacing w:after="0"/>
              <w:rPr>
                <w:sz w:val="20"/>
                <w:szCs w:val="20"/>
                <w:color w:val="auto"/>
              </w:rPr>
            </w:pPr>
            <w:r>
              <w:rPr>
                <w:rFonts w:ascii="Arial" w:cs="Arial" w:eastAsia="Arial" w:hAnsi="Arial"/>
                <w:sz w:val="14"/>
                <w:szCs w:val="14"/>
                <w:b w:val="1"/>
                <w:bCs w:val="1"/>
                <w:color w:val="auto"/>
              </w:rPr>
              <w:t>2019</w:t>
            </w:r>
          </w:p>
        </w:tc>
        <w:tc>
          <w:tcPr>
            <w:tcW w:w="240" w:type="dxa"/>
            <w:vAlign w:val="bottom"/>
            <w:tcBorders>
              <w:bottom w:val="single" w:sz="8" w:color="auto"/>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2020</w:t>
            </w:r>
          </w:p>
        </w:tc>
        <w:tc>
          <w:tcPr>
            <w:tcW w:w="6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ind w:right="211"/>
              <w:spacing w:after="0"/>
              <w:rPr>
                <w:sz w:val="20"/>
                <w:szCs w:val="20"/>
                <w:color w:val="auto"/>
              </w:rPr>
            </w:pPr>
            <w:r>
              <w:rPr>
                <w:rFonts w:ascii="Arial" w:cs="Arial" w:eastAsia="Arial" w:hAnsi="Arial"/>
                <w:sz w:val="14"/>
                <w:szCs w:val="14"/>
                <w:b w:val="1"/>
                <w:bCs w:val="1"/>
                <w:color w:val="auto"/>
              </w:rPr>
              <w:t>2019</w:t>
            </w:r>
          </w:p>
        </w:tc>
        <w:tc>
          <w:tcPr>
            <w:tcW w:w="200" w:type="dxa"/>
            <w:vAlign w:val="bottom"/>
            <w:tcBorders>
              <w:bottom w:val="single" w:sz="8" w:color="auto"/>
            </w:tcBorders>
          </w:tcPr>
          <w:p>
            <w:pPr>
              <w:spacing w:after="0"/>
              <w:rPr>
                <w:sz w:val="17"/>
                <w:szCs w:val="17"/>
                <w:color w:val="auto"/>
              </w:rPr>
            </w:pPr>
          </w:p>
        </w:tc>
        <w:tc>
          <w:tcPr>
            <w:tcW w:w="40" w:type="dxa"/>
            <w:vAlign w:val="bottom"/>
          </w:tcPr>
          <w:p>
            <w:pPr>
              <w:spacing w:after="0"/>
              <w:rPr>
                <w:sz w:val="17"/>
                <w:szCs w:val="17"/>
                <w:color w:val="auto"/>
              </w:rPr>
            </w:pPr>
          </w:p>
        </w:tc>
      </w:tr>
      <w:tr>
        <w:trPr>
          <w:trHeight w:val="294"/>
        </w:trPr>
        <w:tc>
          <w:tcPr>
            <w:tcW w:w="60" w:type="dxa"/>
            <w:vAlign w:val="bottom"/>
          </w:tcPr>
          <w:p>
            <w:pPr>
              <w:spacing w:after="0"/>
              <w:rPr>
                <w:sz w:val="24"/>
                <w:szCs w:val="24"/>
                <w:color w:val="auto"/>
              </w:rPr>
            </w:pPr>
          </w:p>
        </w:tc>
        <w:tc>
          <w:tcPr>
            <w:tcW w:w="45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(loss) income</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200" w:type="dxa"/>
            <w:vAlign w:val="bottom"/>
            <w:tcBorders>
              <w:bottom w:val="single" w:sz="8" w:color="auto"/>
            </w:tcBorders>
            <w:shd w:val="clear" w:color="auto" w:fill="CCEEFF"/>
          </w:tcPr>
          <w:p>
            <w:pPr>
              <w:spacing w:after="0"/>
              <w:rPr>
                <w:sz w:val="24"/>
                <w:szCs w:val="24"/>
                <w:color w:val="auto"/>
              </w:rPr>
            </w:pPr>
          </w:p>
        </w:tc>
        <w:tc>
          <w:tcPr>
            <w:tcW w:w="880" w:type="dxa"/>
            <w:vAlign w:val="bottom"/>
            <w:tcBorders>
              <w:bottom w:val="single" w:sz="8" w:color="auto"/>
            </w:tcBorders>
            <w:shd w:val="clear" w:color="auto" w:fill="CCEEFF"/>
          </w:tcPr>
          <w:p>
            <w:pPr>
              <w:jc w:val="right"/>
              <w:ind w:right="114"/>
              <w:spacing w:after="0"/>
              <w:rPr>
                <w:sz w:val="20"/>
                <w:szCs w:val="20"/>
                <w:color w:val="auto"/>
              </w:rPr>
            </w:pPr>
            <w:r>
              <w:rPr>
                <w:rFonts w:ascii="Arial" w:cs="Arial" w:eastAsia="Arial" w:hAnsi="Arial"/>
                <w:sz w:val="18"/>
                <w:szCs w:val="18"/>
                <w:color w:val="auto"/>
              </w:rPr>
              <w:t>(7,012)</w:t>
            </w:r>
          </w:p>
        </w:tc>
        <w:tc>
          <w:tcPr>
            <w:tcW w:w="10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260" w:type="dxa"/>
            <w:vAlign w:val="bottom"/>
            <w:tcBorders>
              <w:bottom w:val="single" w:sz="8" w:color="auto"/>
            </w:tcBorders>
            <w:shd w:val="clear" w:color="auto" w:fill="CCEEFF"/>
          </w:tcPr>
          <w:p>
            <w:pPr>
              <w:spacing w:after="0"/>
              <w:rPr>
                <w:sz w:val="24"/>
                <w:szCs w:val="24"/>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6,412</w:t>
            </w:r>
          </w:p>
        </w:tc>
        <w:tc>
          <w:tcPr>
            <w:tcW w:w="240" w:type="dxa"/>
            <w:vAlign w:val="bottom"/>
            <w:tcBorders>
              <w:bottom w:val="single" w:sz="8" w:color="auto"/>
            </w:tcBorders>
            <w:shd w:val="clear" w:color="auto" w:fill="CCEEFF"/>
          </w:tcPr>
          <w:p>
            <w:pPr>
              <w:spacing w:after="0"/>
              <w:rPr>
                <w:sz w:val="24"/>
                <w:szCs w:val="24"/>
                <w:color w:val="auto"/>
              </w:rPr>
            </w:pPr>
          </w:p>
        </w:tc>
        <w:tc>
          <w:tcPr>
            <w:tcW w:w="80" w:type="dxa"/>
            <w:vAlign w:val="bottom"/>
            <w:tcBorders>
              <w:bottom w:val="single" w:sz="8" w:color="CCEEFF"/>
            </w:tcBorders>
            <w:shd w:val="clear" w:color="auto" w:fill="CCEEFF"/>
          </w:tcPr>
          <w:p>
            <w:pPr>
              <w:spacing w:after="0"/>
              <w:rPr>
                <w:sz w:val="24"/>
                <w:szCs w:val="24"/>
                <w:color w:val="auto"/>
              </w:rPr>
            </w:pPr>
          </w:p>
        </w:tc>
        <w:tc>
          <w:tcPr>
            <w:tcW w:w="2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220" w:type="dxa"/>
            <w:vAlign w:val="bottom"/>
            <w:tcBorders>
              <w:bottom w:val="single" w:sz="8" w:color="auto"/>
            </w:tcBorders>
            <w:shd w:val="clear" w:color="auto" w:fill="CCEEFF"/>
          </w:tcPr>
          <w:p>
            <w:pPr>
              <w:spacing w:after="0"/>
              <w:rPr>
                <w:sz w:val="24"/>
                <w:szCs w:val="24"/>
                <w:color w:val="auto"/>
              </w:rPr>
            </w:pPr>
          </w:p>
        </w:tc>
        <w:tc>
          <w:tcPr>
            <w:tcW w:w="900" w:type="dxa"/>
            <w:vAlign w:val="bottom"/>
            <w:tcBorders>
              <w:bottom w:val="single" w:sz="8" w:color="auto"/>
            </w:tcBorders>
            <w:shd w:val="clear" w:color="auto" w:fill="CCEEFF"/>
          </w:tcPr>
          <w:p>
            <w:pPr>
              <w:jc w:val="right"/>
              <w:ind w:right="114"/>
              <w:spacing w:after="0"/>
              <w:rPr>
                <w:sz w:val="20"/>
                <w:szCs w:val="20"/>
                <w:color w:val="auto"/>
              </w:rPr>
            </w:pPr>
            <w:r>
              <w:rPr>
                <w:rFonts w:ascii="Arial" w:cs="Arial" w:eastAsia="Arial" w:hAnsi="Arial"/>
                <w:sz w:val="18"/>
                <w:szCs w:val="18"/>
                <w:color w:val="auto"/>
              </w:rPr>
              <w:t>(3,675)</w:t>
            </w:r>
          </w:p>
        </w:tc>
        <w:tc>
          <w:tcPr>
            <w:tcW w:w="60" w:type="dxa"/>
            <w:vAlign w:val="bottom"/>
            <w:tcBorders>
              <w:bottom w:val="single" w:sz="8" w:color="CCEEFF"/>
            </w:tcBorders>
            <w:shd w:val="clear" w:color="auto" w:fill="CCEEFF"/>
          </w:tcPr>
          <w:p>
            <w:pPr>
              <w:spacing w:after="0"/>
              <w:rPr>
                <w:sz w:val="24"/>
                <w:szCs w:val="24"/>
                <w:color w:val="auto"/>
              </w:rPr>
            </w:pPr>
          </w:p>
        </w:tc>
        <w:tc>
          <w:tcPr>
            <w:tcW w:w="2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280" w:type="dxa"/>
            <w:vAlign w:val="bottom"/>
            <w:tcBorders>
              <w:bottom w:val="single" w:sz="8" w:color="auto"/>
            </w:tcBorders>
            <w:shd w:val="clear" w:color="auto" w:fill="CCEEFF"/>
          </w:tcPr>
          <w:p>
            <w:pPr>
              <w:spacing w:after="0"/>
              <w:rPr>
                <w:sz w:val="24"/>
                <w:szCs w:val="24"/>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16,361</w:t>
            </w:r>
          </w:p>
        </w:tc>
        <w:tc>
          <w:tcPr>
            <w:tcW w:w="200" w:type="dxa"/>
            <w:vAlign w:val="bottom"/>
            <w:tcBorders>
              <w:bottom w:val="single" w:sz="8" w:color="auto"/>
            </w:tcBorders>
            <w:shd w:val="clear" w:color="auto" w:fill="CCEEFF"/>
          </w:tcPr>
          <w:p>
            <w:pPr>
              <w:spacing w:after="0"/>
              <w:rPr>
                <w:sz w:val="24"/>
                <w:szCs w:val="24"/>
                <w:color w:val="auto"/>
              </w:rPr>
            </w:pPr>
          </w:p>
        </w:tc>
        <w:tc>
          <w:tcPr>
            <w:tcW w:w="40" w:type="dxa"/>
            <w:vAlign w:val="bottom"/>
          </w:tcPr>
          <w:p>
            <w:pPr>
              <w:spacing w:after="0"/>
              <w:rPr>
                <w:sz w:val="24"/>
                <w:szCs w:val="24"/>
                <w:color w:val="auto"/>
              </w:rPr>
            </w:pPr>
          </w:p>
        </w:tc>
      </w:tr>
      <w:tr>
        <w:trPr>
          <w:trHeight w:val="20"/>
        </w:trPr>
        <w:tc>
          <w:tcPr>
            <w:tcW w:w="60" w:type="dxa"/>
            <w:vAlign w:val="bottom"/>
          </w:tcPr>
          <w:p>
            <w:pPr>
              <w:spacing w:after="0" w:line="20" w:lineRule="exact"/>
              <w:rPr>
                <w:sz w:val="1"/>
                <w:szCs w:val="1"/>
                <w:color w:val="auto"/>
              </w:rPr>
            </w:pPr>
          </w:p>
        </w:tc>
        <w:tc>
          <w:tcPr>
            <w:tcW w:w="45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17"/>
        </w:trPr>
        <w:tc>
          <w:tcPr>
            <w:tcW w:w="60" w:type="dxa"/>
            <w:vAlign w:val="bottom"/>
          </w:tcPr>
          <w:p>
            <w:pPr>
              <w:spacing w:after="0"/>
              <w:rPr>
                <w:sz w:val="18"/>
                <w:szCs w:val="18"/>
                <w:color w:val="auto"/>
              </w:rPr>
            </w:pPr>
          </w:p>
        </w:tc>
        <w:tc>
          <w:tcPr>
            <w:tcW w:w="4500" w:type="dxa"/>
            <w:vAlign w:val="bottom"/>
          </w:tcPr>
          <w:p>
            <w:pPr>
              <w:ind w:left="180"/>
              <w:spacing w:after="0"/>
              <w:rPr>
                <w:sz w:val="20"/>
                <w:szCs w:val="20"/>
                <w:color w:val="auto"/>
              </w:rPr>
            </w:pPr>
            <w:r>
              <w:rPr>
                <w:rFonts w:ascii="Arial" w:cs="Arial" w:eastAsia="Arial" w:hAnsi="Arial"/>
                <w:sz w:val="18"/>
                <w:szCs w:val="18"/>
                <w:color w:val="auto"/>
              </w:rPr>
              <w:t>Stock and incentive plan compensation</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jc w:val="right"/>
              <w:ind w:right="154"/>
              <w:spacing w:after="0"/>
              <w:rPr>
                <w:sz w:val="20"/>
                <w:szCs w:val="20"/>
                <w:color w:val="auto"/>
              </w:rPr>
            </w:pPr>
            <w:r>
              <w:rPr>
                <w:rFonts w:ascii="Arial" w:cs="Arial" w:eastAsia="Arial" w:hAnsi="Arial"/>
                <w:sz w:val="18"/>
                <w:szCs w:val="18"/>
                <w:color w:val="auto"/>
              </w:rPr>
              <w:t>3,385</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3,376</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ind w:right="154"/>
              <w:spacing w:after="0"/>
              <w:rPr>
                <w:sz w:val="20"/>
                <w:szCs w:val="20"/>
                <w:color w:val="auto"/>
              </w:rPr>
            </w:pPr>
            <w:r>
              <w:rPr>
                <w:rFonts w:ascii="Arial" w:cs="Arial" w:eastAsia="Arial" w:hAnsi="Arial"/>
                <w:sz w:val="18"/>
                <w:szCs w:val="18"/>
                <w:color w:val="auto"/>
              </w:rPr>
              <w:t>6,460</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6,157</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7"/>
        </w:trPr>
        <w:tc>
          <w:tcPr>
            <w:tcW w:w="60" w:type="dxa"/>
            <w:vAlign w:val="bottom"/>
          </w:tcPr>
          <w:p>
            <w:pPr>
              <w:spacing w:after="0"/>
              <w:rPr>
                <w:sz w:val="2"/>
                <w:szCs w:val="2"/>
                <w:color w:val="auto"/>
              </w:rPr>
            </w:pPr>
          </w:p>
        </w:tc>
        <w:tc>
          <w:tcPr>
            <w:tcW w:w="45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60" w:type="dxa"/>
            <w:vAlign w:val="bottom"/>
          </w:tcPr>
          <w:p>
            <w:pPr>
              <w:spacing w:after="0"/>
              <w:rPr>
                <w:sz w:val="21"/>
                <w:szCs w:val="21"/>
                <w:color w:val="auto"/>
              </w:rPr>
            </w:pPr>
          </w:p>
        </w:tc>
        <w:tc>
          <w:tcPr>
            <w:tcW w:w="45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Amortization of acquired intangible assets</w:t>
            </w:r>
          </w:p>
        </w:tc>
        <w:tc>
          <w:tcPr>
            <w:tcW w:w="1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54"/>
              <w:spacing w:after="0"/>
              <w:rPr>
                <w:sz w:val="20"/>
                <w:szCs w:val="20"/>
                <w:color w:val="auto"/>
              </w:rPr>
            </w:pPr>
            <w:r>
              <w:rPr>
                <w:rFonts w:ascii="Arial" w:cs="Arial" w:eastAsia="Arial" w:hAnsi="Arial"/>
                <w:sz w:val="18"/>
                <w:szCs w:val="18"/>
                <w:color w:val="auto"/>
              </w:rPr>
              <w:t>927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451</w:t>
            </w:r>
          </w:p>
        </w:tc>
        <w:tc>
          <w:tcPr>
            <w:tcW w:w="2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54"/>
              <w:spacing w:after="0"/>
              <w:rPr>
                <w:sz w:val="20"/>
                <w:szCs w:val="20"/>
                <w:color w:val="auto"/>
              </w:rPr>
            </w:pPr>
            <w:r>
              <w:rPr>
                <w:rFonts w:ascii="Arial" w:cs="Arial" w:eastAsia="Arial" w:hAnsi="Arial"/>
                <w:sz w:val="18"/>
                <w:szCs w:val="18"/>
                <w:color w:val="auto"/>
              </w:rPr>
              <w:t>1,319</w:t>
            </w:r>
          </w:p>
        </w:tc>
        <w:tc>
          <w:tcPr>
            <w:tcW w:w="6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902</w:t>
            </w:r>
          </w:p>
        </w:tc>
        <w:tc>
          <w:tcPr>
            <w:tcW w:w="200" w:type="dxa"/>
            <w:vAlign w:val="bottom"/>
            <w:tcBorders>
              <w:bottom w:val="single" w:sz="8" w:color="CCEEFF"/>
            </w:tcBorders>
            <w:shd w:val="clear" w:color="auto" w:fill="CCEEFF"/>
          </w:tcPr>
          <w:p>
            <w:pPr>
              <w:spacing w:after="0"/>
              <w:rPr>
                <w:sz w:val="21"/>
                <w:szCs w:val="21"/>
                <w:color w:val="auto"/>
              </w:rPr>
            </w:pPr>
          </w:p>
        </w:tc>
        <w:tc>
          <w:tcPr>
            <w:tcW w:w="40" w:type="dxa"/>
            <w:vAlign w:val="bottom"/>
          </w:tcPr>
          <w:p>
            <w:pPr>
              <w:spacing w:after="0"/>
              <w:rPr>
                <w:sz w:val="21"/>
                <w:szCs w:val="21"/>
                <w:color w:val="auto"/>
              </w:rPr>
            </w:pPr>
          </w:p>
        </w:tc>
      </w:tr>
      <w:tr>
        <w:trPr>
          <w:trHeight w:val="243"/>
        </w:trPr>
        <w:tc>
          <w:tcPr>
            <w:tcW w:w="60" w:type="dxa"/>
            <w:vAlign w:val="bottom"/>
          </w:tcPr>
          <w:p>
            <w:pPr>
              <w:spacing w:after="0"/>
              <w:rPr>
                <w:sz w:val="21"/>
                <w:szCs w:val="21"/>
                <w:color w:val="auto"/>
              </w:rPr>
            </w:pPr>
          </w:p>
        </w:tc>
        <w:tc>
          <w:tcPr>
            <w:tcW w:w="4500" w:type="dxa"/>
            <w:vAlign w:val="bottom"/>
          </w:tcPr>
          <w:p>
            <w:pPr>
              <w:ind w:left="180"/>
              <w:spacing w:after="0"/>
              <w:rPr>
                <w:sz w:val="20"/>
                <w:szCs w:val="20"/>
                <w:color w:val="auto"/>
              </w:rPr>
            </w:pPr>
            <w:r>
              <w:rPr>
                <w:rFonts w:ascii="Arial" w:cs="Arial" w:eastAsia="Arial" w:hAnsi="Arial"/>
                <w:sz w:val="18"/>
                <w:szCs w:val="18"/>
                <w:color w:val="auto"/>
              </w:rPr>
              <w:t>Non-recurring refinancing related fees</w:t>
            </w:r>
          </w:p>
        </w:tc>
        <w:tc>
          <w:tcPr>
            <w:tcW w:w="1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80" w:type="dxa"/>
            <w:vAlign w:val="bottom"/>
          </w:tcPr>
          <w:p>
            <w:pPr>
              <w:jc w:val="right"/>
              <w:ind w:right="154"/>
              <w:spacing w:after="0"/>
              <w:rPr>
                <w:sz w:val="20"/>
                <w:szCs w:val="20"/>
                <w:color w:val="auto"/>
              </w:rPr>
            </w:pPr>
            <w:r>
              <w:rPr>
                <w:rFonts w:ascii="Arial" w:cs="Arial" w:eastAsia="Arial" w:hAnsi="Arial"/>
                <w:sz w:val="18"/>
                <w:szCs w:val="18"/>
                <w:color w:val="auto"/>
              </w:rPr>
              <w:t>460</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00" w:type="dxa"/>
            <w:vAlign w:val="bottom"/>
          </w:tcPr>
          <w:p>
            <w:pPr>
              <w:jc w:val="right"/>
              <w:ind w:right="154"/>
              <w:spacing w:after="0"/>
              <w:rPr>
                <w:sz w:val="20"/>
                <w:szCs w:val="20"/>
                <w:color w:val="auto"/>
              </w:rPr>
            </w:pPr>
            <w:r>
              <w:rPr>
                <w:rFonts w:ascii="Arial" w:cs="Arial" w:eastAsia="Arial" w:hAnsi="Arial"/>
                <w:sz w:val="18"/>
                <w:szCs w:val="18"/>
                <w:color w:val="auto"/>
              </w:rPr>
              <w:t>460</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40" w:type="dxa"/>
            <w:vAlign w:val="bottom"/>
          </w:tcPr>
          <w:p>
            <w:pPr>
              <w:spacing w:after="0"/>
              <w:rPr>
                <w:sz w:val="21"/>
                <w:szCs w:val="21"/>
                <w:color w:val="auto"/>
              </w:rPr>
            </w:pPr>
          </w:p>
        </w:tc>
      </w:tr>
      <w:tr>
        <w:trPr>
          <w:trHeight w:val="27"/>
        </w:trPr>
        <w:tc>
          <w:tcPr>
            <w:tcW w:w="60" w:type="dxa"/>
            <w:vAlign w:val="bottom"/>
          </w:tcPr>
          <w:p>
            <w:pPr>
              <w:spacing w:after="0"/>
              <w:rPr>
                <w:sz w:val="2"/>
                <w:szCs w:val="2"/>
                <w:color w:val="auto"/>
              </w:rPr>
            </w:pPr>
          </w:p>
        </w:tc>
        <w:tc>
          <w:tcPr>
            <w:tcW w:w="45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60" w:type="dxa"/>
            <w:vAlign w:val="bottom"/>
          </w:tcPr>
          <w:p>
            <w:pPr>
              <w:spacing w:after="0"/>
              <w:rPr>
                <w:sz w:val="21"/>
                <w:szCs w:val="21"/>
                <w:color w:val="auto"/>
              </w:rPr>
            </w:pPr>
          </w:p>
        </w:tc>
        <w:tc>
          <w:tcPr>
            <w:tcW w:w="45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Extinguishment of debt</w:t>
            </w:r>
          </w:p>
        </w:tc>
        <w:tc>
          <w:tcPr>
            <w:tcW w:w="1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3,196</w:t>
            </w:r>
          </w:p>
        </w:tc>
        <w:tc>
          <w:tcPr>
            <w:tcW w:w="2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3,196</w:t>
            </w:r>
          </w:p>
        </w:tc>
        <w:tc>
          <w:tcPr>
            <w:tcW w:w="200" w:type="dxa"/>
            <w:vAlign w:val="bottom"/>
            <w:tcBorders>
              <w:bottom w:val="single" w:sz="8" w:color="CCEEFF"/>
            </w:tcBorders>
            <w:shd w:val="clear" w:color="auto" w:fill="CCEEFF"/>
          </w:tcPr>
          <w:p>
            <w:pPr>
              <w:spacing w:after="0"/>
              <w:rPr>
                <w:sz w:val="21"/>
                <w:szCs w:val="21"/>
                <w:color w:val="auto"/>
              </w:rPr>
            </w:pPr>
          </w:p>
        </w:tc>
        <w:tc>
          <w:tcPr>
            <w:tcW w:w="40" w:type="dxa"/>
            <w:vAlign w:val="bottom"/>
          </w:tcPr>
          <w:p>
            <w:pPr>
              <w:spacing w:after="0"/>
              <w:rPr>
                <w:sz w:val="21"/>
                <w:szCs w:val="21"/>
                <w:color w:val="auto"/>
              </w:rPr>
            </w:pPr>
          </w:p>
        </w:tc>
      </w:tr>
      <w:tr>
        <w:trPr>
          <w:trHeight w:val="243"/>
        </w:trPr>
        <w:tc>
          <w:tcPr>
            <w:tcW w:w="60" w:type="dxa"/>
            <w:vAlign w:val="bottom"/>
          </w:tcPr>
          <w:p>
            <w:pPr>
              <w:spacing w:after="0"/>
              <w:rPr>
                <w:sz w:val="21"/>
                <w:szCs w:val="21"/>
                <w:color w:val="auto"/>
              </w:rPr>
            </w:pPr>
          </w:p>
        </w:tc>
        <w:tc>
          <w:tcPr>
            <w:tcW w:w="4500" w:type="dxa"/>
            <w:vAlign w:val="bottom"/>
          </w:tcPr>
          <w:p>
            <w:pPr>
              <w:ind w:left="180"/>
              <w:spacing w:after="0"/>
              <w:rPr>
                <w:sz w:val="20"/>
                <w:szCs w:val="20"/>
                <w:color w:val="auto"/>
              </w:rPr>
            </w:pPr>
            <w:r>
              <w:rPr>
                <w:rFonts w:ascii="Arial" w:cs="Arial" w:eastAsia="Arial" w:hAnsi="Arial"/>
                <w:sz w:val="18"/>
                <w:szCs w:val="18"/>
                <w:color w:val="auto"/>
              </w:rPr>
              <w:t>Strategic collaboration and license costs</w:t>
            </w:r>
          </w:p>
        </w:tc>
        <w:tc>
          <w:tcPr>
            <w:tcW w:w="1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300</w:t>
            </w: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80" w:type="dxa"/>
            <w:vAlign w:val="bottom"/>
            <w:gridSpan w:val="3"/>
          </w:tcPr>
          <w:p>
            <w:pPr>
              <w:jc w:val="right"/>
              <w:ind w:right="3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300</w:t>
            </w:r>
          </w:p>
        </w:tc>
        <w:tc>
          <w:tcPr>
            <w:tcW w:w="200" w:type="dxa"/>
            <w:vAlign w:val="bottom"/>
          </w:tcPr>
          <w:p>
            <w:pPr>
              <w:spacing w:after="0"/>
              <w:rPr>
                <w:sz w:val="21"/>
                <w:szCs w:val="21"/>
                <w:color w:val="auto"/>
              </w:rPr>
            </w:pPr>
          </w:p>
        </w:tc>
        <w:tc>
          <w:tcPr>
            <w:tcW w:w="40" w:type="dxa"/>
            <w:vAlign w:val="bottom"/>
          </w:tcPr>
          <w:p>
            <w:pPr>
              <w:spacing w:after="0"/>
              <w:rPr>
                <w:sz w:val="21"/>
                <w:szCs w:val="21"/>
                <w:color w:val="auto"/>
              </w:rPr>
            </w:pPr>
          </w:p>
        </w:tc>
      </w:tr>
      <w:tr>
        <w:trPr>
          <w:trHeight w:val="27"/>
        </w:trPr>
        <w:tc>
          <w:tcPr>
            <w:tcW w:w="60" w:type="dxa"/>
            <w:vAlign w:val="bottom"/>
          </w:tcPr>
          <w:p>
            <w:pPr>
              <w:spacing w:after="0"/>
              <w:rPr>
                <w:sz w:val="2"/>
                <w:szCs w:val="2"/>
                <w:color w:val="auto"/>
              </w:rPr>
            </w:pPr>
          </w:p>
        </w:tc>
        <w:tc>
          <w:tcPr>
            <w:tcW w:w="45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60" w:type="dxa"/>
            <w:vAlign w:val="bottom"/>
          </w:tcPr>
          <w:p>
            <w:pPr>
              <w:spacing w:after="0"/>
              <w:rPr>
                <w:sz w:val="21"/>
                <w:szCs w:val="21"/>
                <w:color w:val="auto"/>
              </w:rPr>
            </w:pPr>
          </w:p>
        </w:tc>
        <w:tc>
          <w:tcPr>
            <w:tcW w:w="45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Integration costs</w:t>
            </w:r>
          </w:p>
        </w:tc>
        <w:tc>
          <w:tcPr>
            <w:tcW w:w="1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54"/>
              <w:spacing w:after="0"/>
              <w:rPr>
                <w:sz w:val="20"/>
                <w:szCs w:val="20"/>
                <w:color w:val="auto"/>
              </w:rPr>
            </w:pPr>
            <w:r>
              <w:rPr>
                <w:rFonts w:ascii="Arial" w:cs="Arial" w:eastAsia="Arial" w:hAnsi="Arial"/>
                <w:sz w:val="18"/>
                <w:szCs w:val="18"/>
                <w:color w:val="auto"/>
              </w:rPr>
              <w:t>1,201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54"/>
              <w:spacing w:after="0"/>
              <w:rPr>
                <w:sz w:val="20"/>
                <w:szCs w:val="20"/>
                <w:color w:val="auto"/>
              </w:rPr>
            </w:pPr>
            <w:r>
              <w:rPr>
                <w:rFonts w:ascii="Arial" w:cs="Arial" w:eastAsia="Arial" w:hAnsi="Arial"/>
                <w:sz w:val="18"/>
                <w:szCs w:val="18"/>
                <w:color w:val="auto"/>
              </w:rPr>
              <w:t>3,573</w:t>
            </w:r>
          </w:p>
        </w:tc>
        <w:tc>
          <w:tcPr>
            <w:tcW w:w="6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40" w:type="dxa"/>
            <w:vAlign w:val="bottom"/>
          </w:tcPr>
          <w:p>
            <w:pPr>
              <w:spacing w:after="0"/>
              <w:rPr>
                <w:sz w:val="21"/>
                <w:szCs w:val="21"/>
                <w:color w:val="auto"/>
              </w:rPr>
            </w:pPr>
          </w:p>
        </w:tc>
      </w:tr>
      <w:tr>
        <w:trPr>
          <w:trHeight w:val="243"/>
        </w:trPr>
        <w:tc>
          <w:tcPr>
            <w:tcW w:w="60" w:type="dxa"/>
            <w:vAlign w:val="bottom"/>
          </w:tcPr>
          <w:p>
            <w:pPr>
              <w:spacing w:after="0"/>
              <w:rPr>
                <w:sz w:val="21"/>
                <w:szCs w:val="21"/>
                <w:color w:val="auto"/>
              </w:rPr>
            </w:pPr>
          </w:p>
        </w:tc>
        <w:tc>
          <w:tcPr>
            <w:tcW w:w="4500" w:type="dxa"/>
            <w:vAlign w:val="bottom"/>
          </w:tcPr>
          <w:p>
            <w:pPr>
              <w:ind w:left="180"/>
              <w:spacing w:after="0"/>
              <w:rPr>
                <w:sz w:val="20"/>
                <w:szCs w:val="20"/>
                <w:color w:val="auto"/>
              </w:rPr>
            </w:pPr>
            <w:r>
              <w:rPr>
                <w:rFonts w:ascii="Arial" w:cs="Arial" w:eastAsia="Arial" w:hAnsi="Arial"/>
                <w:sz w:val="18"/>
                <w:szCs w:val="18"/>
                <w:color w:val="auto"/>
              </w:rPr>
              <w:t>Acquisition-related costs</w:t>
            </w:r>
          </w:p>
        </w:tc>
        <w:tc>
          <w:tcPr>
            <w:tcW w:w="1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80" w:type="dxa"/>
            <w:vAlign w:val="bottom"/>
          </w:tcPr>
          <w:p>
            <w:pPr>
              <w:jc w:val="right"/>
              <w:ind w:right="154"/>
              <w:spacing w:after="0"/>
              <w:rPr>
                <w:sz w:val="20"/>
                <w:szCs w:val="20"/>
                <w:color w:val="auto"/>
              </w:rPr>
            </w:pPr>
            <w:r>
              <w:rPr>
                <w:rFonts w:ascii="Arial" w:cs="Arial" w:eastAsia="Arial" w:hAnsi="Arial"/>
                <w:sz w:val="18"/>
                <w:szCs w:val="18"/>
                <w:color w:val="auto"/>
              </w:rPr>
              <w:t>7,517</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00" w:type="dxa"/>
            <w:vAlign w:val="bottom"/>
          </w:tcPr>
          <w:p>
            <w:pPr>
              <w:jc w:val="right"/>
              <w:ind w:right="154"/>
              <w:spacing w:after="0"/>
              <w:rPr>
                <w:sz w:val="20"/>
                <w:szCs w:val="20"/>
                <w:color w:val="auto"/>
              </w:rPr>
            </w:pPr>
            <w:r>
              <w:rPr>
                <w:rFonts w:ascii="Arial" w:cs="Arial" w:eastAsia="Arial" w:hAnsi="Arial"/>
                <w:sz w:val="18"/>
                <w:szCs w:val="18"/>
                <w:color w:val="auto"/>
              </w:rPr>
              <w:t>8,929</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40" w:type="dxa"/>
            <w:vAlign w:val="bottom"/>
          </w:tcPr>
          <w:p>
            <w:pPr>
              <w:spacing w:after="0"/>
              <w:rPr>
                <w:sz w:val="21"/>
                <w:szCs w:val="21"/>
                <w:color w:val="auto"/>
              </w:rPr>
            </w:pPr>
          </w:p>
        </w:tc>
      </w:tr>
      <w:tr>
        <w:trPr>
          <w:trHeight w:val="27"/>
        </w:trPr>
        <w:tc>
          <w:tcPr>
            <w:tcW w:w="60" w:type="dxa"/>
            <w:vAlign w:val="bottom"/>
          </w:tcPr>
          <w:p>
            <w:pPr>
              <w:spacing w:after="0"/>
              <w:rPr>
                <w:sz w:val="2"/>
                <w:szCs w:val="2"/>
                <w:color w:val="auto"/>
              </w:rPr>
            </w:pPr>
          </w:p>
        </w:tc>
        <w:tc>
          <w:tcPr>
            <w:tcW w:w="45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60" w:type="dxa"/>
            <w:vAlign w:val="bottom"/>
          </w:tcPr>
          <w:p>
            <w:pPr>
              <w:spacing w:after="0"/>
              <w:rPr>
                <w:sz w:val="21"/>
                <w:szCs w:val="21"/>
                <w:color w:val="auto"/>
              </w:rPr>
            </w:pPr>
          </w:p>
        </w:tc>
        <w:tc>
          <w:tcPr>
            <w:tcW w:w="45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Impairment of long-lived assets</w:t>
            </w:r>
          </w:p>
        </w:tc>
        <w:tc>
          <w:tcPr>
            <w:tcW w:w="1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54"/>
              <w:spacing w:after="0"/>
              <w:rPr>
                <w:sz w:val="20"/>
                <w:szCs w:val="20"/>
                <w:color w:val="auto"/>
              </w:rPr>
            </w:pPr>
            <w:r>
              <w:rPr>
                <w:rFonts w:ascii="Arial" w:cs="Arial" w:eastAsia="Arial" w:hAnsi="Arial"/>
                <w:sz w:val="18"/>
                <w:szCs w:val="18"/>
                <w:color w:val="auto"/>
              </w:rPr>
              <w:t>7,275</w:t>
            </w:r>
          </w:p>
        </w:tc>
        <w:tc>
          <w:tcPr>
            <w:tcW w:w="6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40" w:type="dxa"/>
            <w:vAlign w:val="bottom"/>
          </w:tcPr>
          <w:p>
            <w:pPr>
              <w:spacing w:after="0"/>
              <w:rPr>
                <w:sz w:val="21"/>
                <w:szCs w:val="21"/>
                <w:color w:val="auto"/>
              </w:rPr>
            </w:pPr>
          </w:p>
        </w:tc>
      </w:tr>
      <w:tr>
        <w:trPr>
          <w:trHeight w:val="243"/>
        </w:trPr>
        <w:tc>
          <w:tcPr>
            <w:tcW w:w="60" w:type="dxa"/>
            <w:vAlign w:val="bottom"/>
          </w:tcPr>
          <w:p>
            <w:pPr>
              <w:spacing w:after="0"/>
              <w:rPr>
                <w:sz w:val="21"/>
                <w:szCs w:val="21"/>
                <w:color w:val="auto"/>
              </w:rPr>
            </w:pPr>
          </w:p>
        </w:tc>
        <w:tc>
          <w:tcPr>
            <w:tcW w:w="4500" w:type="dxa"/>
            <w:vAlign w:val="bottom"/>
          </w:tcPr>
          <w:p>
            <w:pPr>
              <w:ind w:left="180"/>
              <w:spacing w:after="0"/>
              <w:rPr>
                <w:sz w:val="20"/>
                <w:szCs w:val="20"/>
                <w:color w:val="auto"/>
              </w:rPr>
            </w:pPr>
            <w:r>
              <w:rPr>
                <w:rFonts w:ascii="Arial" w:cs="Arial" w:eastAsia="Arial" w:hAnsi="Arial"/>
                <w:sz w:val="18"/>
                <w:szCs w:val="18"/>
                <w:color w:val="auto"/>
              </w:rPr>
              <w:t>Other</w:t>
            </w:r>
          </w:p>
        </w:tc>
        <w:tc>
          <w:tcPr>
            <w:tcW w:w="1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00" w:type="dxa"/>
            <w:vAlign w:val="bottom"/>
          </w:tcPr>
          <w:p>
            <w:pPr>
              <w:jc w:val="right"/>
              <w:ind w:right="114"/>
              <w:spacing w:after="0"/>
              <w:rPr>
                <w:sz w:val="20"/>
                <w:szCs w:val="20"/>
                <w:color w:val="auto"/>
              </w:rPr>
            </w:pPr>
            <w:r>
              <w:rPr>
                <w:rFonts w:ascii="Arial" w:cs="Arial" w:eastAsia="Arial" w:hAnsi="Arial"/>
                <w:sz w:val="18"/>
                <w:szCs w:val="18"/>
                <w:color w:val="auto"/>
              </w:rPr>
              <w:t>(75)</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40" w:type="dxa"/>
            <w:vAlign w:val="bottom"/>
          </w:tcPr>
          <w:p>
            <w:pPr>
              <w:spacing w:after="0"/>
              <w:rPr>
                <w:sz w:val="21"/>
                <w:szCs w:val="21"/>
                <w:color w:val="auto"/>
              </w:rPr>
            </w:pPr>
          </w:p>
        </w:tc>
      </w:tr>
      <w:tr>
        <w:trPr>
          <w:trHeight w:val="27"/>
        </w:trPr>
        <w:tc>
          <w:tcPr>
            <w:tcW w:w="60" w:type="dxa"/>
            <w:vAlign w:val="bottom"/>
          </w:tcPr>
          <w:p>
            <w:pPr>
              <w:spacing w:after="0"/>
              <w:rPr>
                <w:sz w:val="2"/>
                <w:szCs w:val="2"/>
                <w:color w:val="auto"/>
              </w:rPr>
            </w:pPr>
          </w:p>
        </w:tc>
        <w:tc>
          <w:tcPr>
            <w:tcW w:w="45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70"/>
        </w:trPr>
        <w:tc>
          <w:tcPr>
            <w:tcW w:w="60" w:type="dxa"/>
            <w:vAlign w:val="bottom"/>
          </w:tcPr>
          <w:p>
            <w:pPr>
              <w:spacing w:after="0"/>
              <w:rPr>
                <w:sz w:val="23"/>
                <w:szCs w:val="23"/>
                <w:color w:val="auto"/>
              </w:rPr>
            </w:pPr>
          </w:p>
        </w:tc>
        <w:tc>
          <w:tcPr>
            <w:tcW w:w="45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Income tax effect of non-GAAP adjustments</w:t>
            </w:r>
            <w:r>
              <w:rPr>
                <w:rFonts w:ascii="Arial" w:cs="Arial" w:eastAsia="Arial" w:hAnsi="Arial"/>
                <w:sz w:val="23"/>
                <w:szCs w:val="23"/>
                <w:color w:val="auto"/>
                <w:vertAlign w:val="superscript"/>
              </w:rPr>
              <w:t>(a)</w:t>
            </w:r>
          </w:p>
        </w:tc>
        <w:tc>
          <w:tcPr>
            <w:tcW w:w="160" w:type="dxa"/>
            <w:vAlign w:val="bottom"/>
            <w:tcBorders>
              <w:bottom w:val="single" w:sz="8" w:color="auto"/>
            </w:tcBorders>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114"/>
              <w:spacing w:after="0"/>
              <w:rPr>
                <w:sz w:val="20"/>
                <w:szCs w:val="20"/>
                <w:color w:val="auto"/>
              </w:rPr>
            </w:pPr>
            <w:r>
              <w:rPr>
                <w:rFonts w:ascii="Arial" w:cs="Arial" w:eastAsia="Arial" w:hAnsi="Arial"/>
                <w:sz w:val="18"/>
                <w:szCs w:val="18"/>
                <w:color w:val="auto"/>
              </w:rPr>
              <w:t>(1,940)</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840" w:type="dxa"/>
            <w:vAlign w:val="bottom"/>
            <w:tcBorders>
              <w:bottom w:val="single" w:sz="8" w:color="auto"/>
            </w:tcBorders>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(2,852)</w:t>
            </w:r>
          </w:p>
        </w:tc>
        <w:tc>
          <w:tcPr>
            <w:tcW w:w="8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114"/>
              <w:spacing w:after="0"/>
              <w:rPr>
                <w:sz w:val="20"/>
                <w:szCs w:val="20"/>
                <w:color w:val="auto"/>
              </w:rPr>
            </w:pPr>
            <w:r>
              <w:rPr>
                <w:rFonts w:ascii="Arial" w:cs="Arial" w:eastAsia="Arial" w:hAnsi="Arial"/>
                <w:sz w:val="18"/>
                <w:szCs w:val="18"/>
                <w:color w:val="auto"/>
              </w:rPr>
              <w:t>(5,446)</w:t>
            </w:r>
          </w:p>
        </w:tc>
        <w:tc>
          <w:tcPr>
            <w:tcW w:w="6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(4,795)</w:t>
            </w:r>
          </w:p>
        </w:tc>
        <w:tc>
          <w:tcPr>
            <w:tcW w:w="200" w:type="dxa"/>
            <w:vAlign w:val="bottom"/>
            <w:tcBorders>
              <w:bottom w:val="single" w:sz="8" w:color="auto"/>
            </w:tcBorders>
            <w:shd w:val="clear" w:color="auto" w:fill="CCEEFF"/>
          </w:tcPr>
          <w:p>
            <w:pPr>
              <w:spacing w:after="0"/>
              <w:rPr>
                <w:sz w:val="23"/>
                <w:szCs w:val="23"/>
                <w:color w:val="auto"/>
              </w:rPr>
            </w:pPr>
          </w:p>
        </w:tc>
        <w:tc>
          <w:tcPr>
            <w:tcW w:w="40" w:type="dxa"/>
            <w:vAlign w:val="bottom"/>
          </w:tcPr>
          <w:p>
            <w:pPr>
              <w:spacing w:after="0"/>
              <w:rPr>
                <w:sz w:val="23"/>
                <w:szCs w:val="23"/>
                <w:color w:val="auto"/>
              </w:rPr>
            </w:pPr>
          </w:p>
        </w:tc>
      </w:tr>
      <w:tr>
        <w:trPr>
          <w:trHeight w:val="237"/>
        </w:trPr>
        <w:tc>
          <w:tcPr>
            <w:tcW w:w="60" w:type="dxa"/>
            <w:vAlign w:val="bottom"/>
          </w:tcPr>
          <w:p>
            <w:pPr>
              <w:spacing w:after="0"/>
              <w:rPr>
                <w:sz w:val="20"/>
                <w:szCs w:val="20"/>
                <w:color w:val="auto"/>
              </w:rPr>
            </w:pPr>
          </w:p>
        </w:tc>
        <w:tc>
          <w:tcPr>
            <w:tcW w:w="4500" w:type="dxa"/>
            <w:vAlign w:val="bottom"/>
          </w:tcPr>
          <w:p>
            <w:pPr>
              <w:spacing w:after="0"/>
              <w:rPr>
                <w:sz w:val="20"/>
                <w:szCs w:val="20"/>
                <w:color w:val="auto"/>
              </w:rPr>
            </w:pPr>
            <w:r>
              <w:rPr>
                <w:rFonts w:ascii="Arial" w:cs="Arial" w:eastAsia="Arial" w:hAnsi="Arial"/>
                <w:sz w:val="18"/>
                <w:szCs w:val="18"/>
                <w:color w:val="auto"/>
              </w:rPr>
              <w:t>Adjusted net income</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20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ind w:right="154"/>
              <w:spacing w:after="0"/>
              <w:rPr>
                <w:sz w:val="20"/>
                <w:szCs w:val="20"/>
                <w:color w:val="auto"/>
              </w:rPr>
            </w:pPr>
            <w:r>
              <w:rPr>
                <w:rFonts w:ascii="Arial" w:cs="Arial" w:eastAsia="Arial" w:hAnsi="Arial"/>
                <w:sz w:val="18"/>
                <w:szCs w:val="18"/>
                <w:color w:val="auto"/>
              </w:rPr>
              <w:t>4,538</w:t>
            </w:r>
          </w:p>
        </w:tc>
        <w:tc>
          <w:tcPr>
            <w:tcW w:w="100" w:type="dxa"/>
            <w:vAlign w:val="bottom"/>
          </w:tcPr>
          <w:p>
            <w:pPr>
              <w:spacing w:after="0"/>
              <w:rPr>
                <w:sz w:val="20"/>
                <w:szCs w:val="20"/>
                <w:color w:val="auto"/>
              </w:rPr>
            </w:pPr>
          </w:p>
        </w:tc>
        <w:tc>
          <w:tcPr>
            <w:tcW w:w="1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9"/>
              </w:rPr>
              <w:t>$</w:t>
            </w:r>
          </w:p>
        </w:tc>
        <w:tc>
          <w:tcPr>
            <w:tcW w:w="26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10,883</w:t>
            </w:r>
          </w:p>
        </w:tc>
        <w:tc>
          <w:tcPr>
            <w:tcW w:w="24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22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154"/>
              <w:spacing w:after="0"/>
              <w:rPr>
                <w:sz w:val="20"/>
                <w:szCs w:val="20"/>
                <w:color w:val="auto"/>
              </w:rPr>
            </w:pPr>
            <w:r>
              <w:rPr>
                <w:rFonts w:ascii="Arial" w:cs="Arial" w:eastAsia="Arial" w:hAnsi="Arial"/>
                <w:sz w:val="18"/>
                <w:szCs w:val="18"/>
                <w:color w:val="auto"/>
              </w:rPr>
              <w:t>18,820</w:t>
            </w: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9"/>
              </w:rPr>
              <w:t>$</w:t>
            </w:r>
          </w:p>
        </w:tc>
        <w:tc>
          <w:tcPr>
            <w:tcW w:w="280" w:type="dxa"/>
            <w:vAlign w:val="bottom"/>
            <w:tcBorders>
              <w:bottom w:val="single" w:sz="8" w:color="auto"/>
            </w:tcBorders>
          </w:tcPr>
          <w:p>
            <w:pPr>
              <w:spacing w:after="0"/>
              <w:rPr>
                <w:sz w:val="20"/>
                <w:szCs w:val="20"/>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22,121</w:t>
            </w:r>
          </w:p>
        </w:tc>
        <w:tc>
          <w:tcPr>
            <w:tcW w:w="200" w:type="dxa"/>
            <w:vAlign w:val="bottom"/>
            <w:tcBorders>
              <w:bottom w:val="single" w:sz="8" w:color="auto"/>
            </w:tcBorders>
          </w:tcPr>
          <w:p>
            <w:pPr>
              <w:spacing w:after="0"/>
              <w:rPr>
                <w:sz w:val="20"/>
                <w:szCs w:val="20"/>
                <w:color w:val="auto"/>
              </w:rPr>
            </w:pPr>
          </w:p>
        </w:tc>
        <w:tc>
          <w:tcPr>
            <w:tcW w:w="40" w:type="dxa"/>
            <w:vAlign w:val="bottom"/>
          </w:tcPr>
          <w:p>
            <w:pPr>
              <w:spacing w:after="0"/>
              <w:rPr>
                <w:sz w:val="20"/>
                <w:szCs w:val="20"/>
                <w:color w:val="auto"/>
              </w:rPr>
            </w:pPr>
          </w:p>
        </w:tc>
      </w:tr>
      <w:tr>
        <w:trPr>
          <w:trHeight w:val="20"/>
        </w:trPr>
        <w:tc>
          <w:tcPr>
            <w:tcW w:w="60" w:type="dxa"/>
            <w:vAlign w:val="bottom"/>
          </w:tcPr>
          <w:p>
            <w:pPr>
              <w:spacing w:after="0" w:line="20" w:lineRule="exact"/>
              <w:rPr>
                <w:sz w:val="1"/>
                <w:szCs w:val="1"/>
                <w:color w:val="auto"/>
              </w:rPr>
            </w:pPr>
          </w:p>
        </w:tc>
        <w:tc>
          <w:tcPr>
            <w:tcW w:w="45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89"/>
        </w:trPr>
        <w:tc>
          <w:tcPr>
            <w:tcW w:w="60" w:type="dxa"/>
            <w:vAlign w:val="bottom"/>
          </w:tcPr>
          <w:p>
            <w:pPr>
              <w:spacing w:after="0"/>
              <w:rPr>
                <w:sz w:val="24"/>
                <w:szCs w:val="24"/>
                <w:color w:val="auto"/>
              </w:rPr>
            </w:pPr>
          </w:p>
        </w:tc>
        <w:tc>
          <w:tcPr>
            <w:tcW w:w="45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Adjusted net income, as a percentage of revenues</w:t>
            </w:r>
          </w:p>
        </w:tc>
        <w:tc>
          <w:tcPr>
            <w:tcW w:w="160" w:type="dxa"/>
            <w:vAlign w:val="bottom"/>
            <w:tcBorders>
              <w:bottom w:val="single" w:sz="8" w:color="auto"/>
            </w:tcBorders>
            <w:shd w:val="clear" w:color="auto" w:fill="CCEEFF"/>
          </w:tcPr>
          <w:p>
            <w:pPr>
              <w:spacing w:after="0"/>
              <w:rPr>
                <w:sz w:val="24"/>
                <w:szCs w:val="24"/>
                <w:color w:val="auto"/>
              </w:rPr>
            </w:pPr>
          </w:p>
        </w:tc>
        <w:tc>
          <w:tcPr>
            <w:tcW w:w="200" w:type="dxa"/>
            <w:vAlign w:val="bottom"/>
            <w:tcBorders>
              <w:bottom w:val="single" w:sz="8" w:color="auto"/>
            </w:tcBorders>
            <w:shd w:val="clear" w:color="auto" w:fill="CCEEFF"/>
          </w:tcPr>
          <w:p>
            <w:pPr>
              <w:spacing w:after="0"/>
              <w:rPr>
                <w:sz w:val="24"/>
                <w:szCs w:val="24"/>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6.9 %</w:t>
            </w:r>
          </w:p>
        </w:tc>
        <w:tc>
          <w:tcPr>
            <w:tcW w:w="10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auto"/>
            </w:tcBorders>
            <w:shd w:val="clear" w:color="auto" w:fill="CCEEFF"/>
          </w:tcPr>
          <w:p>
            <w:pPr>
              <w:spacing w:after="0"/>
              <w:rPr>
                <w:sz w:val="24"/>
                <w:szCs w:val="24"/>
                <w:color w:val="auto"/>
              </w:rPr>
            </w:pPr>
          </w:p>
        </w:tc>
        <w:tc>
          <w:tcPr>
            <w:tcW w:w="260" w:type="dxa"/>
            <w:vAlign w:val="bottom"/>
            <w:tcBorders>
              <w:bottom w:val="single" w:sz="8" w:color="auto"/>
            </w:tcBorders>
            <w:shd w:val="clear" w:color="auto" w:fill="CCEEFF"/>
          </w:tcPr>
          <w:p>
            <w:pPr>
              <w:spacing w:after="0"/>
              <w:rPr>
                <w:sz w:val="24"/>
                <w:szCs w:val="24"/>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12.7</w:t>
            </w:r>
          </w:p>
        </w:tc>
        <w:tc>
          <w:tcPr>
            <w:tcW w:w="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tcBorders>
              <w:bottom w:val="single" w:sz="8" w:color="CCEEFF"/>
            </w:tcBorders>
            <w:shd w:val="clear" w:color="auto" w:fill="CCEEFF"/>
          </w:tcPr>
          <w:p>
            <w:pPr>
              <w:spacing w:after="0"/>
              <w:rPr>
                <w:sz w:val="24"/>
                <w:szCs w:val="24"/>
                <w:color w:val="auto"/>
              </w:rPr>
            </w:pPr>
          </w:p>
        </w:tc>
        <w:tc>
          <w:tcPr>
            <w:tcW w:w="2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auto"/>
            </w:tcBorders>
            <w:shd w:val="clear" w:color="auto" w:fill="CCEEFF"/>
          </w:tcPr>
          <w:p>
            <w:pPr>
              <w:spacing w:after="0"/>
              <w:rPr>
                <w:sz w:val="24"/>
                <w:szCs w:val="24"/>
                <w:color w:val="auto"/>
              </w:rPr>
            </w:pPr>
          </w:p>
        </w:tc>
        <w:tc>
          <w:tcPr>
            <w:tcW w:w="220" w:type="dxa"/>
            <w:vAlign w:val="bottom"/>
            <w:tcBorders>
              <w:bottom w:val="single" w:sz="8" w:color="auto"/>
            </w:tcBorders>
            <w:shd w:val="clear" w:color="auto" w:fill="CCEEFF"/>
          </w:tcPr>
          <w:p>
            <w:pPr>
              <w:spacing w:after="0"/>
              <w:rPr>
                <w:sz w:val="24"/>
                <w:szCs w:val="24"/>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12.0 %</w:t>
            </w:r>
          </w:p>
        </w:tc>
        <w:tc>
          <w:tcPr>
            <w:tcW w:w="60" w:type="dxa"/>
            <w:vAlign w:val="bottom"/>
            <w:tcBorders>
              <w:bottom w:val="single" w:sz="8" w:color="CCEEFF"/>
            </w:tcBorders>
            <w:shd w:val="clear" w:color="auto" w:fill="CCEEFF"/>
          </w:tcPr>
          <w:p>
            <w:pPr>
              <w:spacing w:after="0"/>
              <w:rPr>
                <w:sz w:val="24"/>
                <w:szCs w:val="24"/>
                <w:color w:val="auto"/>
              </w:rPr>
            </w:pPr>
          </w:p>
        </w:tc>
        <w:tc>
          <w:tcPr>
            <w:tcW w:w="2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auto"/>
            </w:tcBorders>
            <w:shd w:val="clear" w:color="auto" w:fill="CCEEFF"/>
          </w:tcPr>
          <w:p>
            <w:pPr>
              <w:spacing w:after="0"/>
              <w:rPr>
                <w:sz w:val="24"/>
                <w:szCs w:val="24"/>
                <w:color w:val="auto"/>
              </w:rPr>
            </w:pPr>
          </w:p>
        </w:tc>
        <w:tc>
          <w:tcPr>
            <w:tcW w:w="280" w:type="dxa"/>
            <w:vAlign w:val="bottom"/>
            <w:tcBorders>
              <w:bottom w:val="single" w:sz="8" w:color="auto"/>
            </w:tcBorders>
            <w:shd w:val="clear" w:color="auto" w:fill="CCEEFF"/>
          </w:tcPr>
          <w:p>
            <w:pPr>
              <w:spacing w:after="0"/>
              <w:rPr>
                <w:sz w:val="24"/>
                <w:szCs w:val="24"/>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12.8</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w:t>
            </w:r>
          </w:p>
        </w:tc>
        <w:tc>
          <w:tcPr>
            <w:tcW w:w="40" w:type="dxa"/>
            <w:vAlign w:val="bottom"/>
          </w:tcPr>
          <w:p>
            <w:pPr>
              <w:spacing w:after="0"/>
              <w:rPr>
                <w:sz w:val="24"/>
                <w:szCs w:val="24"/>
                <w:color w:val="auto"/>
              </w:rPr>
            </w:pPr>
          </w:p>
        </w:tc>
      </w:tr>
      <w:tr>
        <w:trPr>
          <w:trHeight w:val="20"/>
        </w:trPr>
        <w:tc>
          <w:tcPr>
            <w:tcW w:w="60" w:type="dxa"/>
            <w:vAlign w:val="bottom"/>
          </w:tcPr>
          <w:p>
            <w:pPr>
              <w:spacing w:after="0" w:line="20" w:lineRule="exact"/>
              <w:rPr>
                <w:sz w:val="1"/>
                <w:szCs w:val="1"/>
                <w:color w:val="auto"/>
              </w:rPr>
            </w:pPr>
          </w:p>
        </w:tc>
        <w:tc>
          <w:tcPr>
            <w:tcW w:w="45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gridSpan w:val="2"/>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gridSpan w:val="2"/>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62"/>
        </w:trPr>
        <w:tc>
          <w:tcPr>
            <w:tcW w:w="60" w:type="dxa"/>
            <w:vAlign w:val="bottom"/>
          </w:tcPr>
          <w:p>
            <w:pPr>
              <w:spacing w:after="0"/>
              <w:rPr>
                <w:sz w:val="22"/>
                <w:szCs w:val="22"/>
                <w:color w:val="auto"/>
              </w:rPr>
            </w:pPr>
          </w:p>
        </w:tc>
        <w:tc>
          <w:tcPr>
            <w:tcW w:w="45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980" w:type="dxa"/>
            <w:vAlign w:val="bottom"/>
            <w:gridSpan w:val="5"/>
          </w:tcPr>
          <w:p>
            <w:pPr>
              <w:jc w:val="center"/>
              <w:spacing w:after="0"/>
              <w:rPr>
                <w:sz w:val="20"/>
                <w:szCs w:val="20"/>
                <w:color w:val="auto"/>
              </w:rPr>
            </w:pPr>
            <w:r>
              <w:rPr>
                <w:rFonts w:ascii="Arial" w:cs="Arial" w:eastAsia="Arial" w:hAnsi="Arial"/>
                <w:sz w:val="14"/>
                <w:szCs w:val="14"/>
                <w:b w:val="1"/>
                <w:bCs w:val="1"/>
                <w:color w:val="auto"/>
                <w:w w:val="93"/>
              </w:rPr>
              <w:t>Three Months Ended</w:t>
            </w:r>
          </w:p>
        </w:tc>
        <w:tc>
          <w:tcPr>
            <w:tcW w:w="2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2040" w:type="dxa"/>
            <w:vAlign w:val="bottom"/>
            <w:gridSpan w:val="6"/>
          </w:tcPr>
          <w:p>
            <w:pPr>
              <w:jc w:val="right"/>
              <w:ind w:right="371"/>
              <w:spacing w:after="0"/>
              <w:rPr>
                <w:sz w:val="20"/>
                <w:szCs w:val="20"/>
                <w:color w:val="auto"/>
              </w:rPr>
            </w:pPr>
            <w:r>
              <w:rPr>
                <w:rFonts w:ascii="Arial" w:cs="Arial" w:eastAsia="Arial" w:hAnsi="Arial"/>
                <w:sz w:val="14"/>
                <w:szCs w:val="14"/>
                <w:b w:val="1"/>
                <w:bCs w:val="1"/>
                <w:color w:val="auto"/>
              </w:rPr>
              <w:t>Six Months Ended</w:t>
            </w:r>
          </w:p>
        </w:tc>
        <w:tc>
          <w:tcPr>
            <w:tcW w:w="200" w:type="dxa"/>
            <w:vAlign w:val="bottom"/>
          </w:tcPr>
          <w:p>
            <w:pPr>
              <w:spacing w:after="0"/>
              <w:rPr>
                <w:sz w:val="22"/>
                <w:szCs w:val="22"/>
                <w:color w:val="auto"/>
              </w:rPr>
            </w:pPr>
          </w:p>
        </w:tc>
        <w:tc>
          <w:tcPr>
            <w:tcW w:w="40" w:type="dxa"/>
            <w:vAlign w:val="bottom"/>
          </w:tcPr>
          <w:p>
            <w:pPr>
              <w:spacing w:after="0"/>
              <w:rPr>
                <w:sz w:val="22"/>
                <w:szCs w:val="22"/>
                <w:color w:val="auto"/>
              </w:rPr>
            </w:pPr>
          </w:p>
        </w:tc>
      </w:tr>
      <w:tr>
        <w:trPr>
          <w:trHeight w:val="192"/>
        </w:trPr>
        <w:tc>
          <w:tcPr>
            <w:tcW w:w="60" w:type="dxa"/>
            <w:vAlign w:val="bottom"/>
          </w:tcPr>
          <w:p>
            <w:pPr>
              <w:spacing w:after="0"/>
              <w:rPr>
                <w:sz w:val="16"/>
                <w:szCs w:val="16"/>
                <w:color w:val="auto"/>
              </w:rPr>
            </w:pPr>
          </w:p>
        </w:tc>
        <w:tc>
          <w:tcPr>
            <w:tcW w:w="45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4"/>
          </w:tcPr>
          <w:p>
            <w:pPr>
              <w:jc w:val="center"/>
              <w:ind w:left="634"/>
              <w:spacing w:after="0"/>
              <w:rPr>
                <w:sz w:val="20"/>
                <w:szCs w:val="20"/>
                <w:color w:val="auto"/>
              </w:rPr>
            </w:pPr>
            <w:r>
              <w:rPr>
                <w:rFonts w:ascii="Arial" w:cs="Arial" w:eastAsia="Arial" w:hAnsi="Arial"/>
                <w:sz w:val="14"/>
                <w:szCs w:val="14"/>
                <w:b w:val="1"/>
                <w:bCs w:val="1"/>
                <w:color w:val="auto"/>
                <w:w w:val="89"/>
              </w:rPr>
              <w:t>June 30,</w:t>
            </w:r>
          </w:p>
        </w:tc>
        <w:tc>
          <w:tcPr>
            <w:tcW w:w="6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5"/>
          </w:tcPr>
          <w:p>
            <w:pPr>
              <w:jc w:val="center"/>
              <w:ind w:left="594"/>
              <w:spacing w:after="0"/>
              <w:rPr>
                <w:sz w:val="20"/>
                <w:szCs w:val="20"/>
                <w:color w:val="auto"/>
              </w:rPr>
            </w:pPr>
            <w:r>
              <w:rPr>
                <w:rFonts w:ascii="Arial" w:cs="Arial" w:eastAsia="Arial" w:hAnsi="Arial"/>
                <w:sz w:val="14"/>
                <w:szCs w:val="14"/>
                <w:b w:val="1"/>
                <w:bCs w:val="1"/>
                <w:color w:val="auto"/>
                <w:w w:val="89"/>
              </w:rPr>
              <w:t>June 30,</w:t>
            </w:r>
          </w:p>
        </w:tc>
        <w:tc>
          <w:tcPr>
            <w:tcW w:w="66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r>
      <w:tr>
        <w:trPr>
          <w:trHeight w:val="196"/>
        </w:trPr>
        <w:tc>
          <w:tcPr>
            <w:tcW w:w="60" w:type="dxa"/>
            <w:vAlign w:val="bottom"/>
            <w:tcBorders>
              <w:bottom w:val="single" w:sz="8" w:color="CCEEFF"/>
            </w:tcBorders>
          </w:tcPr>
          <w:p>
            <w:pPr>
              <w:spacing w:after="0"/>
              <w:rPr>
                <w:sz w:val="17"/>
                <w:szCs w:val="17"/>
                <w:color w:val="auto"/>
              </w:rPr>
            </w:pPr>
          </w:p>
        </w:tc>
        <w:tc>
          <w:tcPr>
            <w:tcW w:w="4500" w:type="dxa"/>
            <w:vAlign w:val="bottom"/>
            <w:tcBorders>
              <w:bottom w:val="single" w:sz="8" w:color="CCEEFF"/>
            </w:tcBorders>
          </w:tcPr>
          <w:p>
            <w:pPr>
              <w:spacing w:after="0"/>
              <w:rPr>
                <w:sz w:val="17"/>
                <w:szCs w:val="17"/>
                <w:color w:val="auto"/>
              </w:rPr>
            </w:pPr>
          </w:p>
        </w:tc>
        <w:tc>
          <w:tcPr>
            <w:tcW w:w="16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ind w:left="240"/>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auto"/>
            </w:tcBorders>
          </w:tcPr>
          <w:p>
            <w:pPr>
              <w:spacing w:after="0"/>
              <w:rPr>
                <w:sz w:val="17"/>
                <w:szCs w:val="17"/>
                <w:color w:val="auto"/>
              </w:rPr>
            </w:pPr>
          </w:p>
        </w:tc>
        <w:tc>
          <w:tcPr>
            <w:tcW w:w="14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rPr>
              <w:t>2019</w:t>
            </w:r>
          </w:p>
        </w:tc>
        <w:tc>
          <w:tcPr>
            <w:tcW w:w="24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12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294"/>
              <w:spacing w:after="0"/>
              <w:rPr>
                <w:sz w:val="20"/>
                <w:szCs w:val="20"/>
                <w:color w:val="auto"/>
              </w:rPr>
            </w:pPr>
            <w:r>
              <w:rPr>
                <w:rFonts w:ascii="Arial" w:cs="Arial" w:eastAsia="Arial" w:hAnsi="Arial"/>
                <w:sz w:val="14"/>
                <w:szCs w:val="14"/>
                <w:b w:val="1"/>
                <w:bCs w:val="1"/>
                <w:color w:val="auto"/>
              </w:rPr>
              <w:t>2020</w:t>
            </w:r>
          </w:p>
        </w:tc>
        <w:tc>
          <w:tcPr>
            <w:tcW w:w="60" w:type="dxa"/>
            <w:vAlign w:val="bottom"/>
            <w:tcBorders>
              <w:bottom w:val="single" w:sz="8" w:color="auto"/>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12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ind w:right="131"/>
              <w:spacing w:after="0"/>
              <w:rPr>
                <w:sz w:val="20"/>
                <w:szCs w:val="20"/>
                <w:color w:val="auto"/>
              </w:rPr>
            </w:pPr>
            <w:r>
              <w:rPr>
                <w:rFonts w:ascii="Arial" w:cs="Arial" w:eastAsia="Arial" w:hAnsi="Arial"/>
                <w:sz w:val="14"/>
                <w:szCs w:val="14"/>
                <w:b w:val="1"/>
                <w:bCs w:val="1"/>
                <w:color w:val="auto"/>
              </w:rPr>
              <w:t>2019</w:t>
            </w:r>
          </w:p>
        </w:tc>
        <w:tc>
          <w:tcPr>
            <w:tcW w:w="200" w:type="dxa"/>
            <w:vAlign w:val="bottom"/>
            <w:tcBorders>
              <w:bottom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r>
      <w:tr>
        <w:trPr>
          <w:trHeight w:val="290"/>
        </w:trPr>
        <w:tc>
          <w:tcPr>
            <w:tcW w:w="45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Net (loss) income per share - diluted</w:t>
            </w: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(0.16)</w:t>
            </w: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0.16</w:t>
            </w:r>
          </w:p>
        </w:tc>
        <w:tc>
          <w:tcPr>
            <w:tcW w:w="8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(0.09)</w:t>
            </w:r>
          </w:p>
        </w:tc>
        <w:tc>
          <w:tcPr>
            <w:tcW w:w="6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4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0.41</w:t>
            </w:r>
          </w:p>
        </w:tc>
        <w:tc>
          <w:tcPr>
            <w:tcW w:w="40" w:type="dxa"/>
            <w:vAlign w:val="bottom"/>
            <w:shd w:val="clear" w:color="auto" w:fill="CCEEFF"/>
          </w:tcPr>
          <w:p>
            <w:pPr>
              <w:spacing w:after="0"/>
              <w:rPr>
                <w:sz w:val="24"/>
                <w:szCs w:val="24"/>
                <w:color w:val="auto"/>
              </w:rPr>
            </w:pPr>
          </w:p>
        </w:tc>
      </w:tr>
      <w:tr>
        <w:trPr>
          <w:trHeight w:val="20"/>
        </w:trPr>
        <w:tc>
          <w:tcPr>
            <w:tcW w:w="60" w:type="dxa"/>
            <w:vAlign w:val="bottom"/>
            <w:tcBorders>
              <w:top w:val="single" w:sz="8" w:color="CCEEFF"/>
            </w:tcBorders>
          </w:tcPr>
          <w:p>
            <w:pPr>
              <w:spacing w:after="0" w:line="20" w:lineRule="exact"/>
              <w:rPr>
                <w:sz w:val="1"/>
                <w:szCs w:val="1"/>
                <w:color w:val="auto"/>
              </w:rPr>
            </w:pPr>
          </w:p>
        </w:tc>
        <w:tc>
          <w:tcPr>
            <w:tcW w:w="45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gridSpan w:val="2"/>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gridSpan w:val="2"/>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r>
      <w:tr>
        <w:trPr>
          <w:trHeight w:val="217"/>
        </w:trPr>
        <w:tc>
          <w:tcPr>
            <w:tcW w:w="60" w:type="dxa"/>
            <w:vAlign w:val="bottom"/>
          </w:tcPr>
          <w:p>
            <w:pPr>
              <w:spacing w:after="0"/>
              <w:rPr>
                <w:sz w:val="18"/>
                <w:szCs w:val="18"/>
                <w:color w:val="auto"/>
              </w:rPr>
            </w:pPr>
          </w:p>
        </w:tc>
        <w:tc>
          <w:tcPr>
            <w:tcW w:w="4500" w:type="dxa"/>
            <w:vAlign w:val="bottom"/>
          </w:tcPr>
          <w:p>
            <w:pPr>
              <w:ind w:left="140"/>
              <w:spacing w:after="0"/>
              <w:rPr>
                <w:sz w:val="20"/>
                <w:szCs w:val="20"/>
                <w:color w:val="auto"/>
              </w:rPr>
            </w:pPr>
            <w:r>
              <w:rPr>
                <w:rFonts w:ascii="Arial" w:cs="Arial" w:eastAsia="Arial" w:hAnsi="Arial"/>
                <w:sz w:val="18"/>
                <w:szCs w:val="18"/>
                <w:color w:val="auto"/>
              </w:rPr>
              <w:t>Stock and incentive plan compensation</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0.08</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0.08</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0.14</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gridSpan w:val="2"/>
          </w:tcPr>
          <w:p>
            <w:pPr>
              <w:jc w:val="right"/>
              <w:ind w:right="10"/>
              <w:spacing w:after="0"/>
              <w:rPr>
                <w:sz w:val="20"/>
                <w:szCs w:val="20"/>
                <w:color w:val="auto"/>
              </w:rPr>
            </w:pPr>
            <w:r>
              <w:rPr>
                <w:rFonts w:ascii="Arial" w:cs="Arial" w:eastAsia="Arial" w:hAnsi="Arial"/>
                <w:sz w:val="18"/>
                <w:szCs w:val="18"/>
                <w:color w:val="auto"/>
              </w:rPr>
              <w:t>0.15</w:t>
            </w:r>
          </w:p>
        </w:tc>
        <w:tc>
          <w:tcPr>
            <w:tcW w:w="40" w:type="dxa"/>
            <w:vAlign w:val="bottom"/>
          </w:tcPr>
          <w:p>
            <w:pPr>
              <w:spacing w:after="0"/>
              <w:rPr>
                <w:sz w:val="18"/>
                <w:szCs w:val="18"/>
                <w:color w:val="auto"/>
              </w:rPr>
            </w:pPr>
          </w:p>
        </w:tc>
      </w:tr>
      <w:tr>
        <w:trPr>
          <w:trHeight w:val="27"/>
        </w:trPr>
        <w:tc>
          <w:tcPr>
            <w:tcW w:w="60" w:type="dxa"/>
            <w:vAlign w:val="bottom"/>
          </w:tcPr>
          <w:p>
            <w:pPr>
              <w:spacing w:after="0"/>
              <w:rPr>
                <w:sz w:val="2"/>
                <w:szCs w:val="2"/>
                <w:color w:val="auto"/>
              </w:rPr>
            </w:pPr>
          </w:p>
        </w:tc>
        <w:tc>
          <w:tcPr>
            <w:tcW w:w="45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60" w:type="dxa"/>
            <w:vAlign w:val="bottom"/>
            <w:tcBorders>
              <w:bottom w:val="single" w:sz="8" w:color="CCEEFF"/>
            </w:tcBorders>
            <w:shd w:val="clear" w:color="auto" w:fill="CCEEFF"/>
          </w:tcPr>
          <w:p>
            <w:pPr>
              <w:spacing w:after="0"/>
              <w:rPr>
                <w:sz w:val="21"/>
                <w:szCs w:val="21"/>
                <w:color w:val="auto"/>
              </w:rPr>
            </w:pPr>
          </w:p>
        </w:tc>
        <w:tc>
          <w:tcPr>
            <w:tcW w:w="45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Amortization of acquired intangible assets</w:t>
            </w:r>
          </w:p>
        </w:tc>
        <w:tc>
          <w:tcPr>
            <w:tcW w:w="1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0.03</w:t>
            </w:r>
          </w:p>
        </w:tc>
        <w:tc>
          <w:tcPr>
            <w:tcW w:w="6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0.02</w:t>
            </w:r>
          </w:p>
        </w:tc>
        <w:tc>
          <w:tcPr>
            <w:tcW w:w="40" w:type="dxa"/>
            <w:vAlign w:val="bottom"/>
            <w:tcBorders>
              <w:bottom w:val="single" w:sz="8" w:color="CCEEFF"/>
            </w:tcBorders>
            <w:shd w:val="clear" w:color="auto" w:fill="CCEEFF"/>
          </w:tcPr>
          <w:p>
            <w:pPr>
              <w:spacing w:after="0"/>
              <w:rPr>
                <w:sz w:val="21"/>
                <w:szCs w:val="21"/>
                <w:color w:val="auto"/>
              </w:rPr>
            </w:pPr>
          </w:p>
        </w:tc>
      </w:tr>
      <w:tr>
        <w:trPr>
          <w:trHeight w:val="243"/>
        </w:trPr>
        <w:tc>
          <w:tcPr>
            <w:tcW w:w="60" w:type="dxa"/>
            <w:vAlign w:val="bottom"/>
          </w:tcPr>
          <w:p>
            <w:pPr>
              <w:spacing w:after="0"/>
              <w:rPr>
                <w:sz w:val="21"/>
                <w:szCs w:val="21"/>
                <w:color w:val="auto"/>
              </w:rPr>
            </w:pPr>
          </w:p>
        </w:tc>
        <w:tc>
          <w:tcPr>
            <w:tcW w:w="4500" w:type="dxa"/>
            <w:vAlign w:val="bottom"/>
          </w:tcPr>
          <w:p>
            <w:pPr>
              <w:ind w:left="140"/>
              <w:spacing w:after="0"/>
              <w:rPr>
                <w:sz w:val="20"/>
                <w:szCs w:val="20"/>
                <w:color w:val="auto"/>
              </w:rPr>
            </w:pPr>
            <w:r>
              <w:rPr>
                <w:rFonts w:ascii="Arial" w:cs="Arial" w:eastAsia="Arial" w:hAnsi="Arial"/>
                <w:sz w:val="18"/>
                <w:szCs w:val="18"/>
                <w:color w:val="auto"/>
              </w:rPr>
              <w:t>Non-recurring refinancing related fees</w:t>
            </w:r>
          </w:p>
        </w:tc>
        <w:tc>
          <w:tcPr>
            <w:tcW w:w="1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0.01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340" w:type="dxa"/>
            <w:vAlign w:val="bottom"/>
            <w:gridSpan w:val="3"/>
          </w:tcPr>
          <w:p>
            <w:pPr>
              <w:jc w:val="right"/>
              <w:ind w:right="16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0.01</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6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1"/>
                <w:szCs w:val="21"/>
                <w:color w:val="auto"/>
              </w:rPr>
            </w:pPr>
          </w:p>
        </w:tc>
      </w:tr>
      <w:tr>
        <w:trPr>
          <w:trHeight w:val="27"/>
        </w:trPr>
        <w:tc>
          <w:tcPr>
            <w:tcW w:w="60" w:type="dxa"/>
            <w:vAlign w:val="bottom"/>
          </w:tcPr>
          <w:p>
            <w:pPr>
              <w:spacing w:after="0"/>
              <w:rPr>
                <w:sz w:val="2"/>
                <w:szCs w:val="2"/>
                <w:color w:val="auto"/>
              </w:rPr>
            </w:pPr>
          </w:p>
        </w:tc>
        <w:tc>
          <w:tcPr>
            <w:tcW w:w="45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gridSpan w:val="2"/>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60" w:type="dxa"/>
            <w:vAlign w:val="bottom"/>
            <w:tcBorders>
              <w:bottom w:val="single" w:sz="8" w:color="CCEEFF"/>
            </w:tcBorders>
            <w:shd w:val="clear" w:color="auto" w:fill="CCEEFF"/>
          </w:tcPr>
          <w:p>
            <w:pPr>
              <w:spacing w:after="0"/>
              <w:rPr>
                <w:sz w:val="21"/>
                <w:szCs w:val="21"/>
                <w:color w:val="auto"/>
              </w:rPr>
            </w:pPr>
          </w:p>
        </w:tc>
        <w:tc>
          <w:tcPr>
            <w:tcW w:w="45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Extinguishment of debt</w:t>
            </w:r>
          </w:p>
        </w:tc>
        <w:tc>
          <w:tcPr>
            <w:tcW w:w="1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0.08</w:t>
            </w: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0.08</w:t>
            </w:r>
          </w:p>
        </w:tc>
        <w:tc>
          <w:tcPr>
            <w:tcW w:w="40" w:type="dxa"/>
            <w:vAlign w:val="bottom"/>
            <w:tcBorders>
              <w:bottom w:val="single" w:sz="8" w:color="CCEEFF"/>
            </w:tcBorders>
            <w:shd w:val="clear" w:color="auto" w:fill="CCEEFF"/>
          </w:tcPr>
          <w:p>
            <w:pPr>
              <w:spacing w:after="0"/>
              <w:rPr>
                <w:sz w:val="21"/>
                <w:szCs w:val="21"/>
                <w:color w:val="auto"/>
              </w:rPr>
            </w:pPr>
          </w:p>
        </w:tc>
      </w:tr>
      <w:tr>
        <w:trPr>
          <w:trHeight w:val="243"/>
        </w:trPr>
        <w:tc>
          <w:tcPr>
            <w:tcW w:w="60" w:type="dxa"/>
            <w:vAlign w:val="bottom"/>
          </w:tcPr>
          <w:p>
            <w:pPr>
              <w:spacing w:after="0"/>
              <w:rPr>
                <w:sz w:val="21"/>
                <w:szCs w:val="21"/>
                <w:color w:val="auto"/>
              </w:rPr>
            </w:pPr>
          </w:p>
        </w:tc>
        <w:tc>
          <w:tcPr>
            <w:tcW w:w="4500" w:type="dxa"/>
            <w:vAlign w:val="bottom"/>
          </w:tcPr>
          <w:p>
            <w:pPr>
              <w:ind w:left="140"/>
              <w:spacing w:after="0"/>
              <w:rPr>
                <w:sz w:val="20"/>
                <w:szCs w:val="20"/>
                <w:color w:val="auto"/>
              </w:rPr>
            </w:pPr>
            <w:r>
              <w:rPr>
                <w:rFonts w:ascii="Arial" w:cs="Arial" w:eastAsia="Arial" w:hAnsi="Arial"/>
                <w:sz w:val="18"/>
                <w:szCs w:val="18"/>
                <w:color w:val="auto"/>
              </w:rPr>
              <w:t>Strategic collaboration and license costs</w:t>
            </w:r>
          </w:p>
        </w:tc>
        <w:tc>
          <w:tcPr>
            <w:tcW w:w="1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0.01</w:t>
            </w: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8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60" w:type="dxa"/>
            <w:vAlign w:val="bottom"/>
            <w:gridSpan w:val="2"/>
          </w:tcPr>
          <w:p>
            <w:pPr>
              <w:jc w:val="right"/>
              <w:ind w:right="10"/>
              <w:spacing w:after="0"/>
              <w:rPr>
                <w:sz w:val="20"/>
                <w:szCs w:val="20"/>
                <w:color w:val="auto"/>
              </w:rPr>
            </w:pPr>
            <w:r>
              <w:rPr>
                <w:rFonts w:ascii="Arial" w:cs="Arial" w:eastAsia="Arial" w:hAnsi="Arial"/>
                <w:sz w:val="18"/>
                <w:szCs w:val="18"/>
                <w:color w:val="auto"/>
              </w:rPr>
              <w:t>0.01</w:t>
            </w:r>
          </w:p>
        </w:tc>
        <w:tc>
          <w:tcPr>
            <w:tcW w:w="40" w:type="dxa"/>
            <w:vAlign w:val="bottom"/>
          </w:tcPr>
          <w:p>
            <w:pPr>
              <w:spacing w:after="0"/>
              <w:rPr>
                <w:sz w:val="21"/>
                <w:szCs w:val="21"/>
                <w:color w:val="auto"/>
              </w:rPr>
            </w:pPr>
          </w:p>
        </w:tc>
      </w:tr>
      <w:tr>
        <w:trPr>
          <w:trHeight w:val="27"/>
        </w:trPr>
        <w:tc>
          <w:tcPr>
            <w:tcW w:w="60" w:type="dxa"/>
            <w:vAlign w:val="bottom"/>
          </w:tcPr>
          <w:p>
            <w:pPr>
              <w:spacing w:after="0"/>
              <w:rPr>
                <w:sz w:val="2"/>
                <w:szCs w:val="2"/>
                <w:color w:val="auto"/>
              </w:rPr>
            </w:pPr>
          </w:p>
        </w:tc>
        <w:tc>
          <w:tcPr>
            <w:tcW w:w="45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0" w:type="dxa"/>
            <w:vAlign w:val="bottom"/>
          </w:tcPr>
          <w:p>
            <w:pPr>
              <w:spacing w:after="0"/>
              <w:rPr>
                <w:sz w:val="2"/>
                <w:szCs w:val="2"/>
                <w:color w:val="auto"/>
              </w:rPr>
            </w:pPr>
          </w:p>
        </w:tc>
        <w:tc>
          <w:tcPr>
            <w:tcW w:w="320" w:type="dxa"/>
            <w:vAlign w:val="bottom"/>
            <w:gridSpan w:val="2"/>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60" w:type="dxa"/>
            <w:vAlign w:val="bottom"/>
            <w:tcBorders>
              <w:bottom w:val="single" w:sz="8" w:color="CCEEFF"/>
            </w:tcBorders>
            <w:shd w:val="clear" w:color="auto" w:fill="CCEEFF"/>
          </w:tcPr>
          <w:p>
            <w:pPr>
              <w:spacing w:after="0"/>
              <w:rPr>
                <w:sz w:val="21"/>
                <w:szCs w:val="21"/>
                <w:color w:val="auto"/>
              </w:rPr>
            </w:pPr>
          </w:p>
        </w:tc>
        <w:tc>
          <w:tcPr>
            <w:tcW w:w="45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Integration costs</w:t>
            </w:r>
          </w:p>
        </w:tc>
        <w:tc>
          <w:tcPr>
            <w:tcW w:w="1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0.09</w:t>
            </w:r>
          </w:p>
        </w:tc>
        <w:tc>
          <w:tcPr>
            <w:tcW w:w="6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40" w:type="dxa"/>
            <w:vAlign w:val="bottom"/>
            <w:tcBorders>
              <w:bottom w:val="single" w:sz="8" w:color="CCEEFF"/>
            </w:tcBorders>
            <w:shd w:val="clear" w:color="auto" w:fill="CCEEFF"/>
          </w:tcPr>
          <w:p>
            <w:pPr>
              <w:spacing w:after="0"/>
              <w:rPr>
                <w:sz w:val="21"/>
                <w:szCs w:val="21"/>
                <w:color w:val="auto"/>
              </w:rPr>
            </w:pPr>
          </w:p>
        </w:tc>
      </w:tr>
      <w:tr>
        <w:trPr>
          <w:trHeight w:val="243"/>
        </w:trPr>
        <w:tc>
          <w:tcPr>
            <w:tcW w:w="60" w:type="dxa"/>
            <w:vAlign w:val="bottom"/>
          </w:tcPr>
          <w:p>
            <w:pPr>
              <w:spacing w:after="0"/>
              <w:rPr>
                <w:sz w:val="21"/>
                <w:szCs w:val="21"/>
                <w:color w:val="auto"/>
              </w:rPr>
            </w:pPr>
          </w:p>
        </w:tc>
        <w:tc>
          <w:tcPr>
            <w:tcW w:w="4500" w:type="dxa"/>
            <w:vAlign w:val="bottom"/>
          </w:tcPr>
          <w:p>
            <w:pPr>
              <w:ind w:left="140"/>
              <w:spacing w:after="0"/>
              <w:rPr>
                <w:sz w:val="20"/>
                <w:szCs w:val="20"/>
                <w:color w:val="auto"/>
              </w:rPr>
            </w:pPr>
            <w:r>
              <w:rPr>
                <w:rFonts w:ascii="Arial" w:cs="Arial" w:eastAsia="Arial" w:hAnsi="Arial"/>
                <w:sz w:val="18"/>
                <w:szCs w:val="18"/>
                <w:color w:val="auto"/>
              </w:rPr>
              <w:t>Acquisition-related costs</w:t>
            </w:r>
          </w:p>
        </w:tc>
        <w:tc>
          <w:tcPr>
            <w:tcW w:w="1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0.18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340" w:type="dxa"/>
            <w:vAlign w:val="bottom"/>
            <w:gridSpan w:val="3"/>
          </w:tcPr>
          <w:p>
            <w:pPr>
              <w:jc w:val="right"/>
              <w:ind w:right="16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0.22</w:t>
            </w: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6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1"/>
                <w:szCs w:val="21"/>
                <w:color w:val="auto"/>
              </w:rPr>
            </w:pPr>
          </w:p>
        </w:tc>
      </w:tr>
      <w:tr>
        <w:trPr>
          <w:trHeight w:val="27"/>
        </w:trPr>
        <w:tc>
          <w:tcPr>
            <w:tcW w:w="60" w:type="dxa"/>
            <w:vAlign w:val="bottom"/>
          </w:tcPr>
          <w:p>
            <w:pPr>
              <w:spacing w:after="0"/>
              <w:rPr>
                <w:sz w:val="2"/>
                <w:szCs w:val="2"/>
                <w:color w:val="auto"/>
              </w:rPr>
            </w:pPr>
          </w:p>
        </w:tc>
        <w:tc>
          <w:tcPr>
            <w:tcW w:w="45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0" w:type="dxa"/>
            <w:vAlign w:val="bottom"/>
          </w:tcPr>
          <w:p>
            <w:pPr>
              <w:spacing w:after="0"/>
              <w:rPr>
                <w:sz w:val="2"/>
                <w:szCs w:val="2"/>
                <w:color w:val="auto"/>
              </w:rPr>
            </w:pPr>
          </w:p>
        </w:tc>
        <w:tc>
          <w:tcPr>
            <w:tcW w:w="320" w:type="dxa"/>
            <w:vAlign w:val="bottom"/>
            <w:gridSpan w:val="2"/>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40" w:type="dxa"/>
            <w:vAlign w:val="bottom"/>
          </w:tcPr>
          <w:p>
            <w:pPr>
              <w:spacing w:after="0"/>
              <w:rPr>
                <w:sz w:val="2"/>
                <w:szCs w:val="2"/>
                <w:color w:val="auto"/>
              </w:rPr>
            </w:pPr>
          </w:p>
        </w:tc>
      </w:tr>
      <w:tr>
        <w:trPr>
          <w:trHeight w:val="250"/>
        </w:trPr>
        <w:tc>
          <w:tcPr>
            <w:tcW w:w="60" w:type="dxa"/>
            <w:vAlign w:val="bottom"/>
            <w:tcBorders>
              <w:bottom w:val="single" w:sz="8" w:color="CCEEFF"/>
            </w:tcBorders>
            <w:shd w:val="clear" w:color="auto" w:fill="CCEEFF"/>
          </w:tcPr>
          <w:p>
            <w:pPr>
              <w:spacing w:after="0"/>
              <w:rPr>
                <w:sz w:val="21"/>
                <w:szCs w:val="21"/>
                <w:color w:val="auto"/>
              </w:rPr>
            </w:pPr>
          </w:p>
        </w:tc>
        <w:tc>
          <w:tcPr>
            <w:tcW w:w="45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Impairment of long-lived assets</w:t>
            </w:r>
          </w:p>
        </w:tc>
        <w:tc>
          <w:tcPr>
            <w:tcW w:w="16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0.18</w:t>
            </w:r>
          </w:p>
        </w:tc>
        <w:tc>
          <w:tcPr>
            <w:tcW w:w="6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40" w:type="dxa"/>
            <w:vAlign w:val="bottom"/>
            <w:tcBorders>
              <w:bottom w:val="single" w:sz="8" w:color="CCEEFF"/>
            </w:tcBorders>
            <w:shd w:val="clear" w:color="auto" w:fill="CCEEFF"/>
          </w:tcPr>
          <w:p>
            <w:pPr>
              <w:spacing w:after="0"/>
              <w:rPr>
                <w:sz w:val="21"/>
                <w:szCs w:val="21"/>
                <w:color w:val="auto"/>
              </w:rPr>
            </w:pPr>
          </w:p>
        </w:tc>
      </w:tr>
      <w:tr>
        <w:trPr>
          <w:trHeight w:val="270"/>
        </w:trPr>
        <w:tc>
          <w:tcPr>
            <w:tcW w:w="60" w:type="dxa"/>
            <w:vAlign w:val="bottom"/>
            <w:tcBorders>
              <w:bottom w:val="single" w:sz="8" w:color="CCEEFF"/>
            </w:tcBorders>
          </w:tcPr>
          <w:p>
            <w:pPr>
              <w:spacing w:after="0"/>
              <w:rPr>
                <w:sz w:val="23"/>
                <w:szCs w:val="23"/>
                <w:color w:val="auto"/>
              </w:rPr>
            </w:pPr>
          </w:p>
        </w:tc>
        <w:tc>
          <w:tcPr>
            <w:tcW w:w="4500" w:type="dxa"/>
            <w:vAlign w:val="bottom"/>
            <w:tcBorders>
              <w:bottom w:val="single" w:sz="8" w:color="CCEEFF"/>
            </w:tcBorders>
          </w:tcPr>
          <w:p>
            <w:pPr>
              <w:ind w:left="160"/>
              <w:spacing w:after="0"/>
              <w:rPr>
                <w:sz w:val="20"/>
                <w:szCs w:val="20"/>
                <w:color w:val="auto"/>
              </w:rPr>
            </w:pPr>
            <w:r>
              <w:rPr>
                <w:rFonts w:ascii="Arial" w:cs="Arial" w:eastAsia="Arial" w:hAnsi="Arial"/>
                <w:sz w:val="18"/>
                <w:szCs w:val="18"/>
                <w:color w:val="auto"/>
              </w:rPr>
              <w:t>Income tax effect of non-GAAP adjustments</w:t>
            </w:r>
            <w:r>
              <w:rPr>
                <w:rFonts w:ascii="Arial" w:cs="Arial" w:eastAsia="Arial" w:hAnsi="Arial"/>
                <w:sz w:val="23"/>
                <w:szCs w:val="23"/>
                <w:color w:val="auto"/>
                <w:vertAlign w:val="superscript"/>
              </w:rPr>
              <w:t>(a)</w:t>
            </w:r>
          </w:p>
        </w:tc>
        <w:tc>
          <w:tcPr>
            <w:tcW w:w="160" w:type="dxa"/>
            <w:vAlign w:val="bottom"/>
            <w:tcBorders>
              <w:bottom w:val="single" w:sz="8" w:color="CCEEFF"/>
            </w:tcBorders>
          </w:tcPr>
          <w:p>
            <w:pPr>
              <w:spacing w:after="0"/>
              <w:rPr>
                <w:sz w:val="23"/>
                <w:szCs w:val="23"/>
                <w:color w:val="auto"/>
              </w:rPr>
            </w:pPr>
          </w:p>
        </w:tc>
        <w:tc>
          <w:tcPr>
            <w:tcW w:w="200" w:type="dxa"/>
            <w:vAlign w:val="bottom"/>
            <w:tcBorders>
              <w:bottom w:val="single" w:sz="8" w:color="auto"/>
            </w:tcBorders>
          </w:tcPr>
          <w:p>
            <w:pPr>
              <w:spacing w:after="0"/>
              <w:rPr>
                <w:sz w:val="23"/>
                <w:szCs w:val="23"/>
                <w:color w:val="auto"/>
              </w:rPr>
            </w:pPr>
          </w:p>
        </w:tc>
        <w:tc>
          <w:tcPr>
            <w:tcW w:w="980" w:type="dxa"/>
            <w:vAlign w:val="bottom"/>
            <w:tcBorders>
              <w:bottom w:val="single" w:sz="8" w:color="auto"/>
            </w:tcBorders>
            <w:gridSpan w:val="2"/>
          </w:tcPr>
          <w:p>
            <w:pPr>
              <w:jc w:val="right"/>
              <w:ind w:right="100"/>
              <w:spacing w:after="0"/>
              <w:rPr>
                <w:sz w:val="20"/>
                <w:szCs w:val="20"/>
                <w:color w:val="auto"/>
              </w:rPr>
            </w:pPr>
            <w:r>
              <w:rPr>
                <w:rFonts w:ascii="Arial" w:cs="Arial" w:eastAsia="Arial" w:hAnsi="Arial"/>
                <w:sz w:val="18"/>
                <w:szCs w:val="18"/>
                <w:color w:val="auto"/>
              </w:rPr>
              <w:t>(0.06)</w:t>
            </w:r>
          </w:p>
        </w:tc>
        <w:tc>
          <w:tcPr>
            <w:tcW w:w="140" w:type="dxa"/>
            <w:vAlign w:val="bottom"/>
            <w:tcBorders>
              <w:bottom w:val="single" w:sz="8" w:color="CCEEFF"/>
            </w:tcBorders>
          </w:tcPr>
          <w:p>
            <w:pPr>
              <w:spacing w:after="0"/>
              <w:rPr>
                <w:sz w:val="23"/>
                <w:szCs w:val="23"/>
                <w:color w:val="auto"/>
              </w:rPr>
            </w:pPr>
          </w:p>
        </w:tc>
        <w:tc>
          <w:tcPr>
            <w:tcW w:w="260" w:type="dxa"/>
            <w:vAlign w:val="bottom"/>
            <w:tcBorders>
              <w:bottom w:val="single" w:sz="8" w:color="auto"/>
            </w:tcBorders>
          </w:tcPr>
          <w:p>
            <w:pPr>
              <w:spacing w:after="0"/>
              <w:rPr>
                <w:sz w:val="23"/>
                <w:szCs w:val="23"/>
                <w:color w:val="auto"/>
              </w:rPr>
            </w:pPr>
          </w:p>
        </w:tc>
        <w:tc>
          <w:tcPr>
            <w:tcW w:w="8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(0.07)</w:t>
            </w:r>
          </w:p>
        </w:tc>
        <w:tc>
          <w:tcPr>
            <w:tcW w:w="80" w:type="dxa"/>
            <w:vAlign w:val="bottom"/>
            <w:tcBorders>
              <w:bottom w:val="single" w:sz="8" w:color="auto"/>
            </w:tcBorders>
          </w:tcPr>
          <w:p>
            <w:pPr>
              <w:spacing w:after="0"/>
              <w:rPr>
                <w:sz w:val="23"/>
                <w:szCs w:val="23"/>
                <w:color w:val="auto"/>
              </w:rPr>
            </w:pPr>
          </w:p>
        </w:tc>
        <w:tc>
          <w:tcPr>
            <w:tcW w:w="20" w:type="dxa"/>
            <w:vAlign w:val="bottom"/>
            <w:tcBorders>
              <w:bottom w:val="single" w:sz="8" w:color="CCEEFF"/>
            </w:tcBorders>
          </w:tcPr>
          <w:p>
            <w:pPr>
              <w:spacing w:after="0"/>
              <w:rPr>
                <w:sz w:val="23"/>
                <w:szCs w:val="23"/>
                <w:color w:val="auto"/>
              </w:rPr>
            </w:pPr>
          </w:p>
        </w:tc>
        <w:tc>
          <w:tcPr>
            <w:tcW w:w="120" w:type="dxa"/>
            <w:vAlign w:val="bottom"/>
            <w:tcBorders>
              <w:bottom w:val="single" w:sz="8" w:color="CCEEFF"/>
            </w:tcBorders>
          </w:tcPr>
          <w:p>
            <w:pPr>
              <w:spacing w:after="0"/>
              <w:rPr>
                <w:sz w:val="23"/>
                <w:szCs w:val="23"/>
                <w:color w:val="auto"/>
              </w:rPr>
            </w:pPr>
          </w:p>
        </w:tc>
        <w:tc>
          <w:tcPr>
            <w:tcW w:w="220" w:type="dxa"/>
            <w:vAlign w:val="bottom"/>
            <w:tcBorders>
              <w:bottom w:val="single" w:sz="8" w:color="auto"/>
            </w:tcBorders>
          </w:tcPr>
          <w:p>
            <w:pPr>
              <w:spacing w:after="0"/>
              <w:rPr>
                <w:sz w:val="23"/>
                <w:szCs w:val="23"/>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(0.13)</w:t>
            </w:r>
          </w:p>
        </w:tc>
        <w:tc>
          <w:tcPr>
            <w:tcW w:w="60" w:type="dxa"/>
            <w:vAlign w:val="bottom"/>
            <w:tcBorders>
              <w:bottom w:val="single" w:sz="8" w:color="auto"/>
            </w:tcBorders>
          </w:tcPr>
          <w:p>
            <w:pPr>
              <w:spacing w:after="0"/>
              <w:rPr>
                <w:sz w:val="23"/>
                <w:szCs w:val="23"/>
                <w:color w:val="auto"/>
              </w:rPr>
            </w:pPr>
          </w:p>
        </w:tc>
        <w:tc>
          <w:tcPr>
            <w:tcW w:w="20" w:type="dxa"/>
            <w:vAlign w:val="bottom"/>
            <w:tcBorders>
              <w:bottom w:val="single" w:sz="8" w:color="CCEEFF"/>
            </w:tcBorders>
          </w:tcPr>
          <w:p>
            <w:pPr>
              <w:spacing w:after="0"/>
              <w:rPr>
                <w:sz w:val="23"/>
                <w:szCs w:val="23"/>
                <w:color w:val="auto"/>
              </w:rPr>
            </w:pPr>
          </w:p>
        </w:tc>
        <w:tc>
          <w:tcPr>
            <w:tcW w:w="120" w:type="dxa"/>
            <w:vAlign w:val="bottom"/>
            <w:tcBorders>
              <w:bottom w:val="single" w:sz="8" w:color="CCEEFF"/>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(0.12)</w:t>
            </w:r>
          </w:p>
        </w:tc>
        <w:tc>
          <w:tcPr>
            <w:tcW w:w="40" w:type="dxa"/>
            <w:vAlign w:val="bottom"/>
            <w:tcBorders>
              <w:bottom w:val="single" w:sz="8" w:color="auto"/>
            </w:tcBorders>
          </w:tcPr>
          <w:p>
            <w:pPr>
              <w:spacing w:after="0"/>
              <w:rPr>
                <w:sz w:val="23"/>
                <w:szCs w:val="23"/>
                <w:color w:val="auto"/>
              </w:rPr>
            </w:pPr>
          </w:p>
        </w:tc>
      </w:tr>
      <w:tr>
        <w:trPr>
          <w:trHeight w:val="283"/>
        </w:trPr>
        <w:tc>
          <w:tcPr>
            <w:tcW w:w="45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Adjusted net income per share - diluted</w:t>
            </w: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0.10</w:t>
            </w:r>
          </w:p>
        </w:tc>
        <w:tc>
          <w:tcPr>
            <w:tcW w:w="100" w:type="dxa"/>
            <w:vAlign w:val="bottom"/>
            <w:shd w:val="clear" w:color="auto" w:fill="CCEEFF"/>
          </w:tcPr>
          <w:p>
            <w:pPr>
              <w:spacing w:after="0"/>
              <w:rPr>
                <w:sz w:val="24"/>
                <w:szCs w:val="24"/>
                <w:color w:val="auto"/>
              </w:rPr>
            </w:pP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0.27</w:t>
            </w:r>
          </w:p>
        </w:tc>
        <w:tc>
          <w:tcPr>
            <w:tcW w:w="8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0.45</w:t>
            </w:r>
          </w:p>
        </w:tc>
        <w:tc>
          <w:tcPr>
            <w:tcW w:w="6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4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0.55</w:t>
            </w:r>
          </w:p>
        </w:tc>
        <w:tc>
          <w:tcPr>
            <w:tcW w:w="40" w:type="dxa"/>
            <w:vAlign w:val="bottom"/>
            <w:shd w:val="clear" w:color="auto" w:fill="CCEEFF"/>
          </w:tcPr>
          <w:p>
            <w:pPr>
              <w:spacing w:after="0"/>
              <w:rPr>
                <w:sz w:val="24"/>
                <w:szCs w:val="24"/>
                <w:color w:val="auto"/>
              </w:rPr>
            </w:pPr>
          </w:p>
        </w:tc>
      </w:tr>
      <w:tr>
        <w:trPr>
          <w:trHeight w:val="20"/>
        </w:trPr>
        <w:tc>
          <w:tcPr>
            <w:tcW w:w="4560" w:type="dxa"/>
            <w:vAlign w:val="bottom"/>
            <w:tcBorders>
              <w:top w:val="single" w:sz="8" w:color="CCEEFF"/>
            </w:tcBorders>
            <w:gridSpan w:val="2"/>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gridSpan w:val="2"/>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gridSpan w:val="2"/>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r>
      <w:tr>
        <w:trPr>
          <w:trHeight w:val="326"/>
        </w:trPr>
        <w:tc>
          <w:tcPr>
            <w:tcW w:w="4560" w:type="dxa"/>
            <w:vAlign w:val="bottom"/>
            <w:gridSpan w:val="2"/>
          </w:tcPr>
          <w:p>
            <w:pPr>
              <w:ind w:left="20"/>
              <w:spacing w:after="0"/>
              <w:rPr>
                <w:sz w:val="20"/>
                <w:szCs w:val="20"/>
                <w:color w:val="auto"/>
              </w:rPr>
            </w:pPr>
            <w:r>
              <w:rPr>
                <w:rFonts w:ascii="Arial" w:cs="Arial" w:eastAsia="Arial" w:hAnsi="Arial"/>
                <w:sz w:val="18"/>
                <w:szCs w:val="18"/>
                <w:color w:val="auto"/>
                <w:w w:val="96"/>
              </w:rPr>
              <w:t>Weighted-average common shares outstanding - diluted</w:t>
            </w:r>
            <w:r>
              <w:rPr>
                <w:rFonts w:ascii="Arial" w:cs="Arial" w:eastAsia="Arial" w:hAnsi="Arial"/>
                <w:sz w:val="23"/>
                <w:szCs w:val="23"/>
                <w:color w:val="auto"/>
                <w:w w:val="96"/>
                <w:vertAlign w:val="superscript"/>
              </w:rPr>
              <w:t>(b)</w:t>
            </w: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43,303</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40,239</w:t>
            </w: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41,702</w:t>
            </w: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60" w:type="dxa"/>
            <w:vAlign w:val="bottom"/>
            <w:gridSpan w:val="2"/>
          </w:tcPr>
          <w:p>
            <w:pPr>
              <w:jc w:val="right"/>
              <w:ind w:right="10"/>
              <w:spacing w:after="0"/>
              <w:rPr>
                <w:sz w:val="20"/>
                <w:szCs w:val="20"/>
                <w:color w:val="auto"/>
              </w:rPr>
            </w:pPr>
            <w:r>
              <w:rPr>
                <w:rFonts w:ascii="Arial" w:cs="Arial" w:eastAsia="Arial" w:hAnsi="Arial"/>
                <w:sz w:val="18"/>
                <w:szCs w:val="18"/>
                <w:color w:val="auto"/>
              </w:rPr>
              <w:t>40,064</w:t>
            </w:r>
          </w:p>
        </w:tc>
        <w:tc>
          <w:tcPr>
            <w:tcW w:w="40" w:type="dxa"/>
            <w:vAlign w:val="bottom"/>
          </w:tcPr>
          <w:p>
            <w:pPr>
              <w:spacing w:after="0"/>
              <w:rPr>
                <w:sz w:val="24"/>
                <w:szCs w:val="24"/>
                <w:color w:val="auto"/>
              </w:rPr>
            </w:pPr>
          </w:p>
        </w:tc>
      </w:tr>
    </w:tbl>
    <w:p>
      <w:pPr>
        <w:spacing w:after="0" w:line="11" w:lineRule="exact"/>
        <w:rPr>
          <w:sz w:val="20"/>
          <w:szCs w:val="20"/>
          <w:color w:val="auto"/>
        </w:rPr>
      </w:pPr>
    </w:p>
    <w:p>
      <w:pPr>
        <w:ind w:left="644" w:hanging="644"/>
        <w:spacing w:after="0" w:line="277" w:lineRule="auto"/>
        <w:tabs>
          <w:tab w:leader="none" w:pos="641"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income tax effect of the adjustments between GAAP net income (loss) and non-GAAP adjusted net income takes into account the tax treatment and related tax rate that apply to each adjustment in the applicable tax jurisdiction.</w:t>
      </w:r>
    </w:p>
    <w:p>
      <w:pPr>
        <w:spacing w:after="0" w:line="62" w:lineRule="exact"/>
        <w:rPr>
          <w:rFonts w:ascii="Arial" w:cs="Arial" w:eastAsia="Arial" w:hAnsi="Arial"/>
          <w:sz w:val="18"/>
          <w:szCs w:val="18"/>
          <w:color w:val="auto"/>
        </w:rPr>
      </w:pPr>
    </w:p>
    <w:p>
      <w:pPr>
        <w:ind w:left="644" w:hanging="644"/>
        <w:spacing w:after="0"/>
        <w:tabs>
          <w:tab w:leader="none" w:pos="644" w:val="left"/>
        </w:tabs>
        <w:numPr>
          <w:ilvl w:val="0"/>
          <w:numId w:val="4"/>
        </w:numPr>
        <w:rPr>
          <w:rFonts w:ascii="Arial" w:cs="Arial" w:eastAsia="Arial" w:hAnsi="Arial"/>
          <w:sz w:val="18"/>
          <w:szCs w:val="18"/>
          <w:color w:val="auto"/>
        </w:rPr>
      </w:pPr>
      <w:r>
        <w:rPr>
          <w:rFonts w:ascii="Arial" w:cs="Arial" w:eastAsia="Arial" w:hAnsi="Arial"/>
          <w:sz w:val="18"/>
          <w:szCs w:val="18"/>
          <w:color w:val="auto"/>
        </w:rPr>
        <w:t>Diluted shares may differ for non-GAAP measures as compared to GAAP due to a GAAP net loss position.</w:t>
      </w:r>
    </w:p>
    <w:p>
      <w:pPr>
        <w:spacing w:after="0" w:line="225" w:lineRule="exact"/>
        <w:rPr>
          <w:sz w:val="20"/>
          <w:szCs w:val="20"/>
          <w:color w:val="auto"/>
        </w:rPr>
      </w:pPr>
    </w:p>
    <w:p>
      <w:pPr>
        <w:ind w:left="4564"/>
        <w:spacing w:after="0"/>
        <w:rPr>
          <w:sz w:val="20"/>
          <w:szCs w:val="20"/>
          <w:color w:val="auto"/>
        </w:rPr>
      </w:pPr>
      <w:r>
        <w:rPr>
          <w:rFonts w:ascii="Arial" w:cs="Arial" w:eastAsia="Arial" w:hAnsi="Arial"/>
          <w:sz w:val="18"/>
          <w:szCs w:val="18"/>
          <w:color w:val="auto"/>
        </w:rPr>
        <w:t>Page 5 of 8</w:t>
      </w:r>
    </w:p>
    <w:p>
      <w:pPr>
        <w:sectPr>
          <w:pgSz w:w="11900" w:h="16838" w:orient="portrait"/>
          <w:cols w:equalWidth="0" w:num="1">
            <w:col w:w="10564"/>
          </w:cols>
          <w:pgMar w:left="976" w:top="715" w:right="359" w:bottom="1440" w:gutter="0" w:footer="0" w:header="0"/>
        </w:sectPr>
      </w:pPr>
    </w:p>
    <w:bookmarkStart w:id="8" w:name="page9"/>
    <w:bookmarkEnd w:id="8"/>
    <w:p>
      <w:pPr>
        <w:jc w:val="center"/>
        <w:ind w:right="20"/>
        <w:spacing w:after="0"/>
        <w:rPr>
          <w:sz w:val="20"/>
          <w:szCs w:val="20"/>
          <w:color w:val="auto"/>
        </w:rPr>
      </w:pPr>
      <w:r>
        <w:rPr>
          <w:rFonts w:ascii="Arial" w:cs="Arial" w:eastAsia="Arial" w:hAnsi="Arial"/>
          <w:sz w:val="18"/>
          <w:szCs w:val="18"/>
          <w:b w:val="1"/>
          <w:bCs w:val="1"/>
          <w:color w:val="auto"/>
        </w:rPr>
        <w:t>Lantheus Holdings, Inc.</w:t>
      </w:r>
    </w:p>
    <w:p>
      <w:pPr>
        <w:spacing w:after="0" w:line="63"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Reconciliation of Free Cash Flow</w:t>
      </w:r>
    </w:p>
    <w:p>
      <w:pPr>
        <w:spacing w:after="0" w:line="6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(in thousands – unaudited)</w:t>
      </w: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3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520" w:type="dxa"/>
            <w:vAlign w:val="bottom"/>
            <w:gridSpan w:val="5"/>
          </w:tcPr>
          <w:p>
            <w:pPr>
              <w:ind w:left="360"/>
              <w:spacing w:after="0"/>
              <w:rPr>
                <w:sz w:val="20"/>
                <w:szCs w:val="20"/>
                <w:color w:val="auto"/>
              </w:rPr>
            </w:pPr>
            <w:r>
              <w:rPr>
                <w:rFonts w:ascii="Arial" w:cs="Arial" w:eastAsia="Arial" w:hAnsi="Arial"/>
                <w:sz w:val="14"/>
                <w:szCs w:val="14"/>
                <w:b w:val="1"/>
                <w:bCs w:val="1"/>
                <w:color w:val="auto"/>
              </w:rPr>
              <w:t>Three Months Ended</w:t>
            </w:r>
          </w:p>
        </w:tc>
        <w:tc>
          <w:tcPr>
            <w:tcW w:w="300" w:type="dxa"/>
            <w:vAlign w:val="bottom"/>
          </w:tcPr>
          <w:p>
            <w:pPr>
              <w:spacing w:after="0"/>
              <w:rPr>
                <w:sz w:val="14"/>
                <w:szCs w:val="14"/>
                <w:color w:val="auto"/>
              </w:rPr>
            </w:pPr>
          </w:p>
        </w:tc>
        <w:tc>
          <w:tcPr>
            <w:tcW w:w="1620" w:type="dxa"/>
            <w:vAlign w:val="bottom"/>
            <w:gridSpan w:val="3"/>
          </w:tcPr>
          <w:p>
            <w:pPr>
              <w:jc w:val="right"/>
              <w:spacing w:after="0"/>
              <w:rPr>
                <w:sz w:val="20"/>
                <w:szCs w:val="20"/>
                <w:color w:val="auto"/>
              </w:rPr>
            </w:pPr>
            <w:r>
              <w:rPr>
                <w:rFonts w:ascii="Arial" w:cs="Arial" w:eastAsia="Arial" w:hAnsi="Arial"/>
                <w:sz w:val="14"/>
                <w:szCs w:val="14"/>
                <w:b w:val="1"/>
                <w:bCs w:val="1"/>
                <w:color w:val="auto"/>
              </w:rPr>
              <w:t>Six Months Ended</w:t>
            </w:r>
          </w:p>
        </w:tc>
        <w:tc>
          <w:tcPr>
            <w:tcW w:w="820" w:type="dxa"/>
            <w:vAlign w:val="bottom"/>
          </w:tcPr>
          <w:p>
            <w:pPr>
              <w:spacing w:after="0"/>
              <w:rPr>
                <w:sz w:val="14"/>
                <w:szCs w:val="14"/>
                <w:color w:val="auto"/>
              </w:rPr>
            </w:pPr>
          </w:p>
        </w:tc>
      </w:tr>
      <w:tr>
        <w:trPr>
          <w:trHeight w:val="192"/>
        </w:trPr>
        <w:tc>
          <w:tcPr>
            <w:tcW w:w="436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3"/>
          </w:tcPr>
          <w:p>
            <w:pPr>
              <w:ind w:left="780"/>
              <w:spacing w:after="0"/>
              <w:rPr>
                <w:sz w:val="20"/>
                <w:szCs w:val="20"/>
                <w:color w:val="auto"/>
              </w:rPr>
            </w:pPr>
            <w:r>
              <w:rPr>
                <w:rFonts w:ascii="Arial" w:cs="Arial" w:eastAsia="Arial" w:hAnsi="Arial"/>
                <w:sz w:val="14"/>
                <w:szCs w:val="14"/>
                <w:b w:val="1"/>
                <w:bCs w:val="1"/>
                <w:color w:val="auto"/>
              </w:rPr>
              <w:t>June 30,</w:t>
            </w:r>
          </w:p>
        </w:tc>
        <w:tc>
          <w:tcPr>
            <w:tcW w:w="940" w:type="dxa"/>
            <w:vAlign w:val="bottom"/>
            <w:tcBorders>
              <w:bottom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3"/>
          </w:tcPr>
          <w:p>
            <w:pPr>
              <w:jc w:val="right"/>
              <w:ind w:right="210"/>
              <w:spacing w:after="0"/>
              <w:rPr>
                <w:sz w:val="20"/>
                <w:szCs w:val="20"/>
                <w:color w:val="auto"/>
              </w:rPr>
            </w:pPr>
            <w:r>
              <w:rPr>
                <w:rFonts w:ascii="Arial" w:cs="Arial" w:eastAsia="Arial" w:hAnsi="Arial"/>
                <w:sz w:val="14"/>
                <w:szCs w:val="14"/>
                <w:b w:val="1"/>
                <w:bCs w:val="1"/>
                <w:color w:val="auto"/>
              </w:rPr>
              <w:t>June 30,</w:t>
            </w:r>
          </w:p>
        </w:tc>
        <w:tc>
          <w:tcPr>
            <w:tcW w:w="820" w:type="dxa"/>
            <w:vAlign w:val="bottom"/>
            <w:tcBorders>
              <w:bottom w:val="single" w:sz="8" w:color="auto"/>
            </w:tcBorders>
          </w:tcPr>
          <w:p>
            <w:pPr>
              <w:spacing w:after="0"/>
              <w:rPr>
                <w:sz w:val="16"/>
                <w:szCs w:val="16"/>
                <w:color w:val="auto"/>
              </w:rPr>
            </w:pPr>
          </w:p>
        </w:tc>
      </w:tr>
      <w:tr>
        <w:trPr>
          <w:trHeight w:val="196"/>
        </w:trPr>
        <w:tc>
          <w:tcPr>
            <w:tcW w:w="436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ind w:left="200"/>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415"/>
              <w:spacing w:after="0"/>
              <w:rPr>
                <w:sz w:val="20"/>
                <w:szCs w:val="20"/>
                <w:color w:val="auto"/>
              </w:rPr>
            </w:pPr>
            <w:r>
              <w:rPr>
                <w:rFonts w:ascii="Arial" w:cs="Arial" w:eastAsia="Arial" w:hAnsi="Arial"/>
                <w:sz w:val="14"/>
                <w:szCs w:val="14"/>
                <w:b w:val="1"/>
                <w:bCs w:val="1"/>
                <w:color w:val="auto"/>
              </w:rPr>
              <w:t>2019</w:t>
            </w:r>
          </w:p>
        </w:tc>
        <w:tc>
          <w:tcPr>
            <w:tcW w:w="14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419"/>
              <w:spacing w:after="0"/>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CCEEFF"/>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435"/>
              <w:spacing w:after="0"/>
              <w:rPr>
                <w:sz w:val="20"/>
                <w:szCs w:val="20"/>
                <w:color w:val="auto"/>
              </w:rPr>
            </w:pPr>
            <w:r>
              <w:rPr>
                <w:rFonts w:ascii="Arial" w:cs="Arial" w:eastAsia="Arial" w:hAnsi="Arial"/>
                <w:sz w:val="14"/>
                <w:szCs w:val="14"/>
                <w:b w:val="1"/>
                <w:bCs w:val="1"/>
                <w:color w:val="auto"/>
                <w:w w:val="89"/>
              </w:rPr>
              <w:t>2019</w:t>
            </w:r>
          </w:p>
        </w:tc>
      </w:tr>
      <w:tr>
        <w:trPr>
          <w:trHeight w:val="250"/>
        </w:trPr>
        <w:tc>
          <w:tcPr>
            <w:tcW w:w="4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cash (used in) provided by operating activities</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(2,156)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ind w:left="300"/>
              <w:spacing w:after="0"/>
              <w:rPr>
                <w:sz w:val="20"/>
                <w:szCs w:val="20"/>
                <w:color w:val="auto"/>
              </w:rPr>
            </w:pPr>
            <w:r>
              <w:rPr>
                <w:rFonts w:ascii="Arial" w:cs="Arial" w:eastAsia="Arial" w:hAnsi="Arial"/>
                <w:sz w:val="18"/>
                <w:szCs w:val="18"/>
                <w:color w:val="auto"/>
              </w:rPr>
              <w:t>21,053</w:t>
            </w:r>
          </w:p>
        </w:tc>
        <w:tc>
          <w:tcPr>
            <w:tcW w:w="14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CCEEFF"/>
            </w:tcBorders>
            <w:shd w:val="clear" w:color="auto" w:fill="CCEEFF"/>
          </w:tcPr>
          <w:p>
            <w:pPr>
              <w:jc w:val="center"/>
              <w:ind w:left="219"/>
              <w:spacing w:after="0"/>
              <w:rPr>
                <w:sz w:val="20"/>
                <w:szCs w:val="20"/>
                <w:color w:val="auto"/>
              </w:rPr>
            </w:pPr>
            <w:r>
              <w:rPr>
                <w:rFonts w:ascii="Arial" w:cs="Arial" w:eastAsia="Arial" w:hAnsi="Arial"/>
                <w:sz w:val="18"/>
                <w:szCs w:val="18"/>
                <w:color w:val="auto"/>
                <w:w w:val="88"/>
              </w:rPr>
              <w:t>7,252</w:t>
            </w:r>
          </w:p>
        </w:tc>
        <w:tc>
          <w:tcPr>
            <w:tcW w:w="14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31,521</w:t>
            </w:r>
          </w:p>
        </w:tc>
      </w:tr>
      <w:tr>
        <w:trPr>
          <w:trHeight w:val="243"/>
        </w:trPr>
        <w:tc>
          <w:tcPr>
            <w:tcW w:w="4360" w:type="dxa"/>
            <w:vAlign w:val="bottom"/>
          </w:tcPr>
          <w:p>
            <w:pPr>
              <w:ind w:left="20"/>
              <w:spacing w:after="0"/>
              <w:rPr>
                <w:sz w:val="20"/>
                <w:szCs w:val="20"/>
                <w:color w:val="auto"/>
              </w:rPr>
            </w:pPr>
            <w:r>
              <w:rPr>
                <w:rFonts w:ascii="Arial" w:cs="Arial" w:eastAsia="Arial" w:hAnsi="Arial"/>
                <w:sz w:val="18"/>
                <w:szCs w:val="18"/>
                <w:color w:val="auto"/>
              </w:rPr>
              <w:t>Capital expenditures</w:t>
            </w:r>
          </w:p>
        </w:tc>
        <w:tc>
          <w:tcPr>
            <w:tcW w:w="320" w:type="dxa"/>
            <w:vAlign w:val="bottom"/>
          </w:tcPr>
          <w:p>
            <w:pPr>
              <w:spacing w:after="0"/>
              <w:rPr>
                <w:sz w:val="21"/>
                <w:szCs w:val="21"/>
                <w:color w:val="auto"/>
              </w:rPr>
            </w:pPr>
          </w:p>
        </w:tc>
        <w:tc>
          <w:tcPr>
            <w:tcW w:w="980" w:type="dxa"/>
            <w:vAlign w:val="bottom"/>
          </w:tcPr>
          <w:p>
            <w:pPr>
              <w:ind w:left="360"/>
              <w:spacing w:after="0"/>
              <w:rPr>
                <w:sz w:val="20"/>
                <w:szCs w:val="20"/>
                <w:color w:val="auto"/>
              </w:rPr>
            </w:pPr>
            <w:r>
              <w:rPr>
                <w:rFonts w:ascii="Arial" w:cs="Arial" w:eastAsia="Arial" w:hAnsi="Arial"/>
                <w:sz w:val="18"/>
                <w:szCs w:val="18"/>
                <w:color w:val="auto"/>
              </w:rPr>
              <w:t>(2,255)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40" w:type="dxa"/>
            <w:vAlign w:val="bottom"/>
          </w:tcPr>
          <w:p>
            <w:pPr>
              <w:ind w:left="320"/>
              <w:spacing w:after="0"/>
              <w:rPr>
                <w:sz w:val="20"/>
                <w:szCs w:val="20"/>
                <w:color w:val="auto"/>
              </w:rPr>
            </w:pPr>
            <w:r>
              <w:rPr>
                <w:rFonts w:ascii="Arial" w:cs="Arial" w:eastAsia="Arial" w:hAnsi="Arial"/>
                <w:sz w:val="18"/>
                <w:szCs w:val="18"/>
                <w:color w:val="auto"/>
              </w:rPr>
              <w:t>(3,434)</w:t>
            </w:r>
          </w:p>
        </w:tc>
        <w:tc>
          <w:tcPr>
            <w:tcW w:w="1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center"/>
              <w:ind w:left="199"/>
              <w:spacing w:after="0"/>
              <w:rPr>
                <w:sz w:val="20"/>
                <w:szCs w:val="20"/>
                <w:color w:val="auto"/>
              </w:rPr>
            </w:pPr>
            <w:r>
              <w:rPr>
                <w:rFonts w:ascii="Arial" w:cs="Arial" w:eastAsia="Arial" w:hAnsi="Arial"/>
                <w:sz w:val="18"/>
                <w:szCs w:val="18"/>
                <w:color w:val="auto"/>
                <w:w w:val="94"/>
              </w:rPr>
              <w:t>(4,953)</w:t>
            </w:r>
          </w:p>
        </w:tc>
        <w:tc>
          <w:tcPr>
            <w:tcW w:w="1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820" w:type="dxa"/>
            <w:vAlign w:val="bottom"/>
          </w:tcPr>
          <w:p>
            <w:pPr>
              <w:jc w:val="center"/>
              <w:spacing w:after="0"/>
              <w:rPr>
                <w:sz w:val="20"/>
                <w:szCs w:val="20"/>
                <w:color w:val="auto"/>
              </w:rPr>
            </w:pPr>
            <w:r>
              <w:rPr>
                <w:rFonts w:ascii="Arial" w:cs="Arial" w:eastAsia="Arial" w:hAnsi="Arial"/>
                <w:sz w:val="18"/>
                <w:szCs w:val="18"/>
                <w:color w:val="auto"/>
                <w:w w:val="92"/>
              </w:rPr>
              <w:t>(13,984)</w:t>
            </w:r>
          </w:p>
        </w:tc>
      </w:tr>
      <w:tr>
        <w:trPr>
          <w:trHeight w:val="27"/>
        </w:trPr>
        <w:tc>
          <w:tcPr>
            <w:tcW w:w="436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88"/>
        </w:trPr>
        <w:tc>
          <w:tcPr>
            <w:tcW w:w="43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Free cash flow</w:t>
            </w: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ind w:left="380"/>
              <w:spacing w:after="0"/>
              <w:rPr>
                <w:sz w:val="20"/>
                <w:szCs w:val="20"/>
                <w:color w:val="auto"/>
              </w:rPr>
            </w:pPr>
            <w:r>
              <w:rPr>
                <w:rFonts w:ascii="Arial" w:cs="Arial" w:eastAsia="Arial" w:hAnsi="Arial"/>
                <w:sz w:val="18"/>
                <w:szCs w:val="18"/>
                <w:color w:val="auto"/>
              </w:rPr>
              <w:t>(4,411)</w:t>
            </w:r>
          </w:p>
        </w:tc>
        <w:tc>
          <w:tcPr>
            <w:tcW w:w="100" w:type="dxa"/>
            <w:vAlign w:val="bottom"/>
            <w:tcBorders>
              <w:bottom w:val="single" w:sz="8" w:color="CCEEFF"/>
            </w:tcBorders>
            <w:shd w:val="clear" w:color="auto" w:fill="CCEEFF"/>
          </w:tcPr>
          <w:p>
            <w:pPr>
              <w:spacing w:after="0"/>
              <w:rPr>
                <w:sz w:val="24"/>
                <w:szCs w:val="24"/>
                <w:color w:val="auto"/>
              </w:rPr>
            </w:pPr>
          </w:p>
        </w:tc>
        <w:tc>
          <w:tcPr>
            <w:tcW w:w="36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CEEFF"/>
          </w:tcPr>
          <w:p>
            <w:pPr>
              <w:ind w:left="300"/>
              <w:spacing w:after="0"/>
              <w:rPr>
                <w:sz w:val="20"/>
                <w:szCs w:val="20"/>
                <w:color w:val="auto"/>
              </w:rPr>
            </w:pPr>
            <w:r>
              <w:rPr>
                <w:rFonts w:ascii="Arial" w:cs="Arial" w:eastAsia="Arial" w:hAnsi="Arial"/>
                <w:sz w:val="18"/>
                <w:szCs w:val="18"/>
                <w:color w:val="auto"/>
              </w:rPr>
              <w:t>17,619</w:t>
            </w:r>
          </w:p>
        </w:tc>
        <w:tc>
          <w:tcPr>
            <w:tcW w:w="14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CEEFF"/>
          </w:tcPr>
          <w:p>
            <w:pPr>
              <w:jc w:val="center"/>
              <w:ind w:left="219"/>
              <w:spacing w:after="0"/>
              <w:rPr>
                <w:sz w:val="20"/>
                <w:szCs w:val="20"/>
                <w:color w:val="auto"/>
              </w:rPr>
            </w:pPr>
            <w:r>
              <w:rPr>
                <w:rFonts w:ascii="Arial" w:cs="Arial" w:eastAsia="Arial" w:hAnsi="Arial"/>
                <w:sz w:val="18"/>
                <w:szCs w:val="18"/>
                <w:color w:val="auto"/>
                <w:w w:val="88"/>
              </w:rPr>
              <w:t>2,299</w:t>
            </w:r>
          </w:p>
        </w:tc>
        <w:tc>
          <w:tcPr>
            <w:tcW w:w="140" w:type="dxa"/>
            <w:vAlign w:val="bottom"/>
            <w:tcBorders>
              <w:bottom w:val="single" w:sz="8" w:color="CCEEFF"/>
            </w:tcBorders>
            <w:shd w:val="clear" w:color="auto" w:fill="CCEEFF"/>
          </w:tcPr>
          <w:p>
            <w:pPr>
              <w:spacing w:after="0"/>
              <w:rPr>
                <w:sz w:val="24"/>
                <w:szCs w:val="24"/>
                <w:color w:val="auto"/>
              </w:rPr>
            </w:pPr>
          </w:p>
        </w:tc>
        <w:tc>
          <w:tcPr>
            <w:tcW w:w="500" w:type="dxa"/>
            <w:vAlign w:val="bottom"/>
            <w:tcBorders>
              <w:bottom w:val="single" w:sz="8" w:color="auto"/>
            </w:tcBorders>
            <w:shd w:val="clear" w:color="auto" w:fill="CCEEFF"/>
          </w:tcPr>
          <w:p>
            <w:pPr>
              <w:jc w:val="right"/>
              <w:ind w:right="29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17,537</w:t>
            </w:r>
          </w:p>
        </w:tc>
      </w:tr>
      <w:tr>
        <w:trPr>
          <w:trHeight w:val="20"/>
        </w:trPr>
        <w:tc>
          <w:tcPr>
            <w:tcW w:w="436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Page 6 of 8</w:t>
      </w:r>
    </w:p>
    <w:p>
      <w:pPr>
        <w:sectPr>
          <w:pgSz w:w="11900" w:h="16838" w:orient="portrait"/>
          <w:cols w:equalWidth="0" w:num="1">
            <w:col w:w="9940"/>
          </w:cols>
          <w:pgMar w:left="980" w:top="715" w:right="97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Lantheus Holdings, Inc.</w:t>
      </w:r>
    </w:p>
    <w:p>
      <w:pPr>
        <w:spacing w:after="0" w:line="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 unaudited)</w:t>
      </w: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1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0" w:type="dxa"/>
            <w:vAlign w:val="bottom"/>
            <w:gridSpan w:val="2"/>
          </w:tcPr>
          <w:p>
            <w:pPr>
              <w:ind w:left="160"/>
              <w:spacing w:after="0"/>
              <w:rPr>
                <w:sz w:val="20"/>
                <w:szCs w:val="20"/>
                <w:color w:val="auto"/>
              </w:rPr>
            </w:pPr>
            <w:r>
              <w:rPr>
                <w:rFonts w:ascii="Arial" w:cs="Arial" w:eastAsia="Arial" w:hAnsi="Arial"/>
                <w:sz w:val="14"/>
                <w:szCs w:val="14"/>
                <w:b w:val="1"/>
                <w:bCs w:val="1"/>
                <w:color w:val="auto"/>
              </w:rPr>
              <w:t>June 30,</w:t>
            </w:r>
          </w:p>
        </w:tc>
        <w:tc>
          <w:tcPr>
            <w:tcW w:w="200" w:type="dxa"/>
            <w:vAlign w:val="bottom"/>
          </w:tcPr>
          <w:p>
            <w:pPr>
              <w:spacing w:after="0"/>
              <w:rPr>
                <w:sz w:val="14"/>
                <w:szCs w:val="14"/>
                <w:color w:val="auto"/>
              </w:rPr>
            </w:pPr>
          </w:p>
        </w:tc>
        <w:tc>
          <w:tcPr>
            <w:tcW w:w="1180" w:type="dxa"/>
            <w:vAlign w:val="bottom"/>
          </w:tcPr>
          <w:p>
            <w:pPr>
              <w:jc w:val="right"/>
              <w:ind w:right="172"/>
              <w:spacing w:after="0"/>
              <w:rPr>
                <w:sz w:val="20"/>
                <w:szCs w:val="20"/>
                <w:color w:val="auto"/>
              </w:rPr>
            </w:pPr>
            <w:r>
              <w:rPr>
                <w:rFonts w:ascii="Arial" w:cs="Arial" w:eastAsia="Arial" w:hAnsi="Arial"/>
                <w:sz w:val="14"/>
                <w:szCs w:val="14"/>
                <w:b w:val="1"/>
                <w:bCs w:val="1"/>
                <w:color w:val="auto"/>
                <w:w w:val="98"/>
              </w:rPr>
              <w:t>December 31,</w:t>
            </w:r>
          </w:p>
        </w:tc>
        <w:tc>
          <w:tcPr>
            <w:tcW w:w="0" w:type="dxa"/>
            <w:vAlign w:val="bottom"/>
          </w:tcPr>
          <w:p>
            <w:pPr>
              <w:spacing w:after="0"/>
              <w:rPr>
                <w:sz w:val="1"/>
                <w:szCs w:val="1"/>
                <w:color w:val="auto"/>
              </w:rPr>
            </w:pPr>
          </w:p>
        </w:tc>
      </w:tr>
      <w:tr>
        <w:trPr>
          <w:trHeight w:val="192"/>
        </w:trPr>
        <w:tc>
          <w:tcPr>
            <w:tcW w:w="618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r>
        <w:trPr>
          <w:trHeight w:val="236"/>
        </w:trPr>
        <w:tc>
          <w:tcPr>
            <w:tcW w:w="6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28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180" w:type="dxa"/>
            <w:vAlign w:val="bottom"/>
          </w:tcPr>
          <w:p>
            <w:pPr>
              <w:ind w:left="20"/>
              <w:spacing w:after="0"/>
              <w:rPr>
                <w:sz w:val="20"/>
                <w:szCs w:val="20"/>
                <w:color w:val="auto"/>
              </w:rPr>
            </w:pPr>
            <w:r>
              <w:rPr>
                <w:rFonts w:ascii="Arial" w:cs="Arial" w:eastAsia="Arial" w:hAnsi="Arial"/>
                <w:sz w:val="18"/>
                <w:szCs w:val="18"/>
                <w:b w:val="1"/>
                <w:bCs w:val="1"/>
                <w:color w:val="auto"/>
              </w:rPr>
              <w:t>Current assets</w:t>
            </w:r>
          </w:p>
        </w:tc>
        <w:tc>
          <w:tcPr>
            <w:tcW w:w="2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1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Cash and cash equivalents</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90,309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92,919</w:t>
            </w:r>
          </w:p>
        </w:tc>
        <w:tc>
          <w:tcPr>
            <w:tcW w:w="0" w:type="dxa"/>
            <w:vAlign w:val="bottom"/>
          </w:tcPr>
          <w:p>
            <w:pPr>
              <w:spacing w:after="0"/>
              <w:rPr>
                <w:sz w:val="1"/>
                <w:szCs w:val="1"/>
                <w:color w:val="auto"/>
              </w:rPr>
            </w:pPr>
          </w:p>
        </w:tc>
      </w:tr>
      <w:tr>
        <w:trPr>
          <w:trHeight w:val="243"/>
        </w:trPr>
        <w:tc>
          <w:tcPr>
            <w:tcW w:w="6180" w:type="dxa"/>
            <w:vAlign w:val="bottom"/>
          </w:tcPr>
          <w:p>
            <w:pPr>
              <w:ind w:left="200"/>
              <w:spacing w:after="0"/>
              <w:rPr>
                <w:sz w:val="20"/>
                <w:szCs w:val="20"/>
                <w:color w:val="auto"/>
              </w:rPr>
            </w:pPr>
            <w:r>
              <w:rPr>
                <w:rFonts w:ascii="Arial" w:cs="Arial" w:eastAsia="Arial" w:hAnsi="Arial"/>
                <w:sz w:val="18"/>
                <w:szCs w:val="18"/>
                <w:color w:val="auto"/>
              </w:rPr>
              <w:t>Accounts receivable, net</w:t>
            </w:r>
          </w:p>
        </w:tc>
        <w:tc>
          <w:tcPr>
            <w:tcW w:w="280" w:type="dxa"/>
            <w:vAlign w:val="bottom"/>
          </w:tcPr>
          <w:p>
            <w:pPr>
              <w:spacing w:after="0"/>
              <w:rPr>
                <w:sz w:val="21"/>
                <w:szCs w:val="21"/>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46,883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43,529</w:t>
            </w:r>
          </w:p>
        </w:tc>
        <w:tc>
          <w:tcPr>
            <w:tcW w:w="0" w:type="dxa"/>
            <w:vAlign w:val="bottom"/>
          </w:tcPr>
          <w:p>
            <w:pPr>
              <w:spacing w:after="0"/>
              <w:rPr>
                <w:sz w:val="1"/>
                <w:szCs w:val="1"/>
                <w:color w:val="auto"/>
              </w:rPr>
            </w:pPr>
          </w:p>
        </w:tc>
      </w:tr>
      <w:tr>
        <w:trPr>
          <w:trHeight w:val="27"/>
        </w:trPr>
        <w:tc>
          <w:tcPr>
            <w:tcW w:w="6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1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Inventory</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35,334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29,180</w:t>
            </w:r>
          </w:p>
        </w:tc>
        <w:tc>
          <w:tcPr>
            <w:tcW w:w="0" w:type="dxa"/>
            <w:vAlign w:val="bottom"/>
          </w:tcPr>
          <w:p>
            <w:pPr>
              <w:spacing w:after="0"/>
              <w:rPr>
                <w:sz w:val="1"/>
                <w:szCs w:val="1"/>
                <w:color w:val="auto"/>
              </w:rPr>
            </w:pPr>
          </w:p>
        </w:tc>
      </w:tr>
      <w:tr>
        <w:trPr>
          <w:trHeight w:val="243"/>
        </w:trPr>
        <w:tc>
          <w:tcPr>
            <w:tcW w:w="6180" w:type="dxa"/>
            <w:vAlign w:val="bottom"/>
          </w:tcPr>
          <w:p>
            <w:pPr>
              <w:ind w:left="200"/>
              <w:spacing w:after="0"/>
              <w:rPr>
                <w:sz w:val="20"/>
                <w:szCs w:val="20"/>
                <w:color w:val="auto"/>
              </w:rPr>
            </w:pPr>
            <w:r>
              <w:rPr>
                <w:rFonts w:ascii="Arial" w:cs="Arial" w:eastAsia="Arial" w:hAnsi="Arial"/>
                <w:sz w:val="18"/>
                <w:szCs w:val="18"/>
                <w:color w:val="auto"/>
              </w:rPr>
              <w:t>Other current assets</w:t>
            </w:r>
          </w:p>
        </w:tc>
        <w:tc>
          <w:tcPr>
            <w:tcW w:w="280" w:type="dxa"/>
            <w:vAlign w:val="bottom"/>
          </w:tcPr>
          <w:p>
            <w:pPr>
              <w:spacing w:after="0"/>
              <w:rPr>
                <w:sz w:val="21"/>
                <w:szCs w:val="21"/>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8,630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7,283</w:t>
            </w:r>
          </w:p>
        </w:tc>
        <w:tc>
          <w:tcPr>
            <w:tcW w:w="0" w:type="dxa"/>
            <w:vAlign w:val="bottom"/>
          </w:tcPr>
          <w:p>
            <w:pPr>
              <w:spacing w:after="0"/>
              <w:rPr>
                <w:sz w:val="1"/>
                <w:szCs w:val="1"/>
                <w:color w:val="auto"/>
              </w:rPr>
            </w:pPr>
          </w:p>
        </w:tc>
      </w:tr>
      <w:tr>
        <w:trPr>
          <w:trHeight w:val="27"/>
        </w:trPr>
        <w:tc>
          <w:tcPr>
            <w:tcW w:w="61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618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8"/>
                <w:szCs w:val="18"/>
                <w:b w:val="1"/>
                <w:bCs w:val="1"/>
                <w:color w:val="auto"/>
              </w:rPr>
              <w:t>Total current assets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181,156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172,911</w:t>
            </w:r>
          </w:p>
        </w:tc>
        <w:tc>
          <w:tcPr>
            <w:tcW w:w="0" w:type="dxa"/>
            <w:vAlign w:val="bottom"/>
          </w:tcPr>
          <w:p>
            <w:pPr>
              <w:spacing w:after="0"/>
              <w:rPr>
                <w:sz w:val="1"/>
                <w:szCs w:val="1"/>
                <w:color w:val="auto"/>
              </w:rPr>
            </w:pPr>
          </w:p>
        </w:tc>
      </w:tr>
      <w:tr>
        <w:trPr>
          <w:trHeight w:val="243"/>
        </w:trPr>
        <w:tc>
          <w:tcPr>
            <w:tcW w:w="6180" w:type="dxa"/>
            <w:vAlign w:val="bottom"/>
          </w:tcPr>
          <w:p>
            <w:pPr>
              <w:ind w:left="20"/>
              <w:spacing w:after="0"/>
              <w:rPr>
                <w:sz w:val="20"/>
                <w:szCs w:val="20"/>
                <w:color w:val="auto"/>
              </w:rPr>
            </w:pPr>
            <w:r>
              <w:rPr>
                <w:rFonts w:ascii="Arial" w:cs="Arial" w:eastAsia="Arial" w:hAnsi="Arial"/>
                <w:sz w:val="18"/>
                <w:szCs w:val="18"/>
                <w:color w:val="auto"/>
              </w:rPr>
              <w:t>Property, plant and equipment, net</w:t>
            </w:r>
          </w:p>
        </w:tc>
        <w:tc>
          <w:tcPr>
            <w:tcW w:w="280" w:type="dxa"/>
            <w:vAlign w:val="bottom"/>
          </w:tcPr>
          <w:p>
            <w:pPr>
              <w:spacing w:after="0"/>
              <w:rPr>
                <w:sz w:val="21"/>
                <w:szCs w:val="21"/>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122,903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116,497</w:t>
            </w:r>
          </w:p>
        </w:tc>
        <w:tc>
          <w:tcPr>
            <w:tcW w:w="0" w:type="dxa"/>
            <w:vAlign w:val="bottom"/>
          </w:tcPr>
          <w:p>
            <w:pPr>
              <w:spacing w:after="0"/>
              <w:rPr>
                <w:sz w:val="1"/>
                <w:szCs w:val="1"/>
                <w:color w:val="auto"/>
              </w:rPr>
            </w:pPr>
          </w:p>
        </w:tc>
      </w:tr>
      <w:tr>
        <w:trPr>
          <w:trHeight w:val="27"/>
        </w:trPr>
        <w:tc>
          <w:tcPr>
            <w:tcW w:w="6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Intangibles, net</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389,512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7,336</w:t>
            </w:r>
          </w:p>
        </w:tc>
        <w:tc>
          <w:tcPr>
            <w:tcW w:w="0" w:type="dxa"/>
            <w:vAlign w:val="bottom"/>
          </w:tcPr>
          <w:p>
            <w:pPr>
              <w:spacing w:after="0"/>
              <w:rPr>
                <w:sz w:val="1"/>
                <w:szCs w:val="1"/>
                <w:color w:val="auto"/>
              </w:rPr>
            </w:pPr>
          </w:p>
        </w:tc>
      </w:tr>
      <w:tr>
        <w:trPr>
          <w:trHeight w:val="243"/>
        </w:trPr>
        <w:tc>
          <w:tcPr>
            <w:tcW w:w="6180" w:type="dxa"/>
            <w:vAlign w:val="bottom"/>
          </w:tcPr>
          <w:p>
            <w:pPr>
              <w:ind w:left="20"/>
              <w:spacing w:after="0"/>
              <w:rPr>
                <w:sz w:val="20"/>
                <w:szCs w:val="20"/>
                <w:color w:val="auto"/>
              </w:rPr>
            </w:pPr>
            <w:r>
              <w:rPr>
                <w:rFonts w:ascii="Arial" w:cs="Arial" w:eastAsia="Arial" w:hAnsi="Arial"/>
                <w:sz w:val="18"/>
                <w:szCs w:val="18"/>
                <w:color w:val="auto"/>
              </w:rPr>
              <w:t>Goodwill</w:t>
            </w:r>
          </w:p>
        </w:tc>
        <w:tc>
          <w:tcPr>
            <w:tcW w:w="280" w:type="dxa"/>
            <w:vAlign w:val="bottom"/>
          </w:tcPr>
          <w:p>
            <w:pPr>
              <w:spacing w:after="0"/>
              <w:rPr>
                <w:sz w:val="21"/>
                <w:szCs w:val="21"/>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57,765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15,714</w:t>
            </w:r>
          </w:p>
        </w:tc>
        <w:tc>
          <w:tcPr>
            <w:tcW w:w="0" w:type="dxa"/>
            <w:vAlign w:val="bottom"/>
          </w:tcPr>
          <w:p>
            <w:pPr>
              <w:spacing w:after="0"/>
              <w:rPr>
                <w:sz w:val="1"/>
                <w:szCs w:val="1"/>
                <w:color w:val="auto"/>
              </w:rPr>
            </w:pPr>
          </w:p>
        </w:tc>
      </w:tr>
      <w:tr>
        <w:trPr>
          <w:trHeight w:val="27"/>
        </w:trPr>
        <w:tc>
          <w:tcPr>
            <w:tcW w:w="6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Deferred tax assets, net</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67,441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71,834</w:t>
            </w:r>
          </w:p>
        </w:tc>
        <w:tc>
          <w:tcPr>
            <w:tcW w:w="0" w:type="dxa"/>
            <w:vAlign w:val="bottom"/>
          </w:tcPr>
          <w:p>
            <w:pPr>
              <w:spacing w:after="0"/>
              <w:rPr>
                <w:sz w:val="1"/>
                <w:szCs w:val="1"/>
                <w:color w:val="auto"/>
              </w:rPr>
            </w:pPr>
          </w:p>
        </w:tc>
      </w:tr>
      <w:tr>
        <w:trPr>
          <w:trHeight w:val="243"/>
        </w:trPr>
        <w:tc>
          <w:tcPr>
            <w:tcW w:w="6180" w:type="dxa"/>
            <w:vAlign w:val="bottom"/>
          </w:tcPr>
          <w:p>
            <w:pPr>
              <w:ind w:left="20"/>
              <w:spacing w:after="0"/>
              <w:rPr>
                <w:sz w:val="20"/>
                <w:szCs w:val="20"/>
                <w:color w:val="auto"/>
              </w:rPr>
            </w:pPr>
            <w:r>
              <w:rPr>
                <w:rFonts w:ascii="Arial" w:cs="Arial" w:eastAsia="Arial" w:hAnsi="Arial"/>
                <w:sz w:val="18"/>
                <w:szCs w:val="18"/>
                <w:color w:val="auto"/>
              </w:rPr>
              <w:t>Other long-term assets</w:t>
            </w:r>
          </w:p>
        </w:tc>
        <w:tc>
          <w:tcPr>
            <w:tcW w:w="280" w:type="dxa"/>
            <w:vAlign w:val="bottom"/>
          </w:tcPr>
          <w:p>
            <w:pPr>
              <w:spacing w:after="0"/>
              <w:rPr>
                <w:sz w:val="21"/>
                <w:szCs w:val="21"/>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60,918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21,627</w:t>
            </w:r>
          </w:p>
        </w:tc>
        <w:tc>
          <w:tcPr>
            <w:tcW w:w="0" w:type="dxa"/>
            <w:vAlign w:val="bottom"/>
          </w:tcPr>
          <w:p>
            <w:pPr>
              <w:spacing w:after="0"/>
              <w:rPr>
                <w:sz w:val="1"/>
                <w:szCs w:val="1"/>
                <w:color w:val="auto"/>
              </w:rPr>
            </w:pPr>
          </w:p>
        </w:tc>
      </w:tr>
      <w:tr>
        <w:trPr>
          <w:trHeight w:val="27"/>
        </w:trPr>
        <w:tc>
          <w:tcPr>
            <w:tcW w:w="61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8"/>
        </w:trPr>
        <w:tc>
          <w:tcPr>
            <w:tcW w:w="61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b w:val="1"/>
                <w:bCs w:val="1"/>
                <w:color w:val="auto"/>
              </w:rPr>
              <w:t>Total assets</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879,695</w:t>
            </w:r>
          </w:p>
        </w:tc>
        <w:tc>
          <w:tcPr>
            <w:tcW w:w="100" w:type="dxa"/>
            <w:vAlign w:val="bottom"/>
            <w:tcBorders>
              <w:bottom w:val="single" w:sz="8" w:color="CCEEFF"/>
            </w:tcBorders>
            <w:shd w:val="clear" w:color="auto" w:fill="CCEEFF"/>
          </w:tcPr>
          <w:p>
            <w:pPr>
              <w:spacing w:after="0"/>
              <w:rPr>
                <w:sz w:val="24"/>
                <w:szCs w:val="24"/>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405,919</w:t>
            </w:r>
          </w:p>
        </w:tc>
        <w:tc>
          <w:tcPr>
            <w:tcW w:w="0" w:type="dxa"/>
            <w:vAlign w:val="bottom"/>
          </w:tcPr>
          <w:p>
            <w:pPr>
              <w:spacing w:after="0"/>
              <w:rPr>
                <w:sz w:val="1"/>
                <w:szCs w:val="1"/>
                <w:color w:val="auto"/>
              </w:rPr>
            </w:pPr>
          </w:p>
        </w:tc>
      </w:tr>
      <w:tr>
        <w:trPr>
          <w:trHeight w:val="20"/>
        </w:trPr>
        <w:tc>
          <w:tcPr>
            <w:tcW w:w="61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b w:val="1"/>
                <w:bCs w:val="1"/>
                <w:color w:val="auto"/>
              </w:rPr>
              <w:t>Liabilities and stockholders’ equity</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6180" w:type="dxa"/>
            <w:vAlign w:val="bottom"/>
            <w:vMerge w:val="continue"/>
          </w:tcPr>
          <w:p>
            <w:pPr>
              <w:spacing w:after="0"/>
              <w:rPr>
                <w:sz w:val="16"/>
                <w:szCs w:val="16"/>
                <w:color w:val="auto"/>
              </w:rPr>
            </w:pPr>
          </w:p>
        </w:tc>
        <w:tc>
          <w:tcPr>
            <w:tcW w:w="2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
        </w:trPr>
        <w:tc>
          <w:tcPr>
            <w:tcW w:w="6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Current liabilities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180" w:type="dxa"/>
            <w:vAlign w:val="bottom"/>
          </w:tcPr>
          <w:p>
            <w:pPr>
              <w:ind w:left="200"/>
              <w:spacing w:after="0"/>
              <w:rPr>
                <w:sz w:val="20"/>
                <w:szCs w:val="20"/>
                <w:color w:val="auto"/>
              </w:rPr>
            </w:pPr>
            <w:r>
              <w:rPr>
                <w:rFonts w:ascii="Arial" w:cs="Arial" w:eastAsia="Arial" w:hAnsi="Arial"/>
                <w:sz w:val="18"/>
                <w:szCs w:val="18"/>
                <w:color w:val="auto"/>
              </w:rPr>
              <w:t>Current portion of long-term debt and other borrowings</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17,143</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10,143</w:t>
            </w:r>
          </w:p>
        </w:tc>
        <w:tc>
          <w:tcPr>
            <w:tcW w:w="0" w:type="dxa"/>
            <w:vAlign w:val="bottom"/>
          </w:tcPr>
          <w:p>
            <w:pPr>
              <w:spacing w:after="0"/>
              <w:rPr>
                <w:sz w:val="1"/>
                <w:szCs w:val="1"/>
                <w:color w:val="auto"/>
              </w:rPr>
            </w:pPr>
          </w:p>
        </w:tc>
      </w:tr>
      <w:tr>
        <w:trPr>
          <w:trHeight w:val="27"/>
        </w:trPr>
        <w:tc>
          <w:tcPr>
            <w:tcW w:w="6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1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Accounts payable</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16,301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18,608</w:t>
            </w:r>
          </w:p>
        </w:tc>
        <w:tc>
          <w:tcPr>
            <w:tcW w:w="0" w:type="dxa"/>
            <w:vAlign w:val="bottom"/>
          </w:tcPr>
          <w:p>
            <w:pPr>
              <w:spacing w:after="0"/>
              <w:rPr>
                <w:sz w:val="1"/>
                <w:szCs w:val="1"/>
                <w:color w:val="auto"/>
              </w:rPr>
            </w:pPr>
          </w:p>
        </w:tc>
      </w:tr>
      <w:tr>
        <w:trPr>
          <w:trHeight w:val="243"/>
        </w:trPr>
        <w:tc>
          <w:tcPr>
            <w:tcW w:w="6180" w:type="dxa"/>
            <w:vAlign w:val="bottom"/>
          </w:tcPr>
          <w:p>
            <w:pPr>
              <w:ind w:left="200"/>
              <w:spacing w:after="0"/>
              <w:rPr>
                <w:sz w:val="20"/>
                <w:szCs w:val="20"/>
                <w:color w:val="auto"/>
              </w:rPr>
            </w:pPr>
            <w:r>
              <w:rPr>
                <w:rFonts w:ascii="Arial" w:cs="Arial" w:eastAsia="Arial" w:hAnsi="Arial"/>
                <w:sz w:val="18"/>
                <w:szCs w:val="18"/>
                <w:color w:val="auto"/>
              </w:rPr>
              <w:t>Accrued expenses and other liabilities</w:t>
            </w:r>
          </w:p>
        </w:tc>
        <w:tc>
          <w:tcPr>
            <w:tcW w:w="280" w:type="dxa"/>
            <w:vAlign w:val="bottom"/>
          </w:tcPr>
          <w:p>
            <w:pPr>
              <w:spacing w:after="0"/>
              <w:rPr>
                <w:sz w:val="21"/>
                <w:szCs w:val="21"/>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42,892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37,360</w:t>
            </w:r>
          </w:p>
        </w:tc>
        <w:tc>
          <w:tcPr>
            <w:tcW w:w="0" w:type="dxa"/>
            <w:vAlign w:val="bottom"/>
          </w:tcPr>
          <w:p>
            <w:pPr>
              <w:spacing w:after="0"/>
              <w:rPr>
                <w:sz w:val="1"/>
                <w:szCs w:val="1"/>
                <w:color w:val="auto"/>
              </w:rPr>
            </w:pPr>
          </w:p>
        </w:tc>
      </w:tr>
      <w:tr>
        <w:trPr>
          <w:trHeight w:val="27"/>
        </w:trPr>
        <w:tc>
          <w:tcPr>
            <w:tcW w:w="61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618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8"/>
                <w:szCs w:val="18"/>
                <w:b w:val="1"/>
                <w:bCs w:val="1"/>
                <w:color w:val="auto"/>
              </w:rPr>
              <w:t>Total current liabilities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76,336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66,111</w:t>
            </w:r>
          </w:p>
        </w:tc>
        <w:tc>
          <w:tcPr>
            <w:tcW w:w="0" w:type="dxa"/>
            <w:vAlign w:val="bottom"/>
          </w:tcPr>
          <w:p>
            <w:pPr>
              <w:spacing w:after="0"/>
              <w:rPr>
                <w:sz w:val="1"/>
                <w:szCs w:val="1"/>
                <w:color w:val="auto"/>
              </w:rPr>
            </w:pPr>
          </w:p>
        </w:tc>
      </w:tr>
      <w:tr>
        <w:trPr>
          <w:trHeight w:val="243"/>
        </w:trPr>
        <w:tc>
          <w:tcPr>
            <w:tcW w:w="6180" w:type="dxa"/>
            <w:vAlign w:val="bottom"/>
          </w:tcPr>
          <w:p>
            <w:pPr>
              <w:ind w:left="20"/>
              <w:spacing w:after="0"/>
              <w:rPr>
                <w:sz w:val="20"/>
                <w:szCs w:val="20"/>
                <w:color w:val="auto"/>
              </w:rPr>
            </w:pPr>
            <w:r>
              <w:rPr>
                <w:rFonts w:ascii="Arial" w:cs="Arial" w:eastAsia="Arial" w:hAnsi="Arial"/>
                <w:sz w:val="18"/>
                <w:szCs w:val="18"/>
                <w:color w:val="auto"/>
              </w:rPr>
              <w:t>Asset retirement obligations</w:t>
            </w:r>
          </w:p>
        </w:tc>
        <w:tc>
          <w:tcPr>
            <w:tcW w:w="280" w:type="dxa"/>
            <w:vAlign w:val="bottom"/>
          </w:tcPr>
          <w:p>
            <w:pPr>
              <w:spacing w:after="0"/>
              <w:rPr>
                <w:sz w:val="21"/>
                <w:szCs w:val="21"/>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13,602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12,883</w:t>
            </w:r>
          </w:p>
        </w:tc>
        <w:tc>
          <w:tcPr>
            <w:tcW w:w="0" w:type="dxa"/>
            <w:vAlign w:val="bottom"/>
          </w:tcPr>
          <w:p>
            <w:pPr>
              <w:spacing w:after="0"/>
              <w:rPr>
                <w:sz w:val="1"/>
                <w:szCs w:val="1"/>
                <w:color w:val="auto"/>
              </w:rPr>
            </w:pPr>
          </w:p>
        </w:tc>
      </w:tr>
      <w:tr>
        <w:trPr>
          <w:trHeight w:val="27"/>
        </w:trPr>
        <w:tc>
          <w:tcPr>
            <w:tcW w:w="6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Long-term debt, net and other borrowings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210,010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183,927</w:t>
            </w:r>
          </w:p>
        </w:tc>
        <w:tc>
          <w:tcPr>
            <w:tcW w:w="0" w:type="dxa"/>
            <w:vAlign w:val="bottom"/>
          </w:tcPr>
          <w:p>
            <w:pPr>
              <w:spacing w:after="0"/>
              <w:rPr>
                <w:sz w:val="1"/>
                <w:szCs w:val="1"/>
                <w:color w:val="auto"/>
              </w:rPr>
            </w:pPr>
          </w:p>
        </w:tc>
      </w:tr>
      <w:tr>
        <w:trPr>
          <w:trHeight w:val="243"/>
        </w:trPr>
        <w:tc>
          <w:tcPr>
            <w:tcW w:w="6180" w:type="dxa"/>
            <w:vAlign w:val="bottom"/>
          </w:tcPr>
          <w:p>
            <w:pPr>
              <w:ind w:left="20"/>
              <w:spacing w:after="0"/>
              <w:rPr>
                <w:sz w:val="20"/>
                <w:szCs w:val="20"/>
                <w:color w:val="auto"/>
              </w:rPr>
            </w:pPr>
            <w:r>
              <w:rPr>
                <w:rFonts w:ascii="Arial" w:cs="Arial" w:eastAsia="Arial" w:hAnsi="Arial"/>
                <w:sz w:val="18"/>
                <w:szCs w:val="18"/>
                <w:color w:val="auto"/>
              </w:rPr>
              <w:t>Other long-term liabilities</w:t>
            </w:r>
          </w:p>
        </w:tc>
        <w:tc>
          <w:tcPr>
            <w:tcW w:w="280" w:type="dxa"/>
            <w:vAlign w:val="bottom"/>
          </w:tcPr>
          <w:p>
            <w:pPr>
              <w:spacing w:after="0"/>
              <w:rPr>
                <w:sz w:val="21"/>
                <w:szCs w:val="21"/>
                <w:color w:val="auto"/>
              </w:rPr>
            </w:pPr>
          </w:p>
        </w:tc>
        <w:tc>
          <w:tcPr>
            <w:tcW w:w="1100" w:type="dxa"/>
            <w:vAlign w:val="bottom"/>
          </w:tcPr>
          <w:p>
            <w:pPr>
              <w:jc w:val="right"/>
              <w:ind w:right="32"/>
              <w:spacing w:after="0"/>
              <w:rPr>
                <w:sz w:val="20"/>
                <w:szCs w:val="20"/>
                <w:color w:val="auto"/>
              </w:rPr>
            </w:pPr>
            <w:r>
              <w:rPr>
                <w:rFonts w:ascii="Arial" w:cs="Arial" w:eastAsia="Arial" w:hAnsi="Arial"/>
                <w:sz w:val="18"/>
                <w:szCs w:val="18"/>
                <w:color w:val="auto"/>
              </w:rPr>
              <w:t>64,164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jc w:val="right"/>
              <w:ind w:right="32"/>
              <w:spacing w:after="0"/>
              <w:rPr>
                <w:sz w:val="20"/>
                <w:szCs w:val="20"/>
                <w:color w:val="auto"/>
              </w:rPr>
            </w:pPr>
            <w:r>
              <w:rPr>
                <w:rFonts w:ascii="Arial" w:cs="Arial" w:eastAsia="Arial" w:hAnsi="Arial"/>
                <w:sz w:val="18"/>
                <w:szCs w:val="18"/>
                <w:color w:val="auto"/>
              </w:rPr>
              <w:t>28,397</w:t>
            </w:r>
          </w:p>
        </w:tc>
        <w:tc>
          <w:tcPr>
            <w:tcW w:w="0" w:type="dxa"/>
            <w:vAlign w:val="bottom"/>
          </w:tcPr>
          <w:p>
            <w:pPr>
              <w:spacing w:after="0"/>
              <w:rPr>
                <w:sz w:val="1"/>
                <w:szCs w:val="1"/>
                <w:color w:val="auto"/>
              </w:rPr>
            </w:pPr>
          </w:p>
        </w:tc>
      </w:tr>
      <w:tr>
        <w:trPr>
          <w:trHeight w:val="27"/>
        </w:trPr>
        <w:tc>
          <w:tcPr>
            <w:tcW w:w="61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1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b w:val="1"/>
                <w:bCs w:val="1"/>
                <w:color w:val="auto"/>
              </w:rPr>
              <w:t>Total liabilities</w:t>
            </w:r>
          </w:p>
        </w:tc>
        <w:tc>
          <w:tcPr>
            <w:tcW w:w="28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364,112</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291,318</w:t>
            </w:r>
          </w:p>
        </w:tc>
        <w:tc>
          <w:tcPr>
            <w:tcW w:w="0" w:type="dxa"/>
            <w:vAlign w:val="bottom"/>
          </w:tcPr>
          <w:p>
            <w:pPr>
              <w:spacing w:after="0"/>
              <w:rPr>
                <w:sz w:val="1"/>
                <w:szCs w:val="1"/>
                <w:color w:val="auto"/>
              </w:rPr>
            </w:pPr>
          </w:p>
        </w:tc>
      </w:tr>
      <w:tr>
        <w:trPr>
          <w:trHeight w:val="237"/>
        </w:trPr>
        <w:tc>
          <w:tcPr>
            <w:tcW w:w="6180" w:type="dxa"/>
            <w:vAlign w:val="bottom"/>
          </w:tcPr>
          <w:p>
            <w:pPr>
              <w:ind w:left="20"/>
              <w:spacing w:after="0"/>
              <w:rPr>
                <w:sz w:val="20"/>
                <w:szCs w:val="20"/>
                <w:color w:val="auto"/>
              </w:rPr>
            </w:pPr>
            <w:r>
              <w:rPr>
                <w:rFonts w:ascii="Arial" w:cs="Arial" w:eastAsia="Arial" w:hAnsi="Arial"/>
                <w:sz w:val="18"/>
                <w:szCs w:val="18"/>
                <w:b w:val="1"/>
                <w:bCs w:val="1"/>
                <w:color w:val="auto"/>
              </w:rPr>
              <w:t>Total stockholders’ equity</w:t>
            </w:r>
          </w:p>
        </w:tc>
        <w:tc>
          <w:tcPr>
            <w:tcW w:w="28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515,583</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114,601</w:t>
            </w:r>
          </w:p>
        </w:tc>
        <w:tc>
          <w:tcPr>
            <w:tcW w:w="0" w:type="dxa"/>
            <w:vAlign w:val="bottom"/>
          </w:tcPr>
          <w:p>
            <w:pPr>
              <w:spacing w:after="0"/>
              <w:rPr>
                <w:sz w:val="1"/>
                <w:szCs w:val="1"/>
                <w:color w:val="auto"/>
              </w:rPr>
            </w:pPr>
          </w:p>
        </w:tc>
      </w:tr>
      <w:tr>
        <w:trPr>
          <w:trHeight w:val="27"/>
        </w:trPr>
        <w:tc>
          <w:tcPr>
            <w:tcW w:w="61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8"/>
        </w:trPr>
        <w:tc>
          <w:tcPr>
            <w:tcW w:w="61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b w:val="1"/>
                <w:bCs w:val="1"/>
                <w:color w:val="auto"/>
              </w:rPr>
              <w:t>Total liabilities and stockholders’ equity</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879,695</w:t>
            </w:r>
          </w:p>
        </w:tc>
        <w:tc>
          <w:tcPr>
            <w:tcW w:w="100" w:type="dxa"/>
            <w:vAlign w:val="bottom"/>
            <w:tcBorders>
              <w:bottom w:val="single" w:sz="8" w:color="CCEEFF"/>
            </w:tcBorders>
            <w:shd w:val="clear" w:color="auto" w:fill="CCEEFF"/>
          </w:tcPr>
          <w:p>
            <w:pPr>
              <w:spacing w:after="0"/>
              <w:rPr>
                <w:sz w:val="24"/>
                <w:szCs w:val="24"/>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405,919</w:t>
            </w:r>
          </w:p>
        </w:tc>
        <w:tc>
          <w:tcPr>
            <w:tcW w:w="0" w:type="dxa"/>
            <w:vAlign w:val="bottom"/>
          </w:tcPr>
          <w:p>
            <w:pPr>
              <w:spacing w:after="0"/>
              <w:rPr>
                <w:sz w:val="1"/>
                <w:szCs w:val="1"/>
                <w:color w:val="auto"/>
              </w:rPr>
            </w:pPr>
          </w:p>
        </w:tc>
      </w:tr>
      <w:tr>
        <w:trPr>
          <w:trHeight w:val="20"/>
        </w:trPr>
        <w:tc>
          <w:tcPr>
            <w:tcW w:w="61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7 of 8</w:t>
      </w:r>
    </w:p>
    <w:p>
      <w:pPr>
        <w:sectPr>
          <w:pgSz w:w="11900" w:h="16838" w:orient="portrait"/>
          <w:cols w:equalWidth="0" w:num="1">
            <w:col w:w="9040"/>
          </w:cols>
          <w:pgMar w:left="1420" w:top="715" w:right="1439" w:bottom="1440" w:gutter="0" w:footer="0" w:header="0"/>
        </w:sectPr>
      </w:pPr>
    </w:p>
    <w:bookmarkStart w:id="10" w:name="page11"/>
    <w:bookmarkEnd w:id="10"/>
    <w:p>
      <w:pPr>
        <w:ind w:left="5480"/>
        <w:spacing w:after="0"/>
        <w:rPr>
          <w:sz w:val="20"/>
          <w:szCs w:val="20"/>
          <w:color w:val="auto"/>
        </w:rPr>
      </w:pPr>
      <w:r>
        <w:rPr>
          <w:rFonts w:ascii="Arial" w:cs="Arial" w:eastAsia="Arial" w:hAnsi="Arial"/>
          <w:sz w:val="18"/>
          <w:szCs w:val="18"/>
          <w:color w:val="auto"/>
        </w:rPr>
        <w:t>###</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Investors:</w:t>
      </w:r>
    </w:p>
    <w:p>
      <w:pPr>
        <w:spacing w:after="0" w:line="67" w:lineRule="exact"/>
        <w:rPr>
          <w:sz w:val="20"/>
          <w:szCs w:val="20"/>
          <w:color w:val="auto"/>
        </w:rPr>
      </w:pPr>
    </w:p>
    <w:p>
      <w:pPr>
        <w:spacing w:after="0"/>
        <w:rPr>
          <w:sz w:val="20"/>
          <w:szCs w:val="20"/>
          <w:color w:val="auto"/>
        </w:rPr>
      </w:pPr>
      <w:r>
        <w:rPr>
          <w:rFonts w:ascii="Arial" w:cs="Arial" w:eastAsia="Arial" w:hAnsi="Arial"/>
          <w:sz w:val="18"/>
          <w:szCs w:val="18"/>
          <w:color w:val="auto"/>
        </w:rPr>
        <w:t>Mark Kinarney</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Senior Director, Investor Relations</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978-671-8842</w:t>
      </w:r>
    </w:p>
    <w:p>
      <w:pPr>
        <w:spacing w:after="0" w:line="200" w:lineRule="exact"/>
        <w:rPr>
          <w:sz w:val="20"/>
          <w:szCs w:val="20"/>
          <w:color w:val="auto"/>
        </w:rPr>
      </w:pPr>
    </w:p>
    <w:p>
      <w:pPr>
        <w:spacing w:after="0" w:line="363" w:lineRule="exact"/>
        <w:rPr>
          <w:sz w:val="20"/>
          <w:szCs w:val="20"/>
          <w:color w:val="auto"/>
        </w:rPr>
      </w:pPr>
    </w:p>
    <w:p>
      <w:pPr>
        <w:spacing w:after="0"/>
        <w:rPr>
          <w:sz w:val="20"/>
          <w:szCs w:val="20"/>
          <w:color w:val="auto"/>
        </w:rPr>
      </w:pPr>
      <w:r>
        <w:rPr>
          <w:rFonts w:ascii="Arial" w:cs="Arial" w:eastAsia="Arial" w:hAnsi="Arial"/>
          <w:sz w:val="18"/>
          <w:szCs w:val="18"/>
          <w:color w:val="auto"/>
        </w:rPr>
        <w:t>Melissa Downs</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Associate Director, Communications</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646-975-2533</w:t>
      </w:r>
    </w:p>
    <w:p>
      <w:pPr>
        <w:spacing w:after="0" w:line="158" w:lineRule="exact"/>
        <w:rPr>
          <w:sz w:val="20"/>
          <w:szCs w:val="20"/>
          <w:color w:val="auto"/>
        </w:rPr>
      </w:pPr>
    </w:p>
    <w:p>
      <w:pPr>
        <w:jc w:val="right"/>
        <w:ind w:right="4099"/>
        <w:spacing w:after="0"/>
        <w:rPr>
          <w:sz w:val="20"/>
          <w:szCs w:val="20"/>
          <w:color w:val="auto"/>
        </w:rPr>
      </w:pPr>
      <w:r>
        <w:rPr>
          <w:rFonts w:ascii="Arial" w:cs="Arial" w:eastAsia="Arial" w:hAnsi="Arial"/>
          <w:sz w:val="18"/>
          <w:szCs w:val="18"/>
          <w:color w:val="auto"/>
        </w:rPr>
        <w:t>Page 8 of 8</w:t>
      </w:r>
    </w:p>
    <w:sectPr>
      <w:pgSz w:w="11900" w:h="16838" w:orient="portrait"/>
      <w:cols w:equalWidth="0" w:num="1">
        <w:col w:w="10139"/>
      </w:cols>
      <w:pgMar w:left="320" w:top="88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
      <w:numFmt w:val="bullet"/>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2020-07-30T07:34:53Z</dcterms:created>
  <dcterms:modified xsi:type="dcterms:W3CDTF">2020-07-30T07:34:53Z</dcterms:modified>
</cp:coreProperties>
</file>