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5098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509895"/>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DUFFY MICHAEL P</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7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Lantheus Holdings,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LNTH</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5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09/11/2017</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86"/>
        <w:spacing w:after="0"/>
        <w:rPr>
          <w:sz w:val="20"/>
          <w:szCs w:val="20"/>
          <w:color w:val="auto"/>
        </w:rPr>
      </w:pPr>
      <w:r>
        <w:rPr>
          <w:rFonts w:ascii="Arial" w:cs="Arial" w:eastAsia="Arial" w:hAnsi="Arial"/>
          <w:sz w:val="17"/>
          <w:szCs w:val="17"/>
          <w:color w:val="0000FF"/>
        </w:rPr>
        <w:t>See Remarks</w:t>
      </w:r>
    </w:p>
    <w:p>
      <w:pPr>
        <w:spacing w:after="0" w:line="574" w:lineRule="exact"/>
        <w:rPr>
          <w:sz w:val="24"/>
          <w:szCs w:val="24"/>
          <w:color w:val="auto"/>
        </w:rPr>
      </w:pPr>
    </w:p>
    <w:p>
      <w:pPr>
        <w:sectPr>
          <w:pgSz w:w="11900" w:h="16838" w:orient="portrait"/>
          <w:cols w:equalWidth="0" w:num="3">
            <w:col w:w="3360" w:space="720"/>
            <w:col w:w="3254" w:space="720"/>
            <w:col w:w="3466"/>
          </w:cols>
          <w:pgMar w:left="240" w:top="225" w:right="139" w:bottom="1440" w:gutter="0" w:footer="0" w:header="0"/>
          <w:type w:val="continuous"/>
        </w:sectPr>
      </w:pPr>
    </w:p>
    <w:p>
      <w:pPr>
        <w:spacing w:after="0" w:line="137"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3"/>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NORTH</w:t>
            </w:r>
          </w:p>
        </w:tc>
        <w:tc>
          <w:tcPr>
            <w:tcW w:w="1020" w:type="dxa"/>
            <w:vAlign w:val="bottom"/>
            <w:vMerge w:val="restart"/>
          </w:tcPr>
          <w:p>
            <w:pPr>
              <w:ind w:left="180"/>
              <w:spacing w:after="0"/>
              <w:rPr>
                <w:sz w:val="20"/>
                <w:szCs w:val="20"/>
                <w:color w:val="auto"/>
              </w:rPr>
            </w:pPr>
            <w:r>
              <w:rPr>
                <w:rFonts w:ascii="Arial" w:cs="Arial" w:eastAsia="Arial" w:hAnsi="Arial"/>
                <w:sz w:val="17"/>
                <w:szCs w:val="17"/>
                <w:color w:val="0000FF"/>
              </w:rPr>
              <w:t>MA</w:t>
            </w:r>
          </w:p>
        </w:tc>
        <w:tc>
          <w:tcPr>
            <w:tcW w:w="1680" w:type="dxa"/>
            <w:vAlign w:val="bottom"/>
            <w:vMerge w:val="restart"/>
          </w:tcPr>
          <w:p>
            <w:pPr>
              <w:ind w:left="440"/>
              <w:spacing w:after="0"/>
              <w:rPr>
                <w:sz w:val="20"/>
                <w:szCs w:val="20"/>
                <w:color w:val="auto"/>
              </w:rPr>
            </w:pPr>
            <w:r>
              <w:rPr>
                <w:rFonts w:ascii="Arial" w:cs="Arial" w:eastAsia="Arial" w:hAnsi="Arial"/>
                <w:sz w:val="17"/>
                <w:szCs w:val="17"/>
                <w:color w:val="0000FF"/>
              </w:rPr>
              <w:t>01862</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100" w:type="dxa"/>
            <w:vAlign w:val="bottom"/>
            <w:vMerge w:val="restart"/>
          </w:tcPr>
          <w:p>
            <w:pPr>
              <w:spacing w:after="0"/>
              <w:rPr>
                <w:sz w:val="20"/>
                <w:szCs w:val="20"/>
                <w:color w:val="auto"/>
              </w:rPr>
            </w:pPr>
            <w:r>
              <w:rPr>
                <w:rFonts w:ascii="Arial" w:cs="Arial" w:eastAsia="Arial" w:hAnsi="Arial"/>
                <w:sz w:val="17"/>
                <w:szCs w:val="17"/>
                <w:color w:val="0000FF"/>
              </w:rPr>
              <w:t>BILLERICA</w:t>
            </w:r>
          </w:p>
        </w:tc>
        <w:tc>
          <w:tcPr>
            <w:tcW w:w="102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8"/>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20" w:type="dxa"/>
            <w:vAlign w:val="bottom"/>
          </w:tcPr>
          <w:p>
            <w:pPr>
              <w:ind w:left="18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920" w:space="16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600"/>
              <w:spacing w:after="0" w:line="132"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1"/>
                <w:szCs w:val="11"/>
                <w:color w:val="auto"/>
              </w:rPr>
            </w:pPr>
          </w:p>
        </w:tc>
        <w:tc>
          <w:tcPr>
            <w:tcW w:w="12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ind w:left="600"/>
              <w:spacing w:after="0" w:line="134"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09/11/2017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20,000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5.62</w:t>
            </w:r>
          </w:p>
        </w:tc>
        <w:tc>
          <w:tcPr>
            <w:tcW w:w="18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184,218</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09/11/2017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20,000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16.4489</w:t>
            </w:r>
            <w:r>
              <w:rPr>
                <w:rFonts w:ascii="Arial" w:cs="Arial" w:eastAsia="Arial" w:hAnsi="Arial"/>
                <w:sz w:val="22"/>
                <w:szCs w:val="22"/>
                <w:color w:val="008000"/>
                <w:w w:val="90"/>
                <w:vertAlign w:val="superscript"/>
              </w:rPr>
              <w:t>(2)</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164,218</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w w:val="98"/>
              </w:rPr>
              <w:t>Expiration</w:t>
            </w: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5.62</w:t>
            </w:r>
          </w:p>
        </w:tc>
        <w:tc>
          <w:tcPr>
            <w:tcW w:w="1080" w:type="dxa"/>
            <w:vAlign w:val="bottom"/>
          </w:tcPr>
          <w:p>
            <w:pPr>
              <w:jc w:val="right"/>
              <w:ind w:right="138"/>
              <w:spacing w:after="0"/>
              <w:rPr>
                <w:sz w:val="20"/>
                <w:szCs w:val="20"/>
                <w:color w:val="auto"/>
              </w:rPr>
            </w:pPr>
            <w:r>
              <w:rPr>
                <w:rFonts w:ascii="Arial" w:cs="Arial" w:eastAsia="Arial" w:hAnsi="Arial"/>
                <w:sz w:val="13"/>
                <w:szCs w:val="13"/>
                <w:color w:val="0000FF"/>
              </w:rPr>
              <w:t>09/11/2017</w:t>
            </w:r>
          </w:p>
        </w:tc>
        <w:tc>
          <w:tcPr>
            <w:tcW w:w="1180" w:type="dxa"/>
            <w:vAlign w:val="bottom"/>
          </w:tcPr>
          <w:p>
            <w:pPr>
              <w:spacing w:after="0"/>
              <w:rPr>
                <w:sz w:val="18"/>
                <w:szCs w:val="18"/>
                <w:color w:val="auto"/>
              </w:rPr>
            </w:pPr>
          </w:p>
        </w:tc>
        <w:tc>
          <w:tcPr>
            <w:tcW w:w="460" w:type="dxa"/>
            <w:vAlign w:val="bottom"/>
          </w:tcPr>
          <w:p>
            <w:pPr>
              <w:ind w:left="100"/>
              <w:spacing w:after="0" w:line="212" w:lineRule="exact"/>
              <w:rPr>
                <w:sz w:val="20"/>
                <w:szCs w:val="20"/>
                <w:color w:val="auto"/>
              </w:rPr>
            </w:pPr>
            <w:r>
              <w:rPr>
                <w:rFonts w:ascii="Arial" w:cs="Arial" w:eastAsia="Arial" w:hAnsi="Arial"/>
                <w:sz w:val="24"/>
                <w:szCs w:val="24"/>
                <w:color w:val="0000FF"/>
                <w:vertAlign w:val="subscript"/>
              </w:rPr>
              <w:t>M</w:t>
            </w:r>
            <w:r>
              <w:rPr>
                <w:rFonts w:ascii="Arial" w:cs="Arial" w:eastAsia="Arial" w:hAnsi="Arial"/>
                <w:sz w:val="11"/>
                <w:szCs w:val="11"/>
                <w:color w:val="008000"/>
              </w:rPr>
              <w:t>(1)</w:t>
            </w:r>
          </w:p>
        </w:tc>
        <w:tc>
          <w:tcPr>
            <w:tcW w:w="440" w:type="dxa"/>
            <w:vAlign w:val="bottom"/>
          </w:tcPr>
          <w:p>
            <w:pPr>
              <w:spacing w:after="0"/>
              <w:rPr>
                <w:sz w:val="18"/>
                <w:szCs w:val="18"/>
                <w:color w:val="auto"/>
              </w:rPr>
            </w:pPr>
          </w:p>
        </w:tc>
        <w:tc>
          <w:tcPr>
            <w:tcW w:w="720" w:type="dxa"/>
            <w:vAlign w:val="bottom"/>
          </w:tcPr>
          <w:p>
            <w:pPr>
              <w:ind w:left="320"/>
              <w:spacing w:after="0"/>
              <w:rPr>
                <w:sz w:val="20"/>
                <w:szCs w:val="20"/>
                <w:color w:val="auto"/>
              </w:rPr>
            </w:pPr>
            <w:r>
              <w:rPr>
                <w:rFonts w:ascii="Arial" w:cs="Arial" w:eastAsia="Arial" w:hAnsi="Arial"/>
                <w:sz w:val="13"/>
                <w:szCs w:val="13"/>
                <w:color w:val="0000FF"/>
                <w:w w:val="95"/>
              </w:rPr>
              <w:t>20,000</w:t>
            </w:r>
          </w:p>
        </w:tc>
        <w:tc>
          <w:tcPr>
            <w:tcW w:w="820" w:type="dxa"/>
            <w:vAlign w:val="bottom"/>
          </w:tcPr>
          <w:p>
            <w:pPr>
              <w:ind w:left="380"/>
              <w:spacing w:after="0"/>
              <w:rPr>
                <w:sz w:val="20"/>
                <w:szCs w:val="20"/>
                <w:color w:val="auto"/>
              </w:rPr>
            </w:pPr>
            <w:r>
              <w:rPr>
                <w:rFonts w:ascii="Arial" w:cs="Arial" w:eastAsia="Arial" w:hAnsi="Arial"/>
                <w:sz w:val="11"/>
                <w:szCs w:val="11"/>
                <w:color w:val="008000"/>
              </w:rPr>
              <w:t>(3)</w:t>
            </w:r>
          </w:p>
        </w:tc>
        <w:tc>
          <w:tcPr>
            <w:tcW w:w="800" w:type="dxa"/>
            <w:vAlign w:val="bottom"/>
          </w:tcPr>
          <w:p>
            <w:pPr>
              <w:jc w:val="center"/>
              <w:spacing w:after="0"/>
              <w:rPr>
                <w:sz w:val="20"/>
                <w:szCs w:val="20"/>
                <w:color w:val="auto"/>
              </w:rPr>
            </w:pPr>
            <w:r>
              <w:rPr>
                <w:rFonts w:ascii="Arial" w:cs="Arial" w:eastAsia="Arial" w:hAnsi="Arial"/>
                <w:sz w:val="13"/>
                <w:szCs w:val="13"/>
                <w:color w:val="0000FF"/>
                <w:w w:val="92"/>
              </w:rPr>
              <w:t>01/18/2018</w:t>
            </w:r>
          </w:p>
        </w:tc>
        <w:tc>
          <w:tcPr>
            <w:tcW w:w="560" w:type="dxa"/>
            <w:vAlign w:val="bottom"/>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tcPr>
          <w:p>
            <w:pPr>
              <w:ind w:left="140"/>
              <w:spacing w:after="0"/>
              <w:rPr>
                <w:sz w:val="20"/>
                <w:szCs w:val="20"/>
                <w:color w:val="auto"/>
              </w:rPr>
            </w:pPr>
            <w:r>
              <w:rPr>
                <w:rFonts w:ascii="Arial" w:cs="Arial" w:eastAsia="Arial" w:hAnsi="Arial"/>
                <w:sz w:val="17"/>
                <w:szCs w:val="17"/>
                <w:color w:val="0000FF"/>
              </w:rPr>
              <w:t>20,000</w:t>
            </w:r>
          </w:p>
        </w:tc>
        <w:tc>
          <w:tcPr>
            <w:tcW w:w="180" w:type="dxa"/>
            <w:vAlign w:val="bottom"/>
          </w:tcPr>
          <w:p>
            <w:pPr>
              <w:spacing w:after="0"/>
              <w:rPr>
                <w:sz w:val="18"/>
                <w:szCs w:val="18"/>
                <w:color w:val="auto"/>
              </w:rPr>
            </w:pPr>
          </w:p>
        </w:tc>
        <w:tc>
          <w:tcPr>
            <w:tcW w:w="600" w:type="dxa"/>
            <w:vAlign w:val="bottom"/>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80"/>
              <w:spacing w:after="0"/>
              <w:rPr>
                <w:sz w:val="20"/>
                <w:szCs w:val="20"/>
                <w:color w:val="auto"/>
              </w:rPr>
            </w:pPr>
            <w:r>
              <w:rPr>
                <w:rFonts w:ascii="Arial" w:cs="Arial" w:eastAsia="Arial" w:hAnsi="Arial"/>
                <w:sz w:val="13"/>
                <w:szCs w:val="13"/>
                <w:color w:val="0000FF"/>
                <w:w w:val="98"/>
              </w:rPr>
              <w:t>4,484</w:t>
            </w:r>
          </w:p>
        </w:tc>
        <w:tc>
          <w:tcPr>
            <w:tcW w:w="280" w:type="dxa"/>
            <w:vAlign w:val="bottom"/>
          </w:tcPr>
          <w:p>
            <w:pPr>
              <w:spacing w:after="0"/>
              <w:rPr>
                <w:sz w:val="18"/>
                <w:szCs w:val="18"/>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20" w:type="dxa"/>
            <w:vAlign w:val="bottom"/>
          </w:tcPr>
          <w:p>
            <w:pPr>
              <w:ind w:left="60"/>
              <w:spacing w:after="0" w:line="95" w:lineRule="exact"/>
              <w:rPr>
                <w:sz w:val="20"/>
                <w:szCs w:val="20"/>
                <w:color w:val="auto"/>
              </w:rPr>
            </w:pPr>
            <w:r>
              <w:rPr>
                <w:rFonts w:ascii="Arial" w:cs="Arial" w:eastAsia="Arial" w:hAnsi="Arial"/>
                <w:sz w:val="11"/>
                <w:szCs w:val="11"/>
                <w:color w:val="0000FF"/>
              </w:rPr>
              <w:t>(right to</w:t>
            </w: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ind w:left="160"/>
              <w:spacing w:after="0" w:line="95" w:lineRule="exact"/>
              <w:rPr>
                <w:sz w:val="20"/>
                <w:szCs w:val="20"/>
                <w:color w:val="auto"/>
              </w:rPr>
            </w:pPr>
            <w:r>
              <w:rPr>
                <w:rFonts w:ascii="Arial" w:cs="Arial" w:eastAsia="Arial" w:hAnsi="Arial"/>
                <w:sz w:val="11"/>
                <w:szCs w:val="11"/>
                <w:color w:val="0000FF"/>
              </w:rPr>
              <w:t>Stock</w:t>
            </w:r>
          </w:p>
        </w:tc>
        <w:tc>
          <w:tcPr>
            <w:tcW w:w="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transactions reported in this Form 4 were effected pursuant to a Rule 10b5-1 trading plan adopted by the reporting person on May 12, 2017.</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$16.3969 to $16.50, inclusive. The reporting person undertakes to provide to Lantheus Holdings, Inc., any security holder of Lantheus Holdings, Inc. or the staff of the Securities and Exchange Commission, upon request, full information regarding the number of shares sold at each separate price within the ranges set forth in this footnote (2) to this Form 4.</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option, originally representing a right to purchase a total of 44,484 shares of common stock, became exercisable in five equal annual installments beginning on January 16, 2009.</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7"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SVP, General Counsel and Secretary</w:t>
      </w:r>
    </w:p>
    <w:p>
      <w:pPr>
        <w:spacing w:after="0" w:line="68"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2"/>
          </w:tcPr>
          <w:p>
            <w:pPr>
              <w:spacing w:after="0"/>
              <w:rPr>
                <w:sz w:val="20"/>
                <w:szCs w:val="20"/>
                <w:color w:val="auto"/>
              </w:rPr>
            </w:pPr>
            <w:r>
              <w:rPr>
                <w:rFonts w:ascii="Arial" w:cs="Arial" w:eastAsia="Arial" w:hAnsi="Arial"/>
                <w:sz w:val="17"/>
                <w:szCs w:val="17"/>
                <w:color w:val="0000FF"/>
              </w:rPr>
              <w:t>/s/ Michael P. Duffy</w:t>
            </w:r>
          </w:p>
        </w:tc>
        <w:tc>
          <w:tcPr>
            <w:tcW w:w="780" w:type="dxa"/>
            <w:vAlign w:val="bottom"/>
          </w:tcPr>
          <w:p>
            <w:pPr>
              <w:spacing w:after="0"/>
              <w:rPr>
                <w:sz w:val="20"/>
                <w:szCs w:val="20"/>
                <w:color w:val="auto"/>
              </w:rPr>
            </w:pPr>
            <w:r>
              <w:rPr>
                <w:rFonts w:ascii="Arial" w:cs="Arial" w:eastAsia="Arial" w:hAnsi="Arial"/>
                <w:sz w:val="17"/>
                <w:szCs w:val="17"/>
                <w:color w:val="0000FF"/>
                <w:w w:val="89"/>
              </w:rPr>
              <w:t>09/13/2017</w:t>
            </w:r>
          </w:p>
        </w:tc>
      </w:tr>
      <w:tr>
        <w:trPr>
          <w:trHeight w:val="20"/>
        </w:trPr>
        <w:tc>
          <w:tcPr>
            <w:tcW w:w="140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5"/>
        </w:trPr>
        <w:tc>
          <w:tcPr>
            <w:tcW w:w="23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37200"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2019-12-23T15:52:49Z</dcterms:created>
  <dcterms:modified xsi:type="dcterms:W3CDTF">2019-12-23T15:52:49Z</dcterms:modified>
</cp:coreProperties>
</file>