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167640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4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199390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1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17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September 7,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185420</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6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LANTHEUS HOLDINGS, INC.</w:t>
      </w:r>
    </w:p>
    <w:p>
      <w:pPr>
        <w:spacing w:after="0" w:line="5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176530</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420"/>
          </w:cols>
          <w:pgMar w:left="240" w:top="362" w:right="239" w:bottom="1440" w:gutter="0" w:footer="0" w:header="0"/>
        </w:sectPr>
      </w:pPr>
    </w:p>
    <w:p>
      <w:pPr>
        <w:spacing w:after="0" w:line="200" w:lineRule="exact"/>
        <w:rPr>
          <w:sz w:val="24"/>
          <w:szCs w:val="24"/>
          <w:color w:val="auto"/>
        </w:rPr>
      </w:pPr>
    </w:p>
    <w:p>
      <w:pPr>
        <w:spacing w:after="0" w:line="244" w:lineRule="exact"/>
        <w:rPr>
          <w:sz w:val="24"/>
          <w:szCs w:val="24"/>
          <w:color w:val="auto"/>
        </w:rPr>
      </w:pPr>
    </w:p>
    <w:p>
      <w:pPr>
        <w:ind w:left="1580"/>
        <w:spacing w:after="0"/>
        <w:rPr>
          <w:sz w:val="20"/>
          <w:szCs w:val="20"/>
          <w:color w:val="auto"/>
        </w:rPr>
      </w:pPr>
      <w:r>
        <w:rPr>
          <w:rFonts w:ascii="Times New Roman" w:cs="Times New Roman" w:eastAsia="Times New Roman" w:hAnsi="Times New Roman"/>
          <w:sz w:val="17"/>
          <w:szCs w:val="17"/>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4" w:lineRule="exact"/>
        <w:rPr>
          <w:sz w:val="24"/>
          <w:szCs w:val="24"/>
          <w:color w:val="auto"/>
        </w:rPr>
      </w:pPr>
    </w:p>
    <w:p>
      <w:pPr>
        <w:jc w:val="center"/>
        <w:ind w:right="2200"/>
        <w:spacing w:after="0"/>
        <w:rPr>
          <w:sz w:val="20"/>
          <w:szCs w:val="20"/>
          <w:color w:val="auto"/>
        </w:rPr>
      </w:pPr>
      <w:r>
        <w:rPr>
          <w:rFonts w:ascii="Times New Roman" w:cs="Times New Roman" w:eastAsia="Times New Roman" w:hAnsi="Times New Roman"/>
          <w:sz w:val="17"/>
          <w:szCs w:val="17"/>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4"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35-2318913</w:t>
      </w:r>
    </w:p>
    <w:p>
      <w:pPr>
        <w:spacing w:after="0" w:line="12" w:lineRule="exact"/>
        <w:rPr>
          <w:sz w:val="24"/>
          <w:szCs w:val="24"/>
          <w:color w:val="auto"/>
        </w:rPr>
      </w:pPr>
    </w:p>
    <w:p>
      <w:pPr>
        <w:sectPr>
          <w:pgSz w:w="11900" w:h="16838" w:orient="portrait"/>
          <w:cols w:equalWidth="0" w:num="3">
            <w:col w:w="4740" w:space="720"/>
            <w:col w:w="2980" w:space="720"/>
            <w:col w:w="2260"/>
          </w:cols>
          <w:pgMar w:left="240" w:top="362" w:right="239" w:bottom="1440" w:gutter="0" w:footer="0" w:header="0"/>
          <w:type w:val="continuous"/>
        </w:sectPr>
      </w:pPr>
    </w:p>
    <w:p>
      <w:pPr>
        <w:jc w:val="center"/>
        <w:ind w:right="820"/>
        <w:spacing w:after="0"/>
        <w:rPr>
          <w:sz w:val="20"/>
          <w:szCs w:val="20"/>
          <w:color w:val="auto"/>
        </w:rPr>
      </w:pPr>
      <w:r>
        <w:rPr>
          <w:rFonts w:ascii="Times New Roman" w:cs="Times New Roman" w:eastAsia="Times New Roman" w:hAnsi="Times New Roman"/>
          <w:sz w:val="14"/>
          <w:szCs w:val="14"/>
          <w:b w:val="1"/>
          <w:bCs w:val="1"/>
          <w:color w:val="auto"/>
        </w:rPr>
        <w:t>(State or other jurisdiction</w:t>
      </w:r>
    </w:p>
    <w:p>
      <w:pPr>
        <w:jc w:val="center"/>
        <w:ind w:right="820"/>
        <w:spacing w:after="0"/>
        <w:rPr>
          <w:sz w:val="20"/>
          <w:szCs w:val="20"/>
          <w:color w:val="auto"/>
        </w:rPr>
      </w:pPr>
      <w:r>
        <w:rPr>
          <w:rFonts w:ascii="Times New Roman" w:cs="Times New Roman" w:eastAsia="Times New Roman" w:hAnsi="Times New Roman"/>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Times New Roman" w:cs="Times New Roman" w:eastAsia="Times New Roman" w:hAnsi="Times New Roman"/>
          <w:sz w:val="14"/>
          <w:szCs w:val="14"/>
          <w:b w:val="1"/>
          <w:bCs w:val="1"/>
          <w:color w:val="auto"/>
        </w:rPr>
        <w:t>(Commission</w:t>
      </w:r>
    </w:p>
    <w:p>
      <w:pPr>
        <w:spacing w:after="0"/>
        <w:rPr>
          <w:sz w:val="20"/>
          <w:szCs w:val="20"/>
          <w:color w:val="auto"/>
        </w:rPr>
      </w:pPr>
      <w:r>
        <w:rPr>
          <w:rFonts w:ascii="Times New Roman" w:cs="Times New Roman" w:eastAsia="Times New Roman" w:hAnsi="Times New Roman"/>
          <w:sz w:val="14"/>
          <w:szCs w:val="14"/>
          <w:b w:val="1"/>
          <w:bCs w:val="1"/>
          <w:color w:val="auto"/>
        </w:rPr>
        <w:t>File Number)</w:t>
      </w:r>
    </w:p>
    <w:p>
      <w:pPr>
        <w:spacing w:after="0" w:line="20" w:lineRule="exact"/>
        <w:rPr>
          <w:sz w:val="24"/>
          <w:szCs w:val="24"/>
          <w:color w:val="auto"/>
        </w:rPr>
      </w:pPr>
      <w:r>
        <w:rPr>
          <w:sz w:val="24"/>
          <w:szCs w:val="24"/>
          <w:color w:val="auto"/>
        </w:rPr>
        <w:br w:type="column"/>
      </w:r>
    </w:p>
    <w:p>
      <w:pPr>
        <w:jc w:val="center"/>
        <w:ind w:right="1260"/>
        <w:spacing w:after="0"/>
        <w:rPr>
          <w:sz w:val="20"/>
          <w:szCs w:val="20"/>
          <w:color w:val="auto"/>
        </w:rPr>
      </w:pPr>
      <w:r>
        <w:rPr>
          <w:rFonts w:ascii="Times New Roman" w:cs="Times New Roman" w:eastAsia="Times New Roman" w:hAnsi="Times New Roman"/>
          <w:sz w:val="14"/>
          <w:szCs w:val="14"/>
          <w:b w:val="1"/>
          <w:bCs w:val="1"/>
          <w:color w:val="auto"/>
        </w:rPr>
        <w:t>(IRS Employer</w:t>
      </w:r>
    </w:p>
    <w:p>
      <w:pPr>
        <w:jc w:val="center"/>
        <w:ind w:right="1260"/>
        <w:spacing w:after="0"/>
        <w:rPr>
          <w:sz w:val="20"/>
          <w:szCs w:val="20"/>
          <w:color w:val="auto"/>
        </w:rPr>
      </w:pPr>
      <w:r>
        <w:rPr>
          <w:rFonts w:ascii="Times New Roman" w:cs="Times New Roman" w:eastAsia="Times New Roman" w:hAnsi="Times New Roman"/>
          <w:sz w:val="14"/>
          <w:szCs w:val="14"/>
          <w:b w:val="1"/>
          <w:bCs w:val="1"/>
          <w:color w:val="auto"/>
        </w:rPr>
        <w:t>Identification No.)</w:t>
      </w:r>
    </w:p>
    <w:p>
      <w:pPr>
        <w:spacing w:after="0" w:line="200" w:lineRule="exact"/>
        <w:rPr>
          <w:sz w:val="24"/>
          <w:szCs w:val="24"/>
          <w:color w:val="auto"/>
        </w:rPr>
      </w:pPr>
    </w:p>
    <w:p>
      <w:pPr>
        <w:sectPr>
          <w:pgSz w:w="11900" w:h="16838" w:orient="portrait"/>
          <w:cols w:equalWidth="0" w:num="3">
            <w:col w:w="4700" w:space="720"/>
            <w:col w:w="2900" w:space="720"/>
            <w:col w:w="2380"/>
          </w:cols>
          <w:pgMar w:left="240" w:top="362" w:right="239" w:bottom="1440" w:gutter="0" w:footer="0" w:header="0"/>
          <w:type w:val="continuous"/>
        </w:sectPr>
      </w:pPr>
    </w:p>
    <w:p>
      <w:pPr>
        <w:spacing w:after="0" w:line="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331 Treble Cove Road, North Billerica, MA 01862</w:t>
      </w:r>
    </w:p>
    <w:p>
      <w:pPr>
        <w:spacing w:after="0" w:line="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 (Zip code)</w:t>
      </w:r>
    </w:p>
    <w:p>
      <w:pPr>
        <w:spacing w:after="0" w:line="18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7"/>
          <w:szCs w:val="17"/>
          <w:b w:val="1"/>
          <w:bCs w:val="1"/>
          <w:color w:val="auto"/>
        </w:rPr>
        <w:t>Registrant’s telephone number, including area code: (978) 671-8001</w:t>
      </w:r>
    </w:p>
    <w:p>
      <w:pPr>
        <w:spacing w:after="0" w:line="2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ectPr>
          <w:pgSz w:w="11900" w:h="16838" w:orient="portrait"/>
          <w:cols w:equalWidth="0" w:num="1">
            <w:col w:w="11420"/>
          </w:cols>
          <w:pgMar w:left="240" w:top="362" w:right="239" w:bottom="1440" w:gutter="0" w:footer="0" w:header="0"/>
          <w:type w:val="continuous"/>
        </w:sectPr>
      </w:pPr>
    </w:p>
    <w:p>
      <w:pPr>
        <w:spacing w:after="0" w:line="200" w:lineRule="exact"/>
        <w:rPr>
          <w:sz w:val="24"/>
          <w:szCs w:val="24"/>
          <w:color w:val="auto"/>
        </w:rPr>
      </w:pPr>
    </w:p>
    <w:p>
      <w:pPr>
        <w:spacing w:after="0" w:line="370" w:lineRule="exact"/>
        <w:rPr>
          <w:sz w:val="24"/>
          <w:szCs w:val="24"/>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7"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ind w:left="916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ind w:right="14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133985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176530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362" w:right="239" w:bottom="1440" w:gutter="0" w:footer="0" w:header="0"/>
          <w:type w:val="continuous"/>
        </w:sectPr>
      </w:pPr>
    </w:p>
    <w:bookmarkStart w:id="1" w:name="page2"/>
    <w:bookmarkEnd w:id="1"/>
    <w:p>
      <w:pPr>
        <w:ind w:left="1140" w:right="40" w:hanging="1133"/>
        <w:spacing w:after="0" w:line="286" w:lineRule="auto"/>
        <w:tabs>
          <w:tab w:leader="none" w:pos="112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5.02.</w:t>
      </w:r>
      <w:r>
        <w:rPr>
          <w:sz w:val="20"/>
          <w:szCs w:val="20"/>
          <w:color w:val="auto"/>
        </w:rPr>
        <w:tab/>
      </w:r>
      <w:r>
        <w:rPr>
          <w:rFonts w:ascii="Times New Roman" w:cs="Times New Roman" w:eastAsia="Times New Roman" w:hAnsi="Times New Roman"/>
          <w:sz w:val="18"/>
          <w:szCs w:val="18"/>
          <w:b w:val="1"/>
          <w:bCs w:val="1"/>
          <w:color w:val="auto"/>
        </w:rPr>
        <w:t>Departure of Directors or Certain Officers; Election of Directors; Appointment of Certain Officers; Compensatory Arrangements of Certain Officers</w:t>
      </w:r>
    </w:p>
    <w:p>
      <w:pPr>
        <w:spacing w:after="0" w:line="51" w:lineRule="exact"/>
        <w:rPr>
          <w:sz w:val="20"/>
          <w:szCs w:val="20"/>
          <w:color w:val="auto"/>
        </w:rPr>
      </w:pPr>
    </w:p>
    <w:p>
      <w:pPr>
        <w:ind w:firstLine="456"/>
        <w:spacing w:after="0" w:line="261" w:lineRule="auto"/>
        <w:rPr>
          <w:sz w:val="20"/>
          <w:szCs w:val="20"/>
          <w:color w:val="auto"/>
        </w:rPr>
      </w:pPr>
      <w:r>
        <w:rPr>
          <w:rFonts w:ascii="Times New Roman" w:cs="Times New Roman" w:eastAsia="Times New Roman" w:hAnsi="Times New Roman"/>
          <w:sz w:val="18"/>
          <w:szCs w:val="18"/>
          <w:color w:val="auto"/>
        </w:rPr>
        <w:t>On September 7, 2017, David Burgstahler resigned from the board of directors (the “</w:t>
      </w:r>
      <w:r>
        <w:rPr>
          <w:rFonts w:ascii="Times New Roman" w:cs="Times New Roman" w:eastAsia="Times New Roman" w:hAnsi="Times New Roman"/>
          <w:sz w:val="18"/>
          <w:szCs w:val="18"/>
          <w:u w:val="single" w:color="auto"/>
          <w:color w:val="auto"/>
        </w:rPr>
        <w:t>Board</w:t>
      </w:r>
      <w:r>
        <w:rPr>
          <w:rFonts w:ascii="Times New Roman" w:cs="Times New Roman" w:eastAsia="Times New Roman" w:hAnsi="Times New Roman"/>
          <w:sz w:val="18"/>
          <w:szCs w:val="18"/>
          <w:color w:val="auto"/>
        </w:rPr>
        <w:t>”) of Lantheus Holdings, Inc. (the “</w:t>
      </w:r>
      <w:r>
        <w:rPr>
          <w:rFonts w:ascii="Times New Roman" w:cs="Times New Roman" w:eastAsia="Times New Roman" w:hAnsi="Times New Roman"/>
          <w:sz w:val="18"/>
          <w:szCs w:val="18"/>
          <w:u w:val="single" w:color="auto"/>
          <w:color w:val="auto"/>
        </w:rPr>
        <w:t>Company</w:t>
      </w:r>
      <w:r>
        <w:rPr>
          <w:rFonts w:ascii="Times New Roman" w:cs="Times New Roman" w:eastAsia="Times New Roman" w:hAnsi="Times New Roman"/>
          <w:sz w:val="18"/>
          <w:szCs w:val="18"/>
          <w:color w:val="auto"/>
        </w:rPr>
        <w:t>”), effective as of 5pm on such date. Mr. Burgstahler has served on the Board since December 2007 and has also most recently served as a member of the Board’s Nominating and Corporate Governance Committee. Mr. Burgstahler’s resignation is not due to a disagreement with the Company, the Board or management on any matter relating to the Company’s operations, policies or practices.</w:t>
      </w:r>
    </w:p>
    <w:p>
      <w:pPr>
        <w:sectPr>
          <w:pgSz w:w="11900" w:h="16838" w:orient="portrait"/>
          <w:cols w:equalWidth="0" w:num="1">
            <w:col w:w="11340"/>
          </w:cols>
          <w:pgMar w:left="240" w:top="266" w:right="31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5" w:lineRule="exact"/>
        <w:rPr>
          <w:sz w:val="20"/>
          <w:szCs w:val="20"/>
          <w:color w:val="auto"/>
        </w:rPr>
      </w:pPr>
    </w:p>
    <w:p>
      <w:pPr>
        <w:ind w:right="680" w:firstLine="456"/>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89" w:lineRule="exact"/>
        <w:rPr>
          <w:sz w:val="20"/>
          <w:szCs w:val="20"/>
          <w:color w:val="auto"/>
        </w:rPr>
      </w:pPr>
    </w:p>
    <w:p>
      <w:pPr>
        <w:ind w:left="6860"/>
        <w:spacing w:after="0"/>
        <w:rPr>
          <w:sz w:val="20"/>
          <w:szCs w:val="20"/>
          <w:color w:val="auto"/>
        </w:rPr>
      </w:pPr>
      <w:r>
        <w:rPr>
          <w:rFonts w:ascii="Times New Roman" w:cs="Times New Roman" w:eastAsia="Times New Roman" w:hAnsi="Times New Roman"/>
          <w:sz w:val="18"/>
          <w:szCs w:val="18"/>
          <w:color w:val="auto"/>
        </w:rPr>
        <w:t>LANTHEUS HOLDINGS, INC.</w:t>
      </w:r>
    </w:p>
    <w:p>
      <w:pPr>
        <w:spacing w:after="0" w:line="225" w:lineRule="exact"/>
        <w:rPr>
          <w:sz w:val="20"/>
          <w:szCs w:val="20"/>
          <w:color w:val="auto"/>
        </w:rPr>
      </w:pPr>
    </w:p>
    <w:tbl>
      <w:tblPr>
        <w:tblLayout w:type="fixed"/>
        <w:tblInd w:w="6860" w:type="dxa"/>
        <w:tblCellMar>
          <w:top w:w="0" w:type="dxa"/>
          <w:left w:w="0" w:type="dxa"/>
          <w:bottom w:w="0" w:type="dxa"/>
          <w:right w:w="0" w:type="dxa"/>
        </w:tblCellMar>
      </w:tblPr>
      <w:tr>
        <w:trPr>
          <w:trHeight w:val="234"/>
        </w:trPr>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By:</w:t>
            </w:r>
          </w:p>
        </w:tc>
        <w:tc>
          <w:tcPr>
            <w:tcW w:w="39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Michael P. Duffy</w:t>
            </w:r>
          </w:p>
        </w:tc>
      </w:tr>
      <w:tr>
        <w:trPr>
          <w:trHeight w:val="205"/>
        </w:trPr>
        <w:tc>
          <w:tcPr>
            <w:tcW w:w="58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Name:</w:t>
            </w:r>
          </w:p>
        </w:tc>
        <w:tc>
          <w:tcPr>
            <w:tcW w:w="3980" w:type="dxa"/>
            <w:vAlign w:val="bottom"/>
          </w:tcPr>
          <w:p>
            <w:pPr>
              <w:spacing w:after="0" w:line="205" w:lineRule="exact"/>
              <w:rPr>
                <w:sz w:val="20"/>
                <w:szCs w:val="20"/>
                <w:color w:val="auto"/>
              </w:rPr>
            </w:pPr>
            <w:r>
              <w:rPr>
                <w:rFonts w:ascii="Times New Roman" w:cs="Times New Roman" w:eastAsia="Times New Roman" w:hAnsi="Times New Roman"/>
                <w:sz w:val="18"/>
                <w:szCs w:val="18"/>
                <w:color w:val="auto"/>
              </w:rPr>
              <w:t>Michael P. Duffy</w:t>
            </w:r>
          </w:p>
        </w:tc>
      </w:tr>
      <w:tr>
        <w:trPr>
          <w:trHeight w:val="216"/>
        </w:trPr>
        <w:tc>
          <w:tcPr>
            <w:tcW w:w="580" w:type="dxa"/>
            <w:vAlign w:val="bottom"/>
          </w:tcPr>
          <w:p>
            <w:pPr>
              <w:spacing w:after="0"/>
              <w:rPr>
                <w:sz w:val="20"/>
                <w:szCs w:val="20"/>
                <w:color w:val="auto"/>
              </w:rPr>
            </w:pPr>
            <w:r>
              <w:rPr>
                <w:rFonts w:ascii="Times New Roman" w:cs="Times New Roman" w:eastAsia="Times New Roman" w:hAnsi="Times New Roman"/>
                <w:sz w:val="18"/>
                <w:szCs w:val="18"/>
                <w:color w:val="auto"/>
              </w:rPr>
              <w:t>Title:</w:t>
            </w:r>
          </w:p>
        </w:tc>
        <w:tc>
          <w:tcPr>
            <w:tcW w:w="3980" w:type="dxa"/>
            <w:vAlign w:val="bottom"/>
          </w:tcPr>
          <w:p>
            <w:pPr>
              <w:spacing w:after="0"/>
              <w:rPr>
                <w:sz w:val="20"/>
                <w:szCs w:val="20"/>
                <w:color w:val="auto"/>
              </w:rPr>
            </w:pPr>
            <w:r>
              <w:rPr>
                <w:rFonts w:ascii="Times New Roman" w:cs="Times New Roman" w:eastAsia="Times New Roman" w:hAnsi="Times New Roman"/>
                <w:sz w:val="18"/>
                <w:szCs w:val="18"/>
                <w:color w:val="auto"/>
              </w:rPr>
              <w:t>Senior Vice President, Strategy and Business</w:t>
            </w:r>
          </w:p>
        </w:tc>
      </w:tr>
      <w:tr>
        <w:trPr>
          <w:trHeight w:val="234"/>
        </w:trPr>
        <w:tc>
          <w:tcPr>
            <w:tcW w:w="580" w:type="dxa"/>
            <w:vAlign w:val="bottom"/>
          </w:tcPr>
          <w:p>
            <w:pPr>
              <w:spacing w:after="0"/>
              <w:rPr>
                <w:sz w:val="20"/>
                <w:szCs w:val="20"/>
                <w:color w:val="auto"/>
              </w:rPr>
            </w:pPr>
          </w:p>
        </w:tc>
        <w:tc>
          <w:tcPr>
            <w:tcW w:w="3980" w:type="dxa"/>
            <w:vAlign w:val="bottom"/>
          </w:tcPr>
          <w:p>
            <w:pPr>
              <w:spacing w:after="0"/>
              <w:rPr>
                <w:sz w:val="20"/>
                <w:szCs w:val="20"/>
                <w:color w:val="auto"/>
              </w:rPr>
            </w:pPr>
            <w:r>
              <w:rPr>
                <w:rFonts w:ascii="Times New Roman" w:cs="Times New Roman" w:eastAsia="Times New Roman" w:hAnsi="Times New Roman"/>
                <w:sz w:val="18"/>
                <w:szCs w:val="18"/>
                <w:color w:val="auto"/>
              </w:rPr>
              <w:t>Development, General Counsel and Secretary</w:t>
            </w: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September 7, 2017</w:t>
      </w:r>
    </w:p>
    <w:sectPr>
      <w:pgSz w:w="11900" w:h="16838" w:orient="portrait"/>
      <w:cols w:equalWidth="0" w:num="1">
        <w:col w:w="11420"/>
      </w:cols>
      <w:pgMar w:left="240" w:top="27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2019-12-07T14:54:31Z</dcterms:created>
  <dcterms:modified xsi:type="dcterms:W3CDTF">2019-12-07T14:54:31Z</dcterms:modified>
</cp:coreProperties>
</file>