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61912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619125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DUFFY MICHAEL P</w:t>
        </w:r>
      </w:hyperlink>
    </w:p>
    <w:p>
      <w:pPr>
        <w:spacing w:after="0" w:line="325"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LANTHEUS HOLDINGS, INC.</w:t>
      </w:r>
    </w:p>
    <w:p>
      <w:pPr>
        <w:spacing w:after="0" w:line="73"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Lantheus Holdings,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LNTH</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5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01/10/2018</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6" w:right="640" w:hanging="6"/>
        <w:spacing w:after="0" w:line="255"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6" w:type="dxa"/>
        <w:tblCellMar>
          <w:top w:w="0" w:type="dxa"/>
          <w:left w:w="0" w:type="dxa"/>
          <w:bottom w:w="0" w:type="dxa"/>
          <w:right w:w="0" w:type="dxa"/>
        </w:tblCellMar>
      </w:tblPr>
      <w:tr>
        <w:trPr>
          <w:trHeight w:val="161"/>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86"/>
        <w:spacing w:after="0"/>
        <w:rPr>
          <w:sz w:val="20"/>
          <w:szCs w:val="20"/>
          <w:color w:val="auto"/>
        </w:rPr>
      </w:pPr>
      <w:r>
        <w:rPr>
          <w:rFonts w:ascii="Arial" w:cs="Arial" w:eastAsia="Arial" w:hAnsi="Arial"/>
          <w:sz w:val="17"/>
          <w:szCs w:val="17"/>
          <w:color w:val="0000FF"/>
        </w:rPr>
        <w:t>See Remarks</w:t>
      </w:r>
    </w:p>
    <w:p>
      <w:pPr>
        <w:spacing w:after="0" w:line="574" w:lineRule="exact"/>
        <w:rPr>
          <w:sz w:val="24"/>
          <w:szCs w:val="24"/>
          <w:color w:val="auto"/>
        </w:rPr>
      </w:pPr>
    </w:p>
    <w:p>
      <w:pPr>
        <w:sectPr>
          <w:pgSz w:w="11900" w:h="16838" w:orient="portrait"/>
          <w:cols w:equalWidth="0" w:num="3">
            <w:col w:w="3360" w:space="720"/>
            <w:col w:w="3254" w:space="720"/>
            <w:col w:w="3466"/>
          </w:cols>
          <w:pgMar w:left="240" w:top="225" w:right="139" w:bottom="1440" w:gutter="0" w:footer="0" w:header="0"/>
          <w:type w:val="continuous"/>
        </w:sectPr>
      </w:pPr>
    </w:p>
    <w:p>
      <w:pPr>
        <w:spacing w:after="0" w:line="137"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3"/>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7"/>
                <w:szCs w:val="17"/>
                <w:color w:val="0000FF"/>
              </w:rPr>
              <w:t>NORTH</w:t>
            </w:r>
          </w:p>
        </w:tc>
        <w:tc>
          <w:tcPr>
            <w:tcW w:w="1020" w:type="dxa"/>
            <w:vAlign w:val="bottom"/>
            <w:vMerge w:val="restart"/>
          </w:tcPr>
          <w:p>
            <w:pPr>
              <w:ind w:left="180"/>
              <w:spacing w:after="0"/>
              <w:rPr>
                <w:sz w:val="20"/>
                <w:szCs w:val="20"/>
                <w:color w:val="auto"/>
              </w:rPr>
            </w:pPr>
            <w:r>
              <w:rPr>
                <w:rFonts w:ascii="Arial" w:cs="Arial" w:eastAsia="Arial" w:hAnsi="Arial"/>
                <w:sz w:val="17"/>
                <w:szCs w:val="17"/>
                <w:color w:val="0000FF"/>
              </w:rPr>
              <w:t>MA</w:t>
            </w:r>
          </w:p>
        </w:tc>
        <w:tc>
          <w:tcPr>
            <w:tcW w:w="1680" w:type="dxa"/>
            <w:vAlign w:val="bottom"/>
            <w:vMerge w:val="restart"/>
          </w:tcPr>
          <w:p>
            <w:pPr>
              <w:ind w:left="440"/>
              <w:spacing w:after="0"/>
              <w:rPr>
                <w:sz w:val="20"/>
                <w:szCs w:val="20"/>
                <w:color w:val="auto"/>
              </w:rPr>
            </w:pPr>
            <w:r>
              <w:rPr>
                <w:rFonts w:ascii="Arial" w:cs="Arial" w:eastAsia="Arial" w:hAnsi="Arial"/>
                <w:sz w:val="17"/>
                <w:szCs w:val="17"/>
                <w:color w:val="0000FF"/>
              </w:rPr>
              <w:t>01862</w:t>
            </w: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1100" w:type="dxa"/>
            <w:vAlign w:val="bottom"/>
            <w:vMerge w:val="restart"/>
          </w:tcPr>
          <w:p>
            <w:pPr>
              <w:spacing w:after="0"/>
              <w:rPr>
                <w:sz w:val="20"/>
                <w:szCs w:val="20"/>
                <w:color w:val="auto"/>
              </w:rPr>
            </w:pPr>
            <w:r>
              <w:rPr>
                <w:rFonts w:ascii="Arial" w:cs="Arial" w:eastAsia="Arial" w:hAnsi="Arial"/>
                <w:sz w:val="17"/>
                <w:szCs w:val="17"/>
                <w:color w:val="0000FF"/>
              </w:rPr>
              <w:t>BILLERICA</w:t>
            </w:r>
          </w:p>
        </w:tc>
        <w:tc>
          <w:tcPr>
            <w:tcW w:w="102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308"/>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1020" w:type="dxa"/>
            <w:vAlign w:val="bottom"/>
          </w:tcPr>
          <w:p>
            <w:pPr>
              <w:ind w:left="18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35" w:lineRule="auto"/>
        <w:tabs>
          <w:tab w:leader="none" w:pos="45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ind w:left="4520"/>
        <w:spacing w:after="0"/>
        <w:rPr>
          <w:sz w:val="20"/>
          <w:szCs w:val="20"/>
          <w:color w:val="auto"/>
        </w:rPr>
      </w:pPr>
      <w:r>
        <w:rPr>
          <w:rFonts w:ascii="Arial" w:cs="Arial" w:eastAsia="Arial" w:hAnsi="Arial"/>
          <w:sz w:val="13"/>
          <w:szCs w:val="13"/>
          <w:color w:val="auto"/>
        </w:rPr>
        <w:t>Person</w:t>
      </w:r>
    </w:p>
    <w:p>
      <w:pPr>
        <w:spacing w:after="0" w:line="502" w:lineRule="exact"/>
        <w:rPr>
          <w:sz w:val="24"/>
          <w:szCs w:val="24"/>
          <w:color w:val="auto"/>
        </w:rPr>
      </w:pPr>
    </w:p>
    <w:p>
      <w:pPr>
        <w:sectPr>
          <w:pgSz w:w="11900" w:h="16838" w:orient="portrait"/>
          <w:cols w:equalWidth="0" w:num="2">
            <w:col w:w="3920" w:space="160"/>
            <w:col w:w="744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600"/>
              <w:spacing w:after="0" w:line="132"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80" w:type="dxa"/>
            <w:vAlign w:val="bottom"/>
          </w:tcPr>
          <w:p>
            <w:pPr>
              <w:spacing w:after="0"/>
              <w:rPr>
                <w:sz w:val="11"/>
                <w:szCs w:val="11"/>
                <w:color w:val="auto"/>
              </w:rPr>
            </w:pPr>
          </w:p>
        </w:tc>
        <w:tc>
          <w:tcPr>
            <w:tcW w:w="12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2"/>
          </w:tcPr>
          <w:p>
            <w:pPr>
              <w:ind w:left="600"/>
              <w:spacing w:after="0" w:line="134"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w w:val="94"/>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560" w:type="dxa"/>
            <w:vAlign w:val="bottom"/>
          </w:tcPr>
          <w:p>
            <w:pPr>
              <w:spacing w:after="0"/>
              <w:rPr>
                <w:sz w:val="3"/>
                <w:szCs w:val="3"/>
                <w:color w:val="auto"/>
              </w:rPr>
            </w:pPr>
          </w:p>
        </w:tc>
        <w:tc>
          <w:tcPr>
            <w:tcW w:w="70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7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ind w:left="700"/>
              <w:spacing w:after="0"/>
              <w:rPr>
                <w:sz w:val="20"/>
                <w:szCs w:val="20"/>
                <w:color w:val="auto"/>
              </w:rPr>
            </w:pPr>
            <w:r>
              <w:rPr>
                <w:rFonts w:ascii="Arial" w:cs="Arial" w:eastAsia="Arial" w:hAnsi="Arial"/>
                <w:sz w:val="17"/>
                <w:szCs w:val="17"/>
                <w:color w:val="0000FF"/>
              </w:rPr>
              <w:t>01/10/2018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4,483</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67"/>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5.62</w:t>
            </w:r>
          </w:p>
        </w:tc>
        <w:tc>
          <w:tcPr>
            <w:tcW w:w="18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156,784</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ind w:left="700"/>
              <w:spacing w:after="0"/>
              <w:rPr>
                <w:sz w:val="20"/>
                <w:szCs w:val="20"/>
                <w:color w:val="auto"/>
              </w:rPr>
            </w:pPr>
            <w:r>
              <w:rPr>
                <w:rFonts w:ascii="Arial" w:cs="Arial" w:eastAsia="Arial" w:hAnsi="Arial"/>
                <w:sz w:val="17"/>
                <w:szCs w:val="17"/>
                <w:color w:val="0000FF"/>
              </w:rPr>
              <w:t>01/10/2018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17,172</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67"/>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5.62</w:t>
            </w:r>
          </w:p>
        </w:tc>
        <w:tc>
          <w:tcPr>
            <w:tcW w:w="18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173,956</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ind w:left="700"/>
              <w:spacing w:after="0"/>
              <w:rPr>
                <w:sz w:val="20"/>
                <w:szCs w:val="20"/>
                <w:color w:val="auto"/>
              </w:rPr>
            </w:pPr>
            <w:r>
              <w:rPr>
                <w:rFonts w:ascii="Arial" w:cs="Arial" w:eastAsia="Arial" w:hAnsi="Arial"/>
                <w:sz w:val="17"/>
                <w:szCs w:val="17"/>
                <w:color w:val="0000FF"/>
              </w:rPr>
              <w:t>01/10/2018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21,655</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22.4018</w:t>
            </w:r>
            <w:r>
              <w:rPr>
                <w:rFonts w:ascii="Arial" w:cs="Arial" w:eastAsia="Arial" w:hAnsi="Arial"/>
                <w:sz w:val="22"/>
                <w:szCs w:val="22"/>
                <w:color w:val="008000"/>
                <w:w w:val="90"/>
                <w:vertAlign w:val="superscript"/>
              </w:rPr>
              <w:t>(2)</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152,301</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0"/>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80" w:type="dxa"/>
            <w:vAlign w:val="bottom"/>
            <w:gridSpan w:val="8"/>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of (D) (Instr.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tcPr>
          <w:p>
            <w:pPr>
              <w:ind w:left="60"/>
              <w:spacing w:after="0" w:line="148"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5.62</w:t>
            </w:r>
          </w:p>
        </w:tc>
        <w:tc>
          <w:tcPr>
            <w:tcW w:w="1080" w:type="dxa"/>
            <w:vAlign w:val="bottom"/>
            <w:vMerge w:val="restart"/>
          </w:tcPr>
          <w:p>
            <w:pPr>
              <w:jc w:val="right"/>
              <w:ind w:right="137"/>
              <w:spacing w:after="0"/>
              <w:rPr>
                <w:sz w:val="20"/>
                <w:szCs w:val="20"/>
                <w:color w:val="auto"/>
              </w:rPr>
            </w:pPr>
            <w:r>
              <w:rPr>
                <w:rFonts w:ascii="Arial" w:cs="Arial" w:eastAsia="Arial" w:hAnsi="Arial"/>
                <w:sz w:val="13"/>
                <w:szCs w:val="13"/>
                <w:color w:val="0000FF"/>
              </w:rPr>
              <w:t>01/10/2018</w:t>
            </w:r>
          </w:p>
        </w:tc>
        <w:tc>
          <w:tcPr>
            <w:tcW w:w="1180" w:type="dxa"/>
            <w:vAlign w:val="bottom"/>
          </w:tcPr>
          <w:p>
            <w:pPr>
              <w:spacing w:after="0"/>
              <w:rPr>
                <w:sz w:val="12"/>
                <w:szCs w:val="12"/>
                <w:color w:val="auto"/>
              </w:rPr>
            </w:pPr>
          </w:p>
        </w:tc>
        <w:tc>
          <w:tcPr>
            <w:tcW w:w="460" w:type="dxa"/>
            <w:vAlign w:val="bottom"/>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44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Arial" w:cs="Arial" w:eastAsia="Arial" w:hAnsi="Arial"/>
                <w:sz w:val="13"/>
                <w:szCs w:val="13"/>
                <w:color w:val="0000FF"/>
              </w:rPr>
              <w:t>4,483</w:t>
            </w:r>
          </w:p>
        </w:tc>
        <w:tc>
          <w:tcPr>
            <w:tcW w:w="820" w:type="dxa"/>
            <w:vAlign w:val="bottom"/>
            <w:vMerge w:val="restart"/>
          </w:tcPr>
          <w:p>
            <w:pPr>
              <w:ind w:left="380"/>
              <w:spacing w:after="0"/>
              <w:rPr>
                <w:sz w:val="20"/>
                <w:szCs w:val="20"/>
                <w:color w:val="auto"/>
              </w:rPr>
            </w:pPr>
            <w:r>
              <w:rPr>
                <w:rFonts w:ascii="Arial" w:cs="Arial" w:eastAsia="Arial" w:hAnsi="Arial"/>
                <w:sz w:val="11"/>
                <w:szCs w:val="11"/>
                <w:color w:val="008000"/>
              </w:rPr>
              <w:t>(3)</w:t>
            </w:r>
          </w:p>
        </w:tc>
        <w:tc>
          <w:tcPr>
            <w:tcW w:w="800" w:type="dxa"/>
            <w:vAlign w:val="bottom"/>
            <w:vMerge w:val="restart"/>
          </w:tcPr>
          <w:p>
            <w:pPr>
              <w:ind w:left="120"/>
              <w:spacing w:after="0"/>
              <w:rPr>
                <w:sz w:val="20"/>
                <w:szCs w:val="20"/>
                <w:color w:val="auto"/>
              </w:rPr>
            </w:pPr>
            <w:r>
              <w:rPr>
                <w:rFonts w:ascii="Arial" w:cs="Arial" w:eastAsia="Arial" w:hAnsi="Arial"/>
                <w:sz w:val="13"/>
                <w:szCs w:val="13"/>
                <w:color w:val="0000FF"/>
              </w:rPr>
              <w:t>04/04/2018</w:t>
            </w:r>
          </w:p>
        </w:tc>
        <w:tc>
          <w:tcPr>
            <w:tcW w:w="560" w:type="dxa"/>
            <w:vAlign w:val="bottom"/>
          </w:tcPr>
          <w:p>
            <w:pPr>
              <w:ind w:left="60"/>
              <w:spacing w:after="0" w:line="148" w:lineRule="exact"/>
              <w:rPr>
                <w:sz w:val="20"/>
                <w:szCs w:val="20"/>
                <w:color w:val="auto"/>
              </w:rPr>
            </w:pPr>
            <w:r>
              <w:rPr>
                <w:rFonts w:ascii="Arial" w:cs="Arial" w:eastAsia="Arial" w:hAnsi="Arial"/>
                <w:sz w:val="13"/>
                <w:szCs w:val="13"/>
                <w:color w:val="0000FF"/>
                <w:w w:val="90"/>
              </w:rPr>
              <w:t>Common</w:t>
            </w:r>
          </w:p>
        </w:tc>
        <w:tc>
          <w:tcPr>
            <w:tcW w:w="700" w:type="dxa"/>
            <w:vAlign w:val="bottom"/>
            <w:vMerge w:val="restart"/>
          </w:tcPr>
          <w:p>
            <w:pPr>
              <w:jc w:val="right"/>
              <w:ind w:right="47"/>
              <w:spacing w:after="0"/>
              <w:rPr>
                <w:sz w:val="20"/>
                <w:szCs w:val="20"/>
                <w:color w:val="auto"/>
              </w:rPr>
            </w:pPr>
            <w:r>
              <w:rPr>
                <w:rFonts w:ascii="Arial" w:cs="Arial" w:eastAsia="Arial" w:hAnsi="Arial"/>
                <w:sz w:val="17"/>
                <w:szCs w:val="17"/>
                <w:color w:val="0000FF"/>
              </w:rPr>
              <w:t>4,483</w:t>
            </w:r>
          </w:p>
        </w:tc>
        <w:tc>
          <w:tcPr>
            <w:tcW w:w="180" w:type="dxa"/>
            <w:vAlign w:val="bottom"/>
          </w:tcPr>
          <w:p>
            <w:pPr>
              <w:spacing w:after="0"/>
              <w:rPr>
                <w:sz w:val="12"/>
                <w:szCs w:val="12"/>
                <w:color w:val="auto"/>
              </w:rPr>
            </w:pPr>
          </w:p>
        </w:tc>
        <w:tc>
          <w:tcPr>
            <w:tcW w:w="600" w:type="dxa"/>
            <w:vAlign w:val="bottom"/>
            <w:vMerge w:val="restart"/>
          </w:tcPr>
          <w:p>
            <w:pPr>
              <w:ind w:left="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vMerge w:val="restart"/>
          </w:tcPr>
          <w:p>
            <w:pPr>
              <w:ind w:left="380"/>
              <w:spacing w:after="0"/>
              <w:rPr>
                <w:sz w:val="20"/>
                <w:szCs w:val="20"/>
                <w:color w:val="auto"/>
              </w:rPr>
            </w:pPr>
            <w:r>
              <w:rPr>
                <w:rFonts w:ascii="Arial" w:cs="Arial" w:eastAsia="Arial" w:hAnsi="Arial"/>
                <w:sz w:val="13"/>
                <w:szCs w:val="13"/>
                <w:color w:val="0000FF"/>
              </w:rPr>
              <w:t>0</w:t>
            </w:r>
          </w:p>
        </w:tc>
        <w:tc>
          <w:tcPr>
            <w:tcW w:w="280" w:type="dxa"/>
            <w:vAlign w:val="bottom"/>
          </w:tcPr>
          <w:p>
            <w:pPr>
              <w:spacing w:after="0"/>
              <w:rPr>
                <w:sz w:val="12"/>
                <w:szCs w:val="12"/>
                <w:color w:val="auto"/>
              </w:rPr>
            </w:pPr>
          </w:p>
        </w:tc>
        <w:tc>
          <w:tcPr>
            <w:tcW w:w="70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tcPr>
          <w:p>
            <w:pPr>
              <w:ind w:left="60"/>
              <w:spacing w:after="0" w:line="148" w:lineRule="exact"/>
              <w:rPr>
                <w:sz w:val="20"/>
                <w:szCs w:val="20"/>
                <w:color w:val="auto"/>
              </w:rPr>
            </w:pPr>
            <w:r>
              <w:rPr>
                <w:rFonts w:ascii="Arial" w:cs="Arial" w:eastAsia="Arial" w:hAnsi="Arial"/>
                <w:sz w:val="13"/>
                <w:szCs w:val="13"/>
                <w:color w:val="0000FF"/>
              </w:rPr>
              <w:t>(right to</w:t>
            </w:r>
          </w:p>
        </w:tc>
        <w:tc>
          <w:tcPr>
            <w:tcW w:w="800" w:type="dxa"/>
            <w:vAlign w:val="bottom"/>
            <w:vMerge w:val="continue"/>
          </w:tcPr>
          <w:p>
            <w:pPr>
              <w:spacing w:after="0"/>
              <w:rPr>
                <w:sz w:val="12"/>
                <w:szCs w:val="12"/>
                <w:color w:val="auto"/>
              </w:rPr>
            </w:pPr>
          </w:p>
        </w:tc>
        <w:tc>
          <w:tcPr>
            <w:tcW w:w="1080" w:type="dxa"/>
            <w:vAlign w:val="bottom"/>
            <w:vMerge w:val="continue"/>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vMerge w:val="continue"/>
          </w:tcPr>
          <w:p>
            <w:pPr>
              <w:spacing w:after="0"/>
              <w:rPr>
                <w:sz w:val="12"/>
                <w:szCs w:val="12"/>
                <w:color w:val="auto"/>
              </w:rPr>
            </w:pPr>
          </w:p>
        </w:tc>
        <w:tc>
          <w:tcPr>
            <w:tcW w:w="44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56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70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62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Option</w:t>
            </w:r>
          </w:p>
        </w:tc>
        <w:tc>
          <w:tcPr>
            <w:tcW w:w="80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5.62</w:t>
            </w:r>
          </w:p>
        </w:tc>
        <w:tc>
          <w:tcPr>
            <w:tcW w:w="1080" w:type="dxa"/>
            <w:vAlign w:val="bottom"/>
          </w:tcPr>
          <w:p>
            <w:pPr>
              <w:jc w:val="right"/>
              <w:ind w:right="137"/>
              <w:spacing w:after="0"/>
              <w:rPr>
                <w:sz w:val="20"/>
                <w:szCs w:val="20"/>
                <w:color w:val="auto"/>
              </w:rPr>
            </w:pPr>
            <w:r>
              <w:rPr>
                <w:rFonts w:ascii="Arial" w:cs="Arial" w:eastAsia="Arial" w:hAnsi="Arial"/>
                <w:sz w:val="13"/>
                <w:szCs w:val="13"/>
                <w:color w:val="0000FF"/>
              </w:rPr>
              <w:t>01/10/2018</w:t>
            </w:r>
          </w:p>
        </w:tc>
        <w:tc>
          <w:tcPr>
            <w:tcW w:w="1180" w:type="dxa"/>
            <w:vAlign w:val="bottom"/>
          </w:tcPr>
          <w:p>
            <w:pPr>
              <w:spacing w:after="0"/>
              <w:rPr>
                <w:sz w:val="18"/>
                <w:szCs w:val="18"/>
                <w:color w:val="auto"/>
              </w:rPr>
            </w:pPr>
          </w:p>
        </w:tc>
        <w:tc>
          <w:tcPr>
            <w:tcW w:w="460" w:type="dxa"/>
            <w:vAlign w:val="bottom"/>
          </w:tcPr>
          <w:p>
            <w:pPr>
              <w:ind w:left="100"/>
              <w:spacing w:after="0" w:line="212" w:lineRule="exact"/>
              <w:rPr>
                <w:sz w:val="20"/>
                <w:szCs w:val="20"/>
                <w:color w:val="auto"/>
              </w:rPr>
            </w:pPr>
            <w:r>
              <w:rPr>
                <w:rFonts w:ascii="Arial" w:cs="Arial" w:eastAsia="Arial" w:hAnsi="Arial"/>
                <w:sz w:val="24"/>
                <w:szCs w:val="24"/>
                <w:color w:val="0000FF"/>
                <w:vertAlign w:val="subscript"/>
              </w:rPr>
              <w:t>M</w:t>
            </w:r>
            <w:r>
              <w:rPr>
                <w:rFonts w:ascii="Arial" w:cs="Arial" w:eastAsia="Arial" w:hAnsi="Arial"/>
                <w:sz w:val="11"/>
                <w:szCs w:val="11"/>
                <w:color w:val="008000"/>
              </w:rPr>
              <w:t>(1)</w:t>
            </w:r>
          </w:p>
        </w:tc>
        <w:tc>
          <w:tcPr>
            <w:tcW w:w="4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0000FF"/>
              </w:rPr>
              <w:t>17,172</w:t>
            </w:r>
          </w:p>
        </w:tc>
        <w:tc>
          <w:tcPr>
            <w:tcW w:w="820" w:type="dxa"/>
            <w:vAlign w:val="bottom"/>
          </w:tcPr>
          <w:p>
            <w:pPr>
              <w:ind w:left="380"/>
              <w:spacing w:after="0"/>
              <w:rPr>
                <w:sz w:val="20"/>
                <w:szCs w:val="20"/>
                <w:color w:val="auto"/>
              </w:rPr>
            </w:pPr>
            <w:r>
              <w:rPr>
                <w:rFonts w:ascii="Arial" w:cs="Arial" w:eastAsia="Arial" w:hAnsi="Arial"/>
                <w:sz w:val="11"/>
                <w:szCs w:val="11"/>
                <w:color w:val="008000"/>
              </w:rPr>
              <w:t>(4)</w:t>
            </w:r>
          </w:p>
        </w:tc>
        <w:tc>
          <w:tcPr>
            <w:tcW w:w="800" w:type="dxa"/>
            <w:vAlign w:val="bottom"/>
          </w:tcPr>
          <w:p>
            <w:pPr>
              <w:ind w:left="120"/>
              <w:spacing w:after="0"/>
              <w:rPr>
                <w:sz w:val="20"/>
                <w:szCs w:val="20"/>
                <w:color w:val="auto"/>
              </w:rPr>
            </w:pPr>
            <w:r>
              <w:rPr>
                <w:rFonts w:ascii="Arial" w:cs="Arial" w:eastAsia="Arial" w:hAnsi="Arial"/>
                <w:sz w:val="13"/>
                <w:szCs w:val="13"/>
                <w:color w:val="0000FF"/>
              </w:rPr>
              <w:t>04/04/2018</w:t>
            </w:r>
          </w:p>
        </w:tc>
        <w:tc>
          <w:tcPr>
            <w:tcW w:w="560" w:type="dxa"/>
            <w:vAlign w:val="bottom"/>
          </w:tcPr>
          <w:p>
            <w:pPr>
              <w:ind w:left="60"/>
              <w:spacing w:after="0"/>
              <w:rPr>
                <w:sz w:val="20"/>
                <w:szCs w:val="20"/>
                <w:color w:val="auto"/>
              </w:rPr>
            </w:pPr>
            <w:r>
              <w:rPr>
                <w:rFonts w:ascii="Arial" w:cs="Arial" w:eastAsia="Arial" w:hAnsi="Arial"/>
                <w:sz w:val="13"/>
                <w:szCs w:val="13"/>
                <w:color w:val="0000FF"/>
                <w:w w:val="90"/>
              </w:rPr>
              <w:t>Common</w:t>
            </w:r>
          </w:p>
        </w:tc>
        <w:tc>
          <w:tcPr>
            <w:tcW w:w="700" w:type="dxa"/>
            <w:vAlign w:val="bottom"/>
          </w:tcPr>
          <w:p>
            <w:pPr>
              <w:jc w:val="right"/>
              <w:ind w:right="7"/>
              <w:spacing w:after="0"/>
              <w:rPr>
                <w:sz w:val="20"/>
                <w:szCs w:val="20"/>
                <w:color w:val="auto"/>
              </w:rPr>
            </w:pPr>
            <w:r>
              <w:rPr>
                <w:rFonts w:ascii="Arial" w:cs="Arial" w:eastAsia="Arial" w:hAnsi="Arial"/>
                <w:sz w:val="17"/>
                <w:szCs w:val="17"/>
                <w:color w:val="0000FF"/>
              </w:rPr>
              <w:t>17,172</w:t>
            </w:r>
          </w:p>
        </w:tc>
        <w:tc>
          <w:tcPr>
            <w:tcW w:w="180" w:type="dxa"/>
            <w:vAlign w:val="bottom"/>
          </w:tcPr>
          <w:p>
            <w:pPr>
              <w:spacing w:after="0"/>
              <w:rPr>
                <w:sz w:val="18"/>
                <w:szCs w:val="18"/>
                <w:color w:val="auto"/>
              </w:rPr>
            </w:pPr>
          </w:p>
        </w:tc>
        <w:tc>
          <w:tcPr>
            <w:tcW w:w="600" w:type="dxa"/>
            <w:vAlign w:val="bottom"/>
          </w:tcPr>
          <w:p>
            <w:pPr>
              <w:ind w:left="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380"/>
              <w:spacing w:after="0"/>
              <w:rPr>
                <w:sz w:val="20"/>
                <w:szCs w:val="20"/>
                <w:color w:val="auto"/>
              </w:rPr>
            </w:pPr>
            <w:r>
              <w:rPr>
                <w:rFonts w:ascii="Arial" w:cs="Arial" w:eastAsia="Arial" w:hAnsi="Arial"/>
                <w:sz w:val="13"/>
                <w:szCs w:val="13"/>
                <w:color w:val="0000FF"/>
              </w:rPr>
              <w:t>0</w:t>
            </w:r>
          </w:p>
        </w:tc>
        <w:tc>
          <w:tcPr>
            <w:tcW w:w="280" w:type="dxa"/>
            <w:vAlign w:val="bottom"/>
          </w:tcPr>
          <w:p>
            <w:pPr>
              <w:spacing w:after="0"/>
              <w:rPr>
                <w:sz w:val="18"/>
                <w:szCs w:val="18"/>
                <w:color w:val="auto"/>
              </w:rPr>
            </w:pP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720" w:type="dxa"/>
            <w:vAlign w:val="bottom"/>
          </w:tcPr>
          <w:p>
            <w:pPr>
              <w:ind w:left="60"/>
              <w:spacing w:after="0" w:line="95" w:lineRule="exact"/>
              <w:rPr>
                <w:sz w:val="20"/>
                <w:szCs w:val="20"/>
                <w:color w:val="auto"/>
              </w:rPr>
            </w:pPr>
            <w:r>
              <w:rPr>
                <w:rFonts w:ascii="Arial" w:cs="Arial" w:eastAsia="Arial" w:hAnsi="Arial"/>
                <w:sz w:val="11"/>
                <w:szCs w:val="11"/>
                <w:color w:val="0000FF"/>
              </w:rPr>
              <w:t>(right to</w:t>
            </w: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00" w:type="dxa"/>
            <w:vAlign w:val="bottom"/>
          </w:tcPr>
          <w:p>
            <w:pPr>
              <w:spacing w:after="0"/>
              <w:rPr>
                <w:sz w:val="8"/>
                <w:szCs w:val="8"/>
                <w:color w:val="auto"/>
              </w:rPr>
            </w:pPr>
          </w:p>
        </w:tc>
        <w:tc>
          <w:tcPr>
            <w:tcW w:w="560" w:type="dxa"/>
            <w:vAlign w:val="bottom"/>
          </w:tcPr>
          <w:p>
            <w:pPr>
              <w:ind w:left="160"/>
              <w:spacing w:after="0" w:line="95" w:lineRule="exact"/>
              <w:rPr>
                <w:sz w:val="20"/>
                <w:szCs w:val="20"/>
                <w:color w:val="auto"/>
              </w:rPr>
            </w:pPr>
            <w:r>
              <w:rPr>
                <w:rFonts w:ascii="Arial" w:cs="Arial" w:eastAsia="Arial" w:hAnsi="Arial"/>
                <w:sz w:val="11"/>
                <w:szCs w:val="11"/>
                <w:color w:val="0000FF"/>
              </w:rPr>
              <w:t>Stock</w:t>
            </w:r>
          </w:p>
        </w:tc>
        <w:tc>
          <w:tcPr>
            <w:tcW w:w="70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transactions reported in this Form 4 were effected pursuant to a Rule 10b5-1 trading plan adopted by the reporting person on September 12, 2017.</w:t>
      </w:r>
    </w:p>
    <w:p>
      <w:pPr>
        <w:spacing w:after="0" w:line="51" w:lineRule="exact"/>
        <w:rPr>
          <w:rFonts w:ascii="Arial" w:cs="Arial" w:eastAsia="Arial" w:hAnsi="Arial"/>
          <w:sz w:val="13"/>
          <w:szCs w:val="13"/>
          <w:color w:val="008000"/>
        </w:rPr>
      </w:pPr>
    </w:p>
    <w:p>
      <w:pPr>
        <w:ind w:left="40" w:right="240" w:firstLine="8"/>
        <w:spacing w:after="0" w:line="254"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$22.30 to $22.675, inclusive. The reporting person undertakes to provide to Lantheus Holdings, Inc., ("LNTH") any security holder of LNTH or the staff of the Securities and Exchange Commission, upon request, full information regarding the number of shares sold at each separate price within the ranges set forth in this footnote (2) to this Form 4.</w:t>
      </w:r>
    </w:p>
    <w:p>
      <w:pPr>
        <w:spacing w:after="0" w:line="21"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option, originally representing a right to purchase a total of 44,483 shares of common stock, became exercisable in five equal annual installments beginning on April 4, 2009.</w:t>
      </w:r>
    </w:p>
    <w:p>
      <w:pPr>
        <w:spacing w:after="0" w:line="51" w:lineRule="exact"/>
        <w:rPr>
          <w:rFonts w:ascii="Arial" w:cs="Arial" w:eastAsia="Arial" w:hAnsi="Arial"/>
          <w:sz w:val="13"/>
          <w:szCs w:val="13"/>
          <w:color w:val="008000"/>
        </w:rPr>
      </w:pPr>
    </w:p>
    <w:p>
      <w:pPr>
        <w:ind w:left="40" w:right="320" w:firstLine="8"/>
        <w:spacing w:after="0" w:line="296" w:lineRule="auto"/>
        <w:tabs>
          <w:tab w:leader="none" w:pos="174"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option, originally representing a right to purchase a total of 44,485 shares of common stock, became exercisable based on LNTH's satisfaction of certain performance criteria for each of the fiscal years ending 2008, 2009, 2010, 2011 and 2012. Certain of the performance criteria for 2008 and 2009 were met, resulting in the vesting of this option as to an aggregate of 17,172 shares of common stock.</w:t>
      </w:r>
    </w:p>
    <w:p>
      <w:pPr>
        <w:ind w:left="40"/>
        <w:spacing w:after="0"/>
        <w:rPr>
          <w:sz w:val="20"/>
          <w:szCs w:val="20"/>
          <w:color w:val="auto"/>
        </w:rPr>
      </w:pPr>
      <w:r>
        <w:rPr>
          <w:rFonts w:ascii="Arial" w:cs="Arial" w:eastAsia="Arial" w:hAnsi="Arial"/>
          <w:sz w:val="17"/>
          <w:szCs w:val="17"/>
          <w:b w:val="1"/>
          <w:bCs w:val="1"/>
          <w:color w:val="auto"/>
        </w:rPr>
        <w:t>Remarks:</w:t>
      </w:r>
    </w:p>
    <w:p>
      <w:pPr>
        <w:spacing w:after="0" w:line="67"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SVP, General Counsel and Secretary</w:t>
      </w:r>
    </w:p>
    <w:p>
      <w:pPr>
        <w:spacing w:after="0" w:line="68"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300" w:type="dxa"/>
            <w:vAlign w:val="bottom"/>
            <w:gridSpan w:val="2"/>
          </w:tcPr>
          <w:p>
            <w:pPr>
              <w:spacing w:after="0"/>
              <w:rPr>
                <w:sz w:val="20"/>
                <w:szCs w:val="20"/>
                <w:color w:val="auto"/>
              </w:rPr>
            </w:pPr>
            <w:r>
              <w:rPr>
                <w:rFonts w:ascii="Arial" w:cs="Arial" w:eastAsia="Arial" w:hAnsi="Arial"/>
                <w:sz w:val="17"/>
                <w:szCs w:val="17"/>
                <w:color w:val="0000FF"/>
              </w:rPr>
              <w:t>/s/ Michael P. Duffy</w:t>
            </w:r>
          </w:p>
        </w:tc>
        <w:tc>
          <w:tcPr>
            <w:tcW w:w="780" w:type="dxa"/>
            <w:vAlign w:val="bottom"/>
          </w:tcPr>
          <w:p>
            <w:pPr>
              <w:spacing w:after="0"/>
              <w:rPr>
                <w:sz w:val="20"/>
                <w:szCs w:val="20"/>
                <w:color w:val="auto"/>
              </w:rPr>
            </w:pPr>
            <w:r>
              <w:rPr>
                <w:rFonts w:ascii="Arial" w:cs="Arial" w:eastAsia="Arial" w:hAnsi="Arial"/>
                <w:sz w:val="17"/>
                <w:szCs w:val="17"/>
                <w:color w:val="0000FF"/>
                <w:w w:val="89"/>
              </w:rPr>
              <w:t>01/12/2018</w:t>
            </w:r>
          </w:p>
        </w:tc>
      </w:tr>
      <w:tr>
        <w:trPr>
          <w:trHeight w:val="20"/>
        </w:trPr>
        <w:tc>
          <w:tcPr>
            <w:tcW w:w="1400" w:type="dxa"/>
            <w:vAlign w:val="bottom"/>
            <w:shd w:val="clear" w:color="auto" w:fill="000000"/>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r>
      <w:tr>
        <w:trPr>
          <w:trHeight w:val="235"/>
        </w:trPr>
        <w:tc>
          <w:tcPr>
            <w:tcW w:w="23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37200"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2019-12-23T15:53:42Z</dcterms:created>
  <dcterms:modified xsi:type="dcterms:W3CDTF">2019-12-23T15:53:42Z</dcterms:modified>
</cp:coreProperties>
</file>