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286385</wp:posOffset>
            </wp:positionH>
            <wp:positionV relativeFrom="page">
              <wp:posOffset>166370</wp:posOffset>
            </wp:positionV>
            <wp:extent cx="699770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page">
              <wp:posOffset>286385</wp:posOffset>
            </wp:positionH>
            <wp:positionV relativeFrom="page">
              <wp:posOffset>208915</wp:posOffset>
            </wp:positionV>
            <wp:extent cx="699770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7700" cy="8890"/>
                    </a:xfrm>
                    <a:prstGeom prst="rect">
                      <a:avLst/>
                    </a:prstGeom>
                    <a:noFill/>
                  </pic:spPr>
                </pic:pic>
              </a:graphicData>
            </a:graphic>
          </wp:anchor>
        </w:drawing>
        <w:t>UNITED STATES</w:t>
      </w:r>
    </w:p>
    <w:p>
      <w:pPr>
        <w:spacing w:after="0" w:line="3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227330</wp:posOffset>
            </wp:positionV>
            <wp:extent cx="146621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250825</wp:posOffset>
            </wp:positionV>
            <wp:extent cx="146621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7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CURRENT REPORT</w:t>
      </w:r>
    </w:p>
    <w:p>
      <w:pPr>
        <w:spacing w:after="0" w:line="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Pursuant to Section 13 or 15(d)</w:t>
      </w:r>
    </w:p>
    <w:p>
      <w:pPr>
        <w:jc w:val="center"/>
        <w:spacing w:after="0"/>
        <w:rPr>
          <w:sz w:val="20"/>
          <w:szCs w:val="20"/>
          <w:color w:val="auto"/>
        </w:rPr>
      </w:pPr>
      <w:r>
        <w:rPr>
          <w:rFonts w:ascii="Times New Roman" w:cs="Times New Roman" w:eastAsia="Times New Roman" w:hAnsi="Times New Roman"/>
          <w:sz w:val="22"/>
          <w:szCs w:val="22"/>
          <w:b w:val="1"/>
          <w:bCs w:val="1"/>
          <w:color w:val="auto"/>
        </w:rPr>
        <w:t>of the Securities Exchange Act of 1934</w:t>
      </w:r>
    </w:p>
    <w:p>
      <w:pPr>
        <w:spacing w:after="0" w:line="17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Date of Report (Date of earliest event reported): March 19,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236855</wp:posOffset>
            </wp:positionV>
            <wp:extent cx="146621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LANTHEUS HOLDINGS, INC.</w:t>
      </w:r>
    </w:p>
    <w:p>
      <w:pPr>
        <w:spacing w:after="0" w:line="5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236220</wp:posOffset>
            </wp:positionV>
            <wp:extent cx="146621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3" w:lineRule="exact"/>
        <w:rPr>
          <w:sz w:val="24"/>
          <w:szCs w:val="24"/>
          <w:color w:val="auto"/>
        </w:rPr>
      </w:pPr>
    </w:p>
    <w:tbl>
      <w:tblPr>
        <w:tblLayout w:type="fixed"/>
        <w:tblInd w:w="1060" w:type="dxa"/>
        <w:tblCellMar>
          <w:top w:w="0" w:type="dxa"/>
          <w:left w:w="0" w:type="dxa"/>
          <w:bottom w:w="0" w:type="dxa"/>
          <w:right w:w="0" w:type="dxa"/>
        </w:tblCellMar>
      </w:tblPr>
      <w:tr>
        <w:trPr>
          <w:trHeight w:val="214"/>
        </w:trPr>
        <w:tc>
          <w:tcPr>
            <w:tcW w:w="4000" w:type="dxa"/>
            <w:vAlign w:val="bottom"/>
          </w:tcPr>
          <w:p>
            <w:pPr>
              <w:jc w:val="center"/>
              <w:ind w:right="2281"/>
              <w:spacing w:after="0"/>
              <w:rPr>
                <w:sz w:val="20"/>
                <w:szCs w:val="20"/>
                <w:color w:val="auto"/>
              </w:rPr>
            </w:pPr>
            <w:r>
              <w:rPr>
                <w:rFonts w:ascii="Times New Roman" w:cs="Times New Roman" w:eastAsia="Times New Roman" w:hAnsi="Times New Roman"/>
                <w:sz w:val="18"/>
                <w:szCs w:val="18"/>
                <w:b w:val="1"/>
                <w:bCs w:val="1"/>
                <w:color w:val="auto"/>
                <w:w w:val="98"/>
              </w:rPr>
              <w:t>Delaware</w:t>
            </w:r>
          </w:p>
        </w:tc>
        <w:tc>
          <w:tcPr>
            <w:tcW w:w="232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001-36569</w:t>
            </w:r>
          </w:p>
        </w:tc>
        <w:tc>
          <w:tcPr>
            <w:tcW w:w="2440" w:type="dxa"/>
            <w:vAlign w:val="bottom"/>
          </w:tcPr>
          <w:p>
            <w:pPr>
              <w:jc w:val="right"/>
              <w:ind w:right="41"/>
              <w:spacing w:after="0"/>
              <w:rPr>
                <w:sz w:val="20"/>
                <w:szCs w:val="20"/>
                <w:color w:val="auto"/>
              </w:rPr>
            </w:pPr>
            <w:r>
              <w:rPr>
                <w:rFonts w:ascii="Times New Roman" w:cs="Times New Roman" w:eastAsia="Times New Roman" w:hAnsi="Times New Roman"/>
                <w:sz w:val="18"/>
                <w:szCs w:val="18"/>
                <w:b w:val="1"/>
                <w:bCs w:val="1"/>
                <w:color w:val="auto"/>
              </w:rPr>
              <w:t>35-2318913</w:t>
            </w:r>
          </w:p>
        </w:tc>
      </w:tr>
      <w:tr>
        <w:trPr>
          <w:trHeight w:val="149"/>
        </w:trPr>
        <w:tc>
          <w:tcPr>
            <w:tcW w:w="4000" w:type="dxa"/>
            <w:vAlign w:val="bottom"/>
          </w:tcPr>
          <w:p>
            <w:pPr>
              <w:jc w:val="center"/>
              <w:ind w:right="2281"/>
              <w:spacing w:after="0" w:line="149" w:lineRule="exact"/>
              <w:rPr>
                <w:sz w:val="20"/>
                <w:szCs w:val="20"/>
                <w:color w:val="auto"/>
              </w:rPr>
            </w:pPr>
            <w:r>
              <w:rPr>
                <w:rFonts w:ascii="Times New Roman" w:cs="Times New Roman" w:eastAsia="Times New Roman" w:hAnsi="Times New Roman"/>
                <w:sz w:val="14"/>
                <w:szCs w:val="14"/>
                <w:b w:val="1"/>
                <w:bCs w:val="1"/>
                <w:color w:val="auto"/>
              </w:rPr>
              <w:t>(State or other jurisdiction</w:t>
            </w:r>
          </w:p>
        </w:tc>
        <w:tc>
          <w:tcPr>
            <w:tcW w:w="2320" w:type="dxa"/>
            <w:vAlign w:val="bottom"/>
          </w:tcPr>
          <w:p>
            <w:pPr>
              <w:ind w:left="160"/>
              <w:spacing w:after="0" w:line="149" w:lineRule="exact"/>
              <w:rPr>
                <w:sz w:val="20"/>
                <w:szCs w:val="20"/>
                <w:color w:val="auto"/>
              </w:rPr>
            </w:pPr>
            <w:r>
              <w:rPr>
                <w:rFonts w:ascii="Times New Roman" w:cs="Times New Roman" w:eastAsia="Times New Roman" w:hAnsi="Times New Roman"/>
                <w:sz w:val="14"/>
                <w:szCs w:val="14"/>
                <w:b w:val="1"/>
                <w:bCs w:val="1"/>
                <w:color w:val="auto"/>
              </w:rPr>
              <w:t>(Commission</w:t>
            </w:r>
          </w:p>
        </w:tc>
        <w:tc>
          <w:tcPr>
            <w:tcW w:w="2440" w:type="dxa"/>
            <w:vAlign w:val="bottom"/>
          </w:tcPr>
          <w:p>
            <w:pPr>
              <w:jc w:val="center"/>
              <w:ind w:left="1241"/>
              <w:spacing w:after="0" w:line="149" w:lineRule="exact"/>
              <w:rPr>
                <w:sz w:val="20"/>
                <w:szCs w:val="20"/>
                <w:color w:val="auto"/>
              </w:rPr>
            </w:pPr>
            <w:r>
              <w:rPr>
                <w:rFonts w:ascii="Times New Roman" w:cs="Times New Roman" w:eastAsia="Times New Roman" w:hAnsi="Times New Roman"/>
                <w:sz w:val="14"/>
                <w:szCs w:val="14"/>
                <w:b w:val="1"/>
                <w:bCs w:val="1"/>
                <w:color w:val="auto"/>
              </w:rPr>
              <w:t>(IRS Employer</w:t>
            </w:r>
          </w:p>
        </w:tc>
      </w:tr>
      <w:tr>
        <w:trPr>
          <w:trHeight w:val="190"/>
        </w:trPr>
        <w:tc>
          <w:tcPr>
            <w:tcW w:w="4000" w:type="dxa"/>
            <w:vAlign w:val="bottom"/>
          </w:tcPr>
          <w:p>
            <w:pPr>
              <w:jc w:val="center"/>
              <w:ind w:right="2301"/>
              <w:spacing w:after="0"/>
              <w:rPr>
                <w:sz w:val="20"/>
                <w:szCs w:val="20"/>
                <w:color w:val="auto"/>
              </w:rPr>
            </w:pPr>
            <w:r>
              <w:rPr>
                <w:rFonts w:ascii="Times New Roman" w:cs="Times New Roman" w:eastAsia="Times New Roman" w:hAnsi="Times New Roman"/>
                <w:sz w:val="14"/>
                <w:szCs w:val="14"/>
                <w:b w:val="1"/>
                <w:bCs w:val="1"/>
                <w:color w:val="auto"/>
              </w:rPr>
              <w:t>of incorporation)</w:t>
            </w:r>
          </w:p>
        </w:tc>
        <w:tc>
          <w:tcPr>
            <w:tcW w:w="2320" w:type="dxa"/>
            <w:vAlign w:val="bottom"/>
          </w:tcPr>
          <w:p>
            <w:pPr>
              <w:ind w:left="160"/>
              <w:spacing w:after="0"/>
              <w:rPr>
                <w:sz w:val="20"/>
                <w:szCs w:val="20"/>
                <w:color w:val="auto"/>
              </w:rPr>
            </w:pPr>
            <w:r>
              <w:rPr>
                <w:rFonts w:ascii="Times New Roman" w:cs="Times New Roman" w:eastAsia="Times New Roman" w:hAnsi="Times New Roman"/>
                <w:sz w:val="14"/>
                <w:szCs w:val="14"/>
                <w:b w:val="1"/>
                <w:bCs w:val="1"/>
                <w:color w:val="auto"/>
              </w:rPr>
              <w:t>File Number)</w:t>
            </w:r>
          </w:p>
        </w:tc>
        <w:tc>
          <w:tcPr>
            <w:tcW w:w="2440" w:type="dxa"/>
            <w:vAlign w:val="bottom"/>
          </w:tcPr>
          <w:p>
            <w:pPr>
              <w:jc w:val="center"/>
              <w:ind w:left="1241"/>
              <w:spacing w:after="0"/>
              <w:rPr>
                <w:sz w:val="20"/>
                <w:szCs w:val="20"/>
                <w:color w:val="auto"/>
              </w:rPr>
            </w:pPr>
            <w:r>
              <w:rPr>
                <w:rFonts w:ascii="Times New Roman" w:cs="Times New Roman" w:eastAsia="Times New Roman" w:hAnsi="Times New Roman"/>
                <w:sz w:val="14"/>
                <w:szCs w:val="14"/>
                <w:b w:val="1"/>
                <w:bCs w:val="1"/>
                <w:color w:val="auto"/>
              </w:rPr>
              <w:t>Identification No.)</w:t>
            </w:r>
          </w:p>
        </w:tc>
      </w:tr>
      <w:tr>
        <w:trPr>
          <w:trHeight w:val="404"/>
        </w:trPr>
        <w:tc>
          <w:tcPr>
            <w:tcW w:w="6320" w:type="dxa"/>
            <w:vAlign w:val="bottom"/>
            <w:gridSpan w:val="2"/>
          </w:tcPr>
          <w:p>
            <w:pPr>
              <w:jc w:val="center"/>
              <w:ind w:right="962"/>
              <w:spacing w:after="0"/>
              <w:rPr>
                <w:sz w:val="20"/>
                <w:szCs w:val="20"/>
                <w:color w:val="auto"/>
              </w:rPr>
            </w:pPr>
            <w:r>
              <w:rPr>
                <w:rFonts w:ascii="Times New Roman" w:cs="Times New Roman" w:eastAsia="Times New Roman" w:hAnsi="Times New Roman"/>
                <w:sz w:val="18"/>
                <w:szCs w:val="18"/>
                <w:b w:val="1"/>
                <w:bCs w:val="1"/>
                <w:color w:val="auto"/>
                <w:w w:val="99"/>
              </w:rPr>
              <w:t>331 Treble Cove Road, North Billerica, MA</w:t>
            </w:r>
          </w:p>
        </w:tc>
        <w:tc>
          <w:tcPr>
            <w:tcW w:w="2440" w:type="dxa"/>
            <w:vAlign w:val="bottom"/>
          </w:tcPr>
          <w:p>
            <w:pPr>
              <w:jc w:val="right"/>
              <w:ind w:right="261"/>
              <w:spacing w:after="0"/>
              <w:rPr>
                <w:sz w:val="20"/>
                <w:szCs w:val="20"/>
                <w:color w:val="auto"/>
              </w:rPr>
            </w:pPr>
            <w:r>
              <w:rPr>
                <w:rFonts w:ascii="Times New Roman" w:cs="Times New Roman" w:eastAsia="Times New Roman" w:hAnsi="Times New Roman"/>
                <w:sz w:val="18"/>
                <w:szCs w:val="18"/>
                <w:b w:val="1"/>
                <w:bCs w:val="1"/>
                <w:color w:val="auto"/>
              </w:rPr>
              <w:t>01862</w:t>
            </w:r>
          </w:p>
        </w:tc>
      </w:tr>
      <w:tr>
        <w:trPr>
          <w:trHeight w:val="190"/>
        </w:trPr>
        <w:tc>
          <w:tcPr>
            <w:tcW w:w="4000" w:type="dxa"/>
            <w:vAlign w:val="bottom"/>
          </w:tcPr>
          <w:p>
            <w:pPr>
              <w:jc w:val="center"/>
              <w:ind w:left="1181"/>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2320" w:type="dxa"/>
            <w:vAlign w:val="bottom"/>
          </w:tcPr>
          <w:p>
            <w:pPr>
              <w:spacing w:after="0"/>
              <w:rPr>
                <w:sz w:val="16"/>
                <w:szCs w:val="16"/>
                <w:color w:val="auto"/>
              </w:rPr>
            </w:pPr>
          </w:p>
        </w:tc>
        <w:tc>
          <w:tcPr>
            <w:tcW w:w="2440" w:type="dxa"/>
            <w:vAlign w:val="bottom"/>
          </w:tcPr>
          <w:p>
            <w:pPr>
              <w:jc w:val="center"/>
              <w:ind w:left="1241"/>
              <w:spacing w:after="0"/>
              <w:rPr>
                <w:sz w:val="20"/>
                <w:szCs w:val="20"/>
                <w:color w:val="auto"/>
              </w:rPr>
            </w:pPr>
            <w:r>
              <w:rPr>
                <w:rFonts w:ascii="Times New Roman" w:cs="Times New Roman" w:eastAsia="Times New Roman" w:hAnsi="Times New Roman"/>
                <w:sz w:val="14"/>
                <w:szCs w:val="14"/>
                <w:b w:val="1"/>
                <w:bCs w:val="1"/>
                <w:color w:val="auto"/>
              </w:rPr>
              <w:t>(Zip Code)</w:t>
            </w:r>
          </w:p>
        </w:tc>
      </w:tr>
    </w:tbl>
    <w:p>
      <w:pPr>
        <w:spacing w:after="0" w:line="17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Registrant’s telephone number, including area code: (978) 671-8001</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 Applicable</w:t>
      </w:r>
    </w:p>
    <w:p>
      <w:pPr>
        <w:spacing w:after="0" w:line="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(Former name or former address, if changed since last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2767965</wp:posOffset>
            </wp:positionH>
            <wp:positionV relativeFrom="paragraph">
              <wp:posOffset>227965</wp:posOffset>
            </wp:positionV>
            <wp:extent cx="146621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66215" cy="8890"/>
                    </a:xfrm>
                    <a:prstGeom prst="rect">
                      <a:avLst/>
                    </a:prstGeom>
                    <a:noFill/>
                  </pic:spPr>
                </pic:pic>
              </a:graphicData>
            </a:graphic>
          </wp:anchor>
        </w:drawing>
      </w:r>
    </w:p>
    <w:p>
      <w:pPr>
        <w:spacing w:after="0" w:line="200" w:lineRule="exact"/>
        <w:rPr>
          <w:sz w:val="24"/>
          <w:szCs w:val="24"/>
          <w:color w:val="auto"/>
        </w:rPr>
      </w:pPr>
    </w:p>
    <w:p>
      <w:pPr>
        <w:spacing w:after="0" w:line="350" w:lineRule="exact"/>
        <w:rPr>
          <w:sz w:val="24"/>
          <w:szCs w:val="24"/>
          <w:color w:val="auto"/>
        </w:rPr>
      </w:pPr>
    </w:p>
    <w:p>
      <w:pPr>
        <w:ind w:right="20" w:firstLine="441"/>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67" w:lineRule="exact"/>
        <w:rPr>
          <w:sz w:val="24"/>
          <w:szCs w:val="24"/>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130" w:lineRule="exact"/>
        <w:rPr>
          <w:rFonts w:ascii="MS PGothic" w:cs="MS PGothic" w:eastAsia="MS PGothic" w:hAnsi="MS PGothic"/>
          <w:sz w:val="18"/>
          <w:szCs w:val="18"/>
          <w:color w:val="auto"/>
        </w:rPr>
      </w:pPr>
    </w:p>
    <w:p>
      <w:pPr>
        <w:ind w:left="440" w:hanging="436"/>
        <w:spacing w:after="0"/>
        <w:tabs>
          <w:tab w:leader="none" w:pos="44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225" w:lineRule="exact"/>
        <w:rPr>
          <w:sz w:val="24"/>
          <w:szCs w:val="24"/>
          <w:color w:val="auto"/>
        </w:rPr>
      </w:pPr>
    </w:p>
    <w:p>
      <w:pPr>
        <w:ind w:right="30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ind w:left="8800"/>
        <w:spacing w:after="0" w:line="207" w:lineRule="exact"/>
        <w:rPr>
          <w:sz w:val="20"/>
          <w:szCs w:val="20"/>
          <w:color w:val="auto"/>
        </w:rPr>
      </w:pPr>
      <w:r>
        <w:rPr>
          <w:rFonts w:ascii="Times New Roman" w:cs="Times New Roman" w:eastAsia="Times New Roman" w:hAnsi="Times New Roman"/>
          <w:sz w:val="18"/>
          <w:szCs w:val="18"/>
          <w:color w:val="auto"/>
        </w:rPr>
        <w:t xml:space="preserve">Emerging growth company </w:t>
      </w:r>
      <w:r>
        <w:rPr>
          <w:rFonts w:ascii="MS PGothic" w:cs="MS PGothic" w:eastAsia="MS PGothic" w:hAnsi="MS PGothic"/>
          <w:sz w:val="18"/>
          <w:szCs w:val="18"/>
          <w:color w:val="auto"/>
        </w:rPr>
        <w:t>☒</w:t>
      </w:r>
    </w:p>
    <w:p>
      <w:pPr>
        <w:spacing w:after="0" w:line="254" w:lineRule="exact"/>
        <w:rPr>
          <w:sz w:val="24"/>
          <w:szCs w:val="24"/>
          <w:color w:val="auto"/>
        </w:rPr>
      </w:pPr>
    </w:p>
    <w:p>
      <w:pPr>
        <w:ind w:right="280"/>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48260</wp:posOffset>
            </wp:positionV>
            <wp:extent cx="699770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997700"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90805</wp:posOffset>
            </wp:positionV>
            <wp:extent cx="699770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997700" cy="8890"/>
                    </a:xfrm>
                    <a:prstGeom prst="rect">
                      <a:avLst/>
                    </a:prstGeom>
                    <a:noFill/>
                  </pic:spPr>
                </pic:pic>
              </a:graphicData>
            </a:graphic>
          </wp:anchor>
        </w:drawing>
      </w:r>
    </w:p>
    <w:p>
      <w:pPr>
        <w:sectPr>
          <w:pgSz w:w="11900" w:h="16838" w:orient="portrait"/>
          <w:cols w:equalWidth="0" w:num="1">
            <w:col w:w="11020"/>
          </w:cols>
          <w:pgMar w:left="440" w:top="362" w:right="439" w:bottom="1440" w:gutter="0" w:footer="0" w:header="0"/>
        </w:sectPr>
      </w:pPr>
    </w:p>
    <w:bookmarkStart w:id="1" w:name="page2"/>
    <w:bookmarkEnd w:id="1"/>
    <w:p>
      <w:pPr>
        <w:ind w:left="1100" w:right="1080" w:hanging="1093"/>
        <w:spacing w:after="0" w:line="286" w:lineRule="auto"/>
        <w:tabs>
          <w:tab w:leader="none" w:pos="1080" w:val="left"/>
        </w:tabs>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5.02.</w:t>
      </w:r>
      <w:r>
        <w:rPr>
          <w:sz w:val="20"/>
          <w:szCs w:val="20"/>
          <w:color w:val="auto"/>
        </w:rPr>
        <w:tab/>
      </w:r>
      <w:r>
        <w:rPr>
          <w:rFonts w:ascii="Times New Roman" w:cs="Times New Roman" w:eastAsia="Times New Roman" w:hAnsi="Times New Roman"/>
          <w:sz w:val="18"/>
          <w:szCs w:val="18"/>
          <w:b w:val="1"/>
          <w:bCs w:val="1"/>
          <w:color w:val="auto"/>
        </w:rPr>
        <w:t>Departure of Directors or Certain Officers; Election of Directors; Appointment of Certain Officers; Compensatory Arrangements of Certain Officers.</w:t>
      </w:r>
    </w:p>
    <w:p>
      <w:pPr>
        <w:spacing w:after="0" w:line="49" w:lineRule="exact"/>
        <w:rPr>
          <w:sz w:val="20"/>
          <w:szCs w:val="20"/>
          <w:color w:val="auto"/>
        </w:rPr>
      </w:pPr>
    </w:p>
    <w:p>
      <w:pPr>
        <w:ind w:right="540"/>
        <w:spacing w:after="0" w:line="284" w:lineRule="auto"/>
        <w:rPr>
          <w:sz w:val="20"/>
          <w:szCs w:val="20"/>
          <w:color w:val="auto"/>
        </w:rPr>
      </w:pPr>
      <w:r>
        <w:rPr>
          <w:rFonts w:ascii="Times New Roman" w:cs="Times New Roman" w:eastAsia="Times New Roman" w:hAnsi="Times New Roman"/>
          <w:sz w:val="18"/>
          <w:szCs w:val="18"/>
          <w:color w:val="auto"/>
        </w:rPr>
        <w:t>On March 19, 2019, Cesare Orlandi, M.D., the Chief Medical Officer of Lantheus Holdings, Inc. (the “</w:t>
      </w:r>
      <w:r>
        <w:rPr>
          <w:rFonts w:ascii="Times New Roman" w:cs="Times New Roman" w:eastAsia="Times New Roman" w:hAnsi="Times New Roman"/>
          <w:sz w:val="18"/>
          <w:szCs w:val="18"/>
          <w:i w:val="1"/>
          <w:iCs w:val="1"/>
          <w:color w:val="auto"/>
        </w:rPr>
        <w:t>Company</w:t>
      </w:r>
      <w:r>
        <w:rPr>
          <w:rFonts w:ascii="Times New Roman" w:cs="Times New Roman" w:eastAsia="Times New Roman" w:hAnsi="Times New Roman"/>
          <w:sz w:val="18"/>
          <w:szCs w:val="18"/>
          <w:color w:val="auto"/>
        </w:rPr>
        <w:t>”), informed the Company of his intention to retire, effective September 2, 2019.</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copy of the Company’s press release announcing Dr. Orlandi’s retirement is attached hereto as Exhibit 99.1.</w:t>
      </w:r>
    </w:p>
    <w:p>
      <w:pPr>
        <w:spacing w:after="0" w:line="370" w:lineRule="exact"/>
        <w:rPr>
          <w:sz w:val="20"/>
          <w:szCs w:val="20"/>
          <w:color w:val="auto"/>
        </w:rPr>
      </w:pPr>
    </w:p>
    <w:p>
      <w:pPr>
        <w:spacing w:after="0"/>
        <w:tabs>
          <w:tab w:leader="none" w:pos="1080" w:val="left"/>
        </w:tabs>
        <w:rPr>
          <w:sz w:val="20"/>
          <w:szCs w:val="20"/>
          <w:color w:val="auto"/>
        </w:rPr>
      </w:pPr>
      <w:r>
        <w:rPr>
          <w:rFonts w:ascii="Times New Roman" w:cs="Times New Roman" w:eastAsia="Times New Roman" w:hAnsi="Times New Roman"/>
          <w:sz w:val="18"/>
          <w:szCs w:val="18"/>
          <w:b w:val="1"/>
          <w:bCs w:val="1"/>
          <w:color w:val="auto"/>
        </w:rPr>
        <w:t>Item 8.01.</w:t>
      </w:r>
      <w:r>
        <w:rPr>
          <w:sz w:val="20"/>
          <w:szCs w:val="20"/>
          <w:color w:val="auto"/>
        </w:rPr>
        <w:tab/>
      </w:r>
      <w:r>
        <w:rPr>
          <w:rFonts w:ascii="Times New Roman" w:cs="Times New Roman" w:eastAsia="Times New Roman" w:hAnsi="Times New Roman"/>
          <w:sz w:val="17"/>
          <w:szCs w:val="17"/>
          <w:b w:val="1"/>
          <w:bCs w:val="1"/>
          <w:color w:val="auto"/>
        </w:rPr>
        <w:t>Other Events.</w:t>
      </w:r>
    </w:p>
    <w:p>
      <w:pPr>
        <w:spacing w:after="0" w:line="121"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On March 25, 2019, the Company announced its promotion of John Bolla from Senior Vice President, Technical Operations, to Chief Operations Officer of the Company, effective immediately.</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copy of the Company’s press release announcing Mr. Bolla’s promotion is attached hereto as Exhibit 99.1.</w:t>
      </w:r>
    </w:p>
    <w:p>
      <w:pPr>
        <w:spacing w:after="0" w:line="370" w:lineRule="exact"/>
        <w:rPr>
          <w:sz w:val="20"/>
          <w:szCs w:val="20"/>
          <w:color w:val="auto"/>
        </w:rPr>
      </w:pPr>
    </w:p>
    <w:p>
      <w:pPr>
        <w:spacing w:after="0"/>
        <w:tabs>
          <w:tab w:leader="none" w:pos="1080" w:val="left"/>
        </w:tabs>
        <w:rPr>
          <w:sz w:val="20"/>
          <w:szCs w:val="20"/>
          <w:color w:val="auto"/>
        </w:rPr>
      </w:pPr>
      <w:r>
        <w:rPr>
          <w:rFonts w:ascii="Times New Roman" w:cs="Times New Roman" w:eastAsia="Times New Roman" w:hAnsi="Times New Roman"/>
          <w:sz w:val="18"/>
          <w:szCs w:val="18"/>
          <w:b w:val="1"/>
          <w:bCs w:val="1"/>
          <w:color w:val="auto"/>
        </w:rPr>
        <w:t>Item 9.01.</w:t>
      </w:r>
      <w:r>
        <w:rPr>
          <w:sz w:val="20"/>
          <w:szCs w:val="20"/>
          <w:color w:val="auto"/>
        </w:rPr>
        <w:tab/>
      </w:r>
      <w:r>
        <w:rPr>
          <w:rFonts w:ascii="Times New Roman" w:cs="Times New Roman" w:eastAsia="Times New Roman" w:hAnsi="Times New Roman"/>
          <w:sz w:val="17"/>
          <w:szCs w:val="17"/>
          <w:b w:val="1"/>
          <w:bCs w:val="1"/>
          <w:color w:val="auto"/>
        </w:rPr>
        <w:t>Financial Statements and Exhibits.</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 Exhibits</w:t>
      </w: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w w:val="99"/>
              </w:rPr>
              <w:t>Exhibit</w:t>
            </w:r>
          </w:p>
        </w:tc>
        <w:tc>
          <w:tcPr>
            <w:tcW w:w="520" w:type="dxa"/>
            <w:vAlign w:val="bottom"/>
          </w:tcPr>
          <w:p>
            <w:pPr>
              <w:spacing w:after="0"/>
              <w:rPr>
                <w:sz w:val="13"/>
                <w:szCs w:val="13"/>
                <w:color w:val="auto"/>
              </w:rPr>
            </w:pPr>
          </w:p>
        </w:tc>
        <w:tc>
          <w:tcPr>
            <w:tcW w:w="9760" w:type="dxa"/>
            <w:vAlign w:val="bottom"/>
            <w:gridSpan w:val="4"/>
            <w:vMerge w:val="restart"/>
          </w:tcPr>
          <w:p>
            <w:pPr>
              <w:ind w:left="468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440" w:type="dxa"/>
            <w:vAlign w:val="bottom"/>
          </w:tcPr>
          <w:p>
            <w:pPr>
              <w:ind w:left="100"/>
              <w:spacing w:after="0"/>
              <w:rPr>
                <w:sz w:val="20"/>
                <w:szCs w:val="20"/>
                <w:color w:val="auto"/>
              </w:rPr>
            </w:pPr>
            <w:r>
              <w:rPr>
                <w:rFonts w:ascii="Times New Roman" w:cs="Times New Roman" w:eastAsia="Times New Roman" w:hAnsi="Times New Roman"/>
                <w:sz w:val="14"/>
                <w:szCs w:val="14"/>
                <w:b w:val="1"/>
                <w:bCs w:val="1"/>
                <w:color w:val="auto"/>
              </w:rPr>
              <w:t>No.</w:t>
            </w:r>
          </w:p>
        </w:tc>
        <w:tc>
          <w:tcPr>
            <w:tcW w:w="520" w:type="dxa"/>
            <w:vAlign w:val="bottom"/>
          </w:tcPr>
          <w:p>
            <w:pPr>
              <w:spacing w:after="0"/>
              <w:rPr>
                <w:sz w:val="15"/>
                <w:szCs w:val="15"/>
                <w:color w:val="auto"/>
              </w:rPr>
            </w:pPr>
          </w:p>
        </w:tc>
        <w:tc>
          <w:tcPr>
            <w:tcW w:w="976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99.1</w:t>
            </w:r>
          </w:p>
        </w:tc>
        <w:tc>
          <w:tcPr>
            <w:tcW w:w="520" w:type="dxa"/>
            <w:vAlign w:val="bottom"/>
          </w:tcPr>
          <w:p>
            <w:pPr>
              <w:spacing w:after="0"/>
              <w:rPr>
                <w:sz w:val="24"/>
                <w:szCs w:val="24"/>
                <w:color w:val="auto"/>
              </w:rPr>
            </w:pPr>
          </w:p>
        </w:tc>
        <w:tc>
          <w:tcPr>
            <w:tcW w:w="9760" w:type="dxa"/>
            <w:vAlign w:val="bottom"/>
            <w:tcBorders>
              <w:bottom w:val="single" w:sz="8" w:color="0000EE"/>
            </w:tcBorders>
            <w:gridSpan w:val="4"/>
          </w:tcPr>
          <w:p>
            <w:pPr>
              <w:spacing w:after="0"/>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color w:val="0000EE"/>
                </w:rPr>
                <w:t>Press release of Lantheus Holdings, Inc. dated March 25, 2019, entitled “Lantheus Announces Upcoming Retirement of Chief Medical</w:t>
              </w:r>
            </w:hyperlink>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760" w:type="dxa"/>
            <w:vAlign w:val="bottom"/>
            <w:gridSpan w:val="4"/>
          </w:tcPr>
          <w:p>
            <w:pPr>
              <w:spacing w:after="0" w:line="196" w:lineRule="exact"/>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color w:val="0000EE"/>
                </w:rPr>
                <w:t>Officer in September 2019 and Promotion of Senior Vice President, Technical Operations to Chief Operations Officer”</w:t>
              </w:r>
            </w:hyperlink>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8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3160" w:type="dxa"/>
            <w:vAlign w:val="bottom"/>
            <w:shd w:val="clear" w:color="auto" w:fill="0000EE"/>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ectPr>
          <w:pgSz w:w="11900" w:h="16838" w:orient="portrait"/>
          <w:cols w:equalWidth="0" w:num="1">
            <w:col w:w="11000"/>
          </w:cols>
          <w:pgMar w:left="440" w:top="266" w:right="459" w:bottom="1440" w:gutter="0" w:footer="0" w:header="0"/>
        </w:sectPr>
      </w:pPr>
    </w:p>
    <w:bookmarkStart w:id="2" w:name="page3"/>
    <w:bookmarkEnd w:id="2"/>
    <w:p>
      <w:pPr>
        <w:jc w:val="center"/>
        <w:ind w:right="-25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50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185"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b w:val="1"/>
          <w:bCs w:val="1"/>
          <w:color w:val="auto"/>
        </w:rPr>
        <w:t>LANTHEUS HOLDINGS, INC.</w:t>
      </w:r>
    </w:p>
    <w:p>
      <w:pPr>
        <w:spacing w:after="0" w:line="229" w:lineRule="exact"/>
        <w:rPr>
          <w:sz w:val="20"/>
          <w:szCs w:val="20"/>
          <w:color w:val="auto"/>
        </w:rPr>
      </w:pPr>
    </w:p>
    <w:p>
      <w:pPr>
        <w:ind w:left="6620"/>
        <w:spacing w:after="0"/>
        <w:tabs>
          <w:tab w:leader="none" w:pos="71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Michael P. Duffy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4577715</wp:posOffset>
            </wp:positionH>
            <wp:positionV relativeFrom="paragraph">
              <wp:posOffset>17145</wp:posOffset>
            </wp:positionV>
            <wp:extent cx="242697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426970" cy="8890"/>
                    </a:xfrm>
                    <a:prstGeom prst="rect">
                      <a:avLst/>
                    </a:prstGeom>
                    <a:noFill/>
                  </pic:spPr>
                </pic:pic>
              </a:graphicData>
            </a:graphic>
          </wp:anchor>
        </w:drawing>
      </w:r>
    </w:p>
    <w:p>
      <w:pPr>
        <w:spacing w:after="0" w:line="16" w:lineRule="exact"/>
        <w:rPr>
          <w:sz w:val="20"/>
          <w:szCs w:val="20"/>
          <w:color w:val="auto"/>
        </w:rPr>
      </w:pPr>
    </w:p>
    <w:p>
      <w:pPr>
        <w:ind w:left="6620"/>
        <w:spacing w:after="0"/>
        <w:rPr>
          <w:sz w:val="20"/>
          <w:szCs w:val="20"/>
          <w:color w:val="auto"/>
        </w:rPr>
      </w:pPr>
      <w:r>
        <w:rPr>
          <w:rFonts w:ascii="Times New Roman" w:cs="Times New Roman" w:eastAsia="Times New Roman" w:hAnsi="Times New Roman"/>
          <w:sz w:val="18"/>
          <w:szCs w:val="18"/>
          <w:color w:val="auto"/>
        </w:rPr>
        <w:t>Name: Michael P. Duffy</w:t>
      </w:r>
    </w:p>
    <w:p>
      <w:pPr>
        <w:spacing w:after="0" w:line="27" w:lineRule="exact"/>
        <w:rPr>
          <w:sz w:val="20"/>
          <w:szCs w:val="20"/>
          <w:color w:val="auto"/>
        </w:rPr>
      </w:pPr>
    </w:p>
    <w:p>
      <w:pPr>
        <w:jc w:val="both"/>
        <w:ind w:left="6620"/>
        <w:spacing w:after="0"/>
        <w:tabs>
          <w:tab w:leader="none" w:pos="7180" w:val="left"/>
        </w:tabs>
        <w:rPr>
          <w:sz w:val="20"/>
          <w:szCs w:val="20"/>
          <w:color w:val="auto"/>
        </w:rPr>
      </w:pPr>
      <w:r>
        <w:rPr>
          <w:rFonts w:ascii="Times New Roman" w:cs="Times New Roman" w:eastAsia="Times New Roman" w:hAnsi="Times New Roman"/>
          <w:sz w:val="18"/>
          <w:szCs w:val="18"/>
          <w:color w:val="auto"/>
        </w:rPr>
        <w:t>Title:</w:t>
        <w:tab/>
        <w:t>General Counsel, Senior Vice President, Law and</w:t>
      </w:r>
    </w:p>
    <w:p>
      <w:pPr>
        <w:spacing w:after="0" w:line="9" w:lineRule="exact"/>
        <w:rPr>
          <w:sz w:val="20"/>
          <w:szCs w:val="20"/>
          <w:color w:val="auto"/>
        </w:rPr>
      </w:pPr>
    </w:p>
    <w:p>
      <w:pPr>
        <w:ind w:left="7200"/>
        <w:spacing w:after="0"/>
        <w:rPr>
          <w:sz w:val="20"/>
          <w:szCs w:val="20"/>
          <w:color w:val="auto"/>
        </w:rPr>
      </w:pPr>
      <w:r>
        <w:rPr>
          <w:rFonts w:ascii="Times New Roman" w:cs="Times New Roman" w:eastAsia="Times New Roman" w:hAnsi="Times New Roman"/>
          <w:sz w:val="18"/>
          <w:szCs w:val="18"/>
          <w:color w:val="auto"/>
        </w:rPr>
        <w:t>Public Policy, and Secretary</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Date: March 25, 2019</w:t>
      </w:r>
    </w:p>
    <w:p>
      <w:pPr>
        <w:sectPr>
          <w:pgSz w:w="11900" w:h="16838" w:orient="portrait"/>
          <w:cols w:equalWidth="0" w:num="1">
            <w:col w:w="10780"/>
          </w:cols>
          <w:pgMar w:left="440" w:top="266" w:right="67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8"/>
        </w:trPr>
        <w:tc>
          <w:tcPr>
            <w:tcW w:w="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9760" w:type="dxa"/>
            <w:vAlign w:val="bottom"/>
            <w:gridSpan w:val="4"/>
          </w:tcPr>
          <w:p>
            <w:pPr>
              <w:ind w:left="3840"/>
              <w:spacing w:after="0"/>
              <w:rPr>
                <w:sz w:val="20"/>
                <w:szCs w:val="20"/>
                <w:color w:val="auto"/>
              </w:rPr>
            </w:pPr>
            <w:r>
              <w:rPr>
                <w:rFonts w:ascii="Times New Roman" w:cs="Times New Roman" w:eastAsia="Times New Roman" w:hAnsi="Times New Roman"/>
                <w:sz w:val="18"/>
                <w:szCs w:val="18"/>
                <w:b w:val="1"/>
                <w:bCs w:val="1"/>
                <w:color w:val="auto"/>
              </w:rPr>
              <w:t>EXHIBIT INDEX</w:t>
            </w:r>
          </w:p>
        </w:tc>
        <w:tc>
          <w:tcPr>
            <w:tcW w:w="0" w:type="dxa"/>
            <w:vAlign w:val="bottom"/>
          </w:tcPr>
          <w:p>
            <w:pPr>
              <w:spacing w:after="0"/>
              <w:rPr>
                <w:sz w:val="1"/>
                <w:szCs w:val="1"/>
                <w:color w:val="auto"/>
              </w:rPr>
            </w:pPr>
          </w:p>
        </w:tc>
      </w:tr>
      <w:tr>
        <w:trPr>
          <w:trHeight w:val="367"/>
        </w:trPr>
        <w:tc>
          <w:tcPr>
            <w:tcW w:w="4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w w:val="99"/>
              </w:rPr>
              <w:t>Exhibit</w:t>
            </w:r>
          </w:p>
        </w:tc>
        <w:tc>
          <w:tcPr>
            <w:tcW w:w="520" w:type="dxa"/>
            <w:vAlign w:val="bottom"/>
          </w:tcPr>
          <w:p>
            <w:pPr>
              <w:spacing w:after="0"/>
              <w:rPr>
                <w:sz w:val="24"/>
                <w:szCs w:val="24"/>
                <w:color w:val="auto"/>
              </w:rPr>
            </w:pPr>
          </w:p>
        </w:tc>
        <w:tc>
          <w:tcPr>
            <w:tcW w:w="9760" w:type="dxa"/>
            <w:vAlign w:val="bottom"/>
            <w:gridSpan w:val="4"/>
            <w:vMerge w:val="restart"/>
          </w:tcPr>
          <w:p>
            <w:pPr>
              <w:ind w:left="4680"/>
              <w:spacing w:after="0"/>
              <w:rPr>
                <w:sz w:val="20"/>
                <w:szCs w:val="20"/>
                <w:color w:val="auto"/>
              </w:rPr>
            </w:pPr>
            <w:r>
              <w:rPr>
                <w:rFonts w:ascii="Times New Roman" w:cs="Times New Roman" w:eastAsia="Times New Roman" w:hAnsi="Times New Roman"/>
                <w:sz w:val="14"/>
                <w:szCs w:val="14"/>
                <w:b w:val="1"/>
                <w:bCs w:val="1"/>
                <w:color w:val="auto"/>
              </w:rPr>
              <w:t>Description</w:t>
            </w: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440" w:type="dxa"/>
            <w:vAlign w:val="bottom"/>
          </w:tcPr>
          <w:p>
            <w:pPr>
              <w:ind w:left="100"/>
              <w:spacing w:after="0"/>
              <w:rPr>
                <w:sz w:val="20"/>
                <w:szCs w:val="20"/>
                <w:color w:val="auto"/>
              </w:rPr>
            </w:pPr>
            <w:r>
              <w:rPr>
                <w:rFonts w:ascii="Times New Roman" w:cs="Times New Roman" w:eastAsia="Times New Roman" w:hAnsi="Times New Roman"/>
                <w:sz w:val="14"/>
                <w:szCs w:val="14"/>
                <w:b w:val="1"/>
                <w:bCs w:val="1"/>
                <w:color w:val="auto"/>
              </w:rPr>
              <w:t>No.</w:t>
            </w:r>
          </w:p>
        </w:tc>
        <w:tc>
          <w:tcPr>
            <w:tcW w:w="520" w:type="dxa"/>
            <w:vAlign w:val="bottom"/>
          </w:tcPr>
          <w:p>
            <w:pPr>
              <w:spacing w:after="0"/>
              <w:rPr>
                <w:sz w:val="15"/>
                <w:szCs w:val="15"/>
                <w:color w:val="auto"/>
              </w:rPr>
            </w:pPr>
          </w:p>
        </w:tc>
        <w:tc>
          <w:tcPr>
            <w:tcW w:w="976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8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7"/>
        </w:trPr>
        <w:tc>
          <w:tcPr>
            <w:tcW w:w="46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99.1</w:t>
            </w:r>
          </w:p>
        </w:tc>
        <w:tc>
          <w:tcPr>
            <w:tcW w:w="520" w:type="dxa"/>
            <w:vAlign w:val="bottom"/>
          </w:tcPr>
          <w:p>
            <w:pPr>
              <w:spacing w:after="0"/>
              <w:rPr>
                <w:sz w:val="24"/>
                <w:szCs w:val="24"/>
                <w:color w:val="auto"/>
              </w:rPr>
            </w:pPr>
          </w:p>
        </w:tc>
        <w:tc>
          <w:tcPr>
            <w:tcW w:w="9760" w:type="dxa"/>
            <w:vAlign w:val="bottom"/>
            <w:tcBorders>
              <w:bottom w:val="single" w:sz="8" w:color="0000EE"/>
            </w:tcBorders>
            <w:gridSpan w:val="4"/>
          </w:tcPr>
          <w:p>
            <w:pPr>
              <w:spacing w:after="0"/>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color w:val="0000EE"/>
                </w:rPr>
                <w:t>Press release of Lantheus Holdings, Inc. dated March 25, 2019, entitled “Lantheus Announces Upcoming Retirement of Chief Medical</w:t>
              </w:r>
            </w:hyperlink>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9760" w:type="dxa"/>
            <w:vAlign w:val="bottom"/>
            <w:gridSpan w:val="4"/>
          </w:tcPr>
          <w:p>
            <w:pPr>
              <w:spacing w:after="0" w:line="196" w:lineRule="exact"/>
              <w:rPr>
                <w:rFonts w:ascii="Times New Roman" w:cs="Times New Roman" w:eastAsia="Times New Roman" w:hAnsi="Times New Roman"/>
                <w:sz w:val="18"/>
                <w:szCs w:val="18"/>
                <w:color w:val="0000EE"/>
              </w:rPr>
            </w:pPr>
            <w:hyperlink w:anchor="page5">
              <w:r>
                <w:rPr>
                  <w:rFonts w:ascii="Times New Roman" w:cs="Times New Roman" w:eastAsia="Times New Roman" w:hAnsi="Times New Roman"/>
                  <w:sz w:val="18"/>
                  <w:szCs w:val="18"/>
                  <w:color w:val="0000EE"/>
                </w:rPr>
                <w:t>Officer in September 2019 and Promotion of Senior Vice President, Technical Operations to Chief Operations Officer”</w:t>
              </w:r>
            </w:hyperlink>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8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3160" w:type="dxa"/>
            <w:vAlign w:val="bottom"/>
            <w:shd w:val="clear" w:color="auto" w:fill="0000EE"/>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sectPr>
          <w:pgSz w:w="11900" w:h="16838" w:orient="portrait"/>
          <w:cols w:equalWidth="0" w:num="1">
            <w:col w:w="10740"/>
          </w:cols>
          <w:pgMar w:left="440" w:top="266" w:right="71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4" w:name="page5"/>
    <w:bookmarkEnd w:id="4"/>
    <w:p>
      <w:pPr>
        <w:jc w:val="right"/>
        <w:spacing w:after="0"/>
        <w:rPr>
          <w:sz w:val="20"/>
          <w:szCs w:val="20"/>
          <w:color w:val="auto"/>
        </w:rPr>
      </w:pPr>
      <w:r>
        <w:rPr>
          <w:rFonts w:ascii="Times New Roman" w:cs="Times New Roman" w:eastAsia="Times New Roman" w:hAnsi="Times New Roman"/>
          <w:sz w:val="17"/>
          <w:szCs w:val="17"/>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181610</wp:posOffset>
            </wp:positionV>
            <wp:extent cx="2649855" cy="763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649855" cy="763270"/>
                    </a:xfrm>
                    <a:prstGeom prst="rect">
                      <a:avLst/>
                    </a:prstGeom>
                    <a:noFill/>
                  </pic:spPr>
                </pic:pic>
              </a:graphicData>
            </a:graphic>
          </wp:anchor>
        </w:drawing>
      </w:r>
    </w:p>
    <w:p>
      <w:pPr>
        <w:sectPr>
          <w:pgSz w:w="11900" w:h="16838" w:orient="portrait"/>
          <w:cols w:equalWidth="0" w:num="1">
            <w:col w:w="11020"/>
          </w:cols>
          <w:pgMar w:left="440" w:top="117" w:right="4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6520"/>
        <w:spacing w:after="0"/>
        <w:rPr>
          <w:sz w:val="20"/>
          <w:szCs w:val="20"/>
          <w:color w:val="auto"/>
        </w:rPr>
      </w:pPr>
      <w:r>
        <w:rPr>
          <w:rFonts w:ascii="Times New Roman" w:cs="Times New Roman" w:eastAsia="Times New Roman" w:hAnsi="Times New Roman"/>
          <w:sz w:val="18"/>
          <w:szCs w:val="18"/>
          <w:color w:val="auto"/>
        </w:rPr>
        <w:t>331 Treble Cove Road</w:t>
      </w:r>
    </w:p>
    <w:p>
      <w:pPr>
        <w:spacing w:after="0" w:line="27" w:lineRule="exact"/>
        <w:rPr>
          <w:sz w:val="20"/>
          <w:szCs w:val="20"/>
          <w:color w:val="auto"/>
        </w:rPr>
      </w:pPr>
    </w:p>
    <w:p>
      <w:pPr>
        <w:ind w:left="6520"/>
        <w:spacing w:after="0"/>
        <w:rPr>
          <w:sz w:val="20"/>
          <w:szCs w:val="20"/>
          <w:color w:val="auto"/>
        </w:rPr>
      </w:pPr>
      <w:r>
        <w:rPr>
          <w:rFonts w:ascii="Times New Roman" w:cs="Times New Roman" w:eastAsia="Times New Roman" w:hAnsi="Times New Roman"/>
          <w:sz w:val="17"/>
          <w:szCs w:val="17"/>
          <w:color w:val="auto"/>
        </w:rPr>
        <w:t>North Billerica, MA 01862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right="820"/>
        <w:spacing w:after="0" w:line="313" w:lineRule="auto"/>
        <w:rPr>
          <w:sz w:val="20"/>
          <w:szCs w:val="20"/>
          <w:color w:val="auto"/>
        </w:rPr>
      </w:pPr>
      <w:r>
        <w:rPr>
          <w:rFonts w:ascii="Times New Roman" w:cs="Times New Roman" w:eastAsia="Times New Roman" w:hAnsi="Times New Roman"/>
          <w:sz w:val="17"/>
          <w:szCs w:val="17"/>
          <w:color w:val="auto"/>
        </w:rPr>
        <w:t>800.362.2668 www.lantheus.com</w:t>
      </w:r>
    </w:p>
    <w:p>
      <w:pPr>
        <w:spacing w:after="0" w:line="200" w:lineRule="exact"/>
        <w:rPr>
          <w:sz w:val="20"/>
          <w:szCs w:val="20"/>
          <w:color w:val="auto"/>
        </w:rPr>
      </w:pPr>
    </w:p>
    <w:p>
      <w:pPr>
        <w:sectPr>
          <w:pgSz w:w="11900" w:h="16838" w:orient="portrait"/>
          <w:cols w:equalWidth="0" w:num="2">
            <w:col w:w="8460" w:space="360"/>
            <w:col w:w="2200"/>
          </w:cols>
          <w:pgMar w:left="440" w:top="117" w:right="439" w:bottom="1440" w:gutter="0" w:footer="0" w:header="0"/>
          <w:type w:val="continuous"/>
        </w:sectPr>
      </w:pPr>
    </w:p>
    <w:p>
      <w:pPr>
        <w:spacing w:after="0" w:line="32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 IMMEDIATE RELEASE</w:t>
      </w:r>
    </w:p>
    <w:p>
      <w:pPr>
        <w:spacing w:after="0" w:line="225" w:lineRule="exact"/>
        <w:rPr>
          <w:sz w:val="20"/>
          <w:szCs w:val="20"/>
          <w:color w:val="auto"/>
        </w:rPr>
      </w:pPr>
    </w:p>
    <w:p>
      <w:pPr>
        <w:jc w:val="center"/>
        <w:ind w:left="480" w:right="140"/>
        <w:spacing w:after="0" w:line="286" w:lineRule="auto"/>
        <w:rPr>
          <w:sz w:val="20"/>
          <w:szCs w:val="20"/>
          <w:color w:val="auto"/>
        </w:rPr>
      </w:pPr>
      <w:r>
        <w:rPr>
          <w:rFonts w:ascii="Times New Roman" w:cs="Times New Roman" w:eastAsia="Times New Roman" w:hAnsi="Times New Roman"/>
          <w:sz w:val="18"/>
          <w:szCs w:val="18"/>
          <w:b w:val="1"/>
          <w:bCs w:val="1"/>
          <w:color w:val="auto"/>
        </w:rPr>
        <w:t>Lantheus Announces Upcoming Retirement of Chief Medical Officer in September 2019 and Promotion of Senior Vice President, Technical Operations to Chief Operations Officer</w:t>
      </w:r>
    </w:p>
    <w:p>
      <w:pPr>
        <w:spacing w:after="0" w:line="155" w:lineRule="exact"/>
        <w:rPr>
          <w:sz w:val="20"/>
          <w:szCs w:val="20"/>
          <w:color w:val="auto"/>
        </w:rPr>
      </w:pPr>
    </w:p>
    <w:p>
      <w:pPr>
        <w:ind w:right="60"/>
        <w:spacing w:after="0" w:line="259" w:lineRule="auto"/>
        <w:rPr>
          <w:sz w:val="20"/>
          <w:szCs w:val="20"/>
          <w:color w:val="auto"/>
        </w:rPr>
      </w:pPr>
      <w:r>
        <w:rPr>
          <w:rFonts w:ascii="Times New Roman" w:cs="Times New Roman" w:eastAsia="Times New Roman" w:hAnsi="Times New Roman"/>
          <w:sz w:val="18"/>
          <w:szCs w:val="18"/>
          <w:b w:val="1"/>
          <w:bCs w:val="1"/>
          <w:color w:val="auto"/>
        </w:rPr>
        <w:t>NORTH BILLERICA, Mass., March 25, 2019</w:t>
      </w:r>
      <w:r>
        <w:rPr>
          <w:rFonts w:ascii="Times New Roman" w:cs="Times New Roman" w:eastAsia="Times New Roman" w:hAnsi="Times New Roman"/>
          <w:sz w:val="18"/>
          <w:szCs w:val="18"/>
          <w:color w:val="auto"/>
        </w:rPr>
        <w:t>– Lantheus Holdings, Inc. (the “Company”) (NASDAQ: LNTH), parent company of Lantheus Medical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Imaging, Inc. (“LMI”), a global leader in the development, manufacture and commercialization of innovative diagnostic imaging agents and products, today announced that Cesare Orlandi, M.D., Chief Medical Officer, will retire from the Company on September 2, 2019. In addition, John Bolla, the Company’s Senior Vice President, Technical Operations, has been promoted to the newly created position of Chief Operations Officer, effective immediately.</w:t>
      </w:r>
    </w:p>
    <w:p>
      <w:pPr>
        <w:spacing w:after="0" w:line="184" w:lineRule="exact"/>
        <w:rPr>
          <w:sz w:val="20"/>
          <w:szCs w:val="20"/>
          <w:color w:val="auto"/>
        </w:rPr>
      </w:pPr>
    </w:p>
    <w:p>
      <w:pPr>
        <w:ind w:right="360"/>
        <w:spacing w:after="0" w:line="282" w:lineRule="auto"/>
        <w:rPr>
          <w:sz w:val="20"/>
          <w:szCs w:val="20"/>
          <w:color w:val="auto"/>
        </w:rPr>
      </w:pPr>
      <w:r>
        <w:rPr>
          <w:rFonts w:ascii="Times New Roman" w:cs="Times New Roman" w:eastAsia="Times New Roman" w:hAnsi="Times New Roman"/>
          <w:sz w:val="18"/>
          <w:szCs w:val="18"/>
          <w:color w:val="auto"/>
        </w:rPr>
        <w:t>Dr. Orlandi will be employed by the Company in a full time capacity until his retirement date, and will continue in his role as Chief Medical Officer until his successor is appointed. The Company will commence a search to identify Dr. Orlandi’s successor.</w:t>
      </w:r>
    </w:p>
    <w:p>
      <w:pPr>
        <w:spacing w:after="0" w:line="162" w:lineRule="exact"/>
        <w:rPr>
          <w:sz w:val="20"/>
          <w:szCs w:val="20"/>
          <w:color w:val="auto"/>
        </w:rPr>
      </w:pPr>
    </w:p>
    <w:p>
      <w:pPr>
        <w:ind w:right="460"/>
        <w:spacing w:after="0" w:line="266" w:lineRule="auto"/>
        <w:rPr>
          <w:sz w:val="20"/>
          <w:szCs w:val="20"/>
          <w:color w:val="auto"/>
        </w:rPr>
      </w:pPr>
      <w:r>
        <w:rPr>
          <w:rFonts w:ascii="Times New Roman" w:cs="Times New Roman" w:eastAsia="Times New Roman" w:hAnsi="Times New Roman"/>
          <w:sz w:val="18"/>
          <w:szCs w:val="18"/>
          <w:color w:val="auto"/>
        </w:rPr>
        <w:t>“On behalf of the entire Lantheus team and Board of Directors, I thank Ces for his many years of dedicated service to the Company, and we look forward to working with him to continue progressing our clinical and pipeline programs while we work to identify his successor,” said Mary Anne Heino, President and Chief Executive Officer.</w:t>
      </w:r>
    </w:p>
    <w:p>
      <w:pPr>
        <w:spacing w:after="0" w:line="176" w:lineRule="exact"/>
        <w:rPr>
          <w:sz w:val="20"/>
          <w:szCs w:val="20"/>
          <w:color w:val="auto"/>
        </w:rPr>
      </w:pPr>
    </w:p>
    <w:p>
      <w:pPr>
        <w:jc w:val="both"/>
        <w:ind w:right="380"/>
        <w:spacing w:after="0" w:line="266" w:lineRule="auto"/>
        <w:rPr>
          <w:sz w:val="20"/>
          <w:szCs w:val="20"/>
          <w:color w:val="auto"/>
        </w:rPr>
      </w:pPr>
      <w:r>
        <w:rPr>
          <w:rFonts w:ascii="Times New Roman" w:cs="Times New Roman" w:eastAsia="Times New Roman" w:hAnsi="Times New Roman"/>
          <w:sz w:val="18"/>
          <w:szCs w:val="18"/>
          <w:color w:val="auto"/>
        </w:rPr>
        <w:t>“My decision to retire this year has not been an easy one, but now is the right time for me to make this change personally and professionally,” said Dr. Orlandi. “I am very proud of what we have accomplished since I joined as Chief Medical Officer in 2013, and I am confident the Company will successfully carry forward the momentum we’ve created.”</w:t>
      </w:r>
    </w:p>
    <w:p>
      <w:pPr>
        <w:spacing w:after="0" w:line="176"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As Chief Operations Officer, Mr. Bolla will lead the Company’s Technical Operations, Engineering &amp; Facilities, Environment, Health &amp; Safety, Human Resources, and Information Technology organizations in addition to his oversight of the Puerto Rico business unit.</w:t>
      </w:r>
    </w:p>
    <w:p>
      <w:pPr>
        <w:spacing w:after="0" w:line="162" w:lineRule="exact"/>
        <w:rPr>
          <w:sz w:val="20"/>
          <w:szCs w:val="20"/>
          <w:color w:val="auto"/>
        </w:rPr>
      </w:pPr>
    </w:p>
    <w:p>
      <w:pPr>
        <w:jc w:val="both"/>
        <w:ind w:right="40"/>
        <w:spacing w:after="0" w:line="266" w:lineRule="auto"/>
        <w:rPr>
          <w:sz w:val="20"/>
          <w:szCs w:val="20"/>
          <w:color w:val="auto"/>
        </w:rPr>
      </w:pPr>
      <w:r>
        <w:rPr>
          <w:rFonts w:ascii="Times New Roman" w:cs="Times New Roman" w:eastAsia="Times New Roman" w:hAnsi="Times New Roman"/>
          <w:sz w:val="18"/>
          <w:szCs w:val="18"/>
          <w:color w:val="auto"/>
        </w:rPr>
        <w:t>“I am very pleased to announce John’s appointment to the newly created role of Chief Operations Officer,” said Ms. Heino. “Since joining Lantheus last May, he has demonstrated significant operational and cross-functional leadership. As we drive strategic change within the Company to better position us for growth, John is ideally suited to contribute in his new role.”</w:t>
      </w:r>
    </w:p>
    <w:p>
      <w:pPr>
        <w:spacing w:after="0" w:line="176"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“I appreciate the confidence that Lantheus has shown in me and I’m excited to take on this new role,” said Mr. Bolla. “I look forward to the opportunity to participate in the growth of the Company as we drive operational excellence at this important time in our evolution.”</w:t>
      </w:r>
    </w:p>
    <w:p>
      <w:pPr>
        <w:sectPr>
          <w:pgSz w:w="11900" w:h="16838" w:orient="portrait"/>
          <w:cols w:equalWidth="0" w:num="1">
            <w:col w:w="11020"/>
          </w:cols>
          <w:pgMar w:left="440" w:top="117" w:right="439" w:bottom="1440" w:gutter="0" w:footer="0" w:header="0"/>
          <w:type w:val="continuous"/>
        </w:sectPr>
      </w:pPr>
    </w:p>
    <w:bookmarkStart w:id="5" w:name="page6"/>
    <w:bookmarkEnd w:id="5"/>
    <w:p>
      <w:pPr>
        <w:spacing w:after="0" w:line="256" w:lineRule="auto"/>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Prior to joining Lantheus in May 2018, Mr. Bolla spent 20 years at GlaxoSmithKline plc (GSK), a global branded pharmaceutical company. He held various senior leadership roles at GSK, including Vice President, Supply Chain, North America, where he was responsible for leading all manufacturing, supply planning, logistics and distribution for GSK’s largest global market. He also held senior roles as Vice President and Site General Manager for a large GSK manufacturing facility in the U.S., as well as Vice President and Global Head of External Supply and Global Contract Manufacturing. He has also served in multiple senior procurement leadership roles at GSK. Mr. Bolla holds a Bachelor of Science in Business Administration/Accounting from The University of Central Florida.</w:t>
      </w:r>
    </w:p>
    <w:p>
      <w:pPr>
        <w:spacing w:after="0" w:line="2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Lantheus Holdings, Inc. and Lantheus Medical Imaging, Inc.</w:t>
      </w:r>
    </w:p>
    <w:p>
      <w:pPr>
        <w:spacing w:after="0" w:line="121" w:lineRule="exact"/>
        <w:rPr>
          <w:sz w:val="20"/>
          <w:szCs w:val="20"/>
          <w:color w:val="auto"/>
        </w:rPr>
      </w:pPr>
    </w:p>
    <w:p>
      <w:pPr>
        <w:ind w:right="220"/>
        <w:spacing w:after="0" w:line="258" w:lineRule="auto"/>
        <w:rPr>
          <w:sz w:val="20"/>
          <w:szCs w:val="20"/>
          <w:color w:val="auto"/>
        </w:rPr>
      </w:pPr>
      <w:r>
        <w:rPr>
          <w:rFonts w:ascii="Times New Roman" w:cs="Times New Roman" w:eastAsia="Times New Roman" w:hAnsi="Times New Roman"/>
          <w:sz w:val="18"/>
          <w:szCs w:val="18"/>
          <w:color w:val="auto"/>
        </w:rPr>
        <w:t>Lantheus Holdings, Inc. is the parent company of Lantheus Medical Imaging, Inc. (“LMI”), a global leader in the development, manufacture and commercialization of innovative diagnostic imaging agents and products. LMI provides a broad portfolio of products, including the echocardiography contrast agent DEFINITY</w:t>
      </w:r>
      <w:r>
        <w:rPr>
          <w:rFonts w:ascii="Times New Roman" w:cs="Times New Roman" w:eastAsia="Times New Roman" w:hAnsi="Times New Roman"/>
          <w:sz w:val="15"/>
          <w:szCs w:val="15"/>
          <w:color w:val="auto"/>
        </w:rPr>
        <w:t>®</w:t>
      </w:r>
      <w:r>
        <w:rPr>
          <w:rFonts w:ascii="Times New Roman" w:cs="Times New Roman" w:eastAsia="Times New Roman" w:hAnsi="Times New Roman"/>
          <w:sz w:val="18"/>
          <w:szCs w:val="18"/>
          <w:color w:val="auto"/>
        </w:rPr>
        <w:t xml:space="preserve"> Vial for (Perflutren Lipid Microsphere) Injectable Suspension and TechneLite</w:t>
      </w:r>
      <w:r>
        <w:rPr>
          <w:rFonts w:ascii="Times New Roman" w:cs="Times New Roman" w:eastAsia="Times New Roman" w:hAnsi="Times New Roman"/>
          <w:sz w:val="15"/>
          <w:szCs w:val="15"/>
          <w:color w:val="auto"/>
        </w:rPr>
        <w:t>®</w:t>
      </w:r>
      <w:r>
        <w:rPr>
          <w:rFonts w:ascii="Times New Roman" w:cs="Times New Roman" w:eastAsia="Times New Roman" w:hAnsi="Times New Roman"/>
          <w:sz w:val="18"/>
          <w:szCs w:val="18"/>
          <w:color w:val="auto"/>
        </w:rPr>
        <w:t xml:space="preserve"> (Technetium Tc99m Generator), a technetium-based generator that provides the essential medical isotope used in nuclear medicine procedures. The Company is headquartered in North Billerica, Massachusetts with offices in Puerto Rico and Canada. For more information, visit </w:t>
      </w:r>
      <w:r>
        <w:rPr>
          <w:rFonts w:ascii="Times New Roman" w:cs="Times New Roman" w:eastAsia="Times New Roman" w:hAnsi="Times New Roman"/>
          <w:sz w:val="18"/>
          <w:szCs w:val="18"/>
          <w:u w:val="single" w:color="auto"/>
          <w:color w:val="auto"/>
        </w:rPr>
        <w:t>www.lantheus.com</w:t>
      </w:r>
      <w:r>
        <w:rPr>
          <w:rFonts w:ascii="Times New Roman" w:cs="Times New Roman" w:eastAsia="Times New Roman" w:hAnsi="Times New Roman"/>
          <w:sz w:val="18"/>
          <w:szCs w:val="18"/>
          <w:color w:val="auto"/>
        </w:rPr>
        <w:t>.</w:t>
      </w:r>
    </w:p>
    <w:p>
      <w:pPr>
        <w:spacing w:after="0" w:line="18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w:t>
      </w:r>
    </w:p>
    <w:p>
      <w:pPr>
        <w:spacing w:after="0" w:line="3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Media</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Meara Murphy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978-671-8508</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u w:val="single" w:color="auto"/>
          <w:color w:val="auto"/>
        </w:rPr>
        <w:t>Investors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Mark Kinarney</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978-671-8842</w:t>
      </w:r>
    </w:p>
    <w:sectPr>
      <w:pgSz w:w="11900" w:h="16838" w:orient="portrait"/>
      <w:cols w:equalWidth="0" w:num="1">
        <w:col w:w="11020"/>
      </w:cols>
      <w:pgMar w:left="440" w:top="270"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2019-12-28T14:04:55Z</dcterms:created>
  <dcterms:modified xsi:type="dcterms:W3CDTF">2019-12-28T14:04:55Z</dcterms:modified>
</cp:coreProperties>
</file>