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93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9354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Pruden Gary J</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40" w:type="dxa"/>
            <w:vAlign w:val="bottom"/>
            <w:tcBorders>
              <w:top w:val="single" w:sz="8" w:color="0000EE"/>
              <w:bottom w:val="single" w:sz="8" w:color="9A9A9A"/>
            </w:tcBorders>
          </w:tcPr>
          <w:p>
            <w:pPr>
              <w:spacing w:after="0"/>
              <w:rPr>
                <w:sz w:val="15"/>
                <w:szCs w:val="15"/>
                <w:color w:val="auto"/>
              </w:rPr>
            </w:pPr>
          </w:p>
        </w:tc>
        <w:tc>
          <w:tcPr>
            <w:tcW w:w="19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02/26/2018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18"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102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100"/>
              <w:spacing w:after="0"/>
              <w:rPr>
                <w:sz w:val="20"/>
                <w:szCs w:val="20"/>
                <w:color w:val="auto"/>
              </w:rPr>
            </w:pPr>
            <w:r>
              <w:rPr>
                <w:rFonts w:ascii="Arial" w:cs="Arial" w:eastAsia="Arial" w:hAnsi="Arial"/>
                <w:sz w:val="14"/>
                <w:szCs w:val="14"/>
                <w:color w:val="auto"/>
              </w:rPr>
              <w:t>(First)</w:t>
            </w:r>
          </w:p>
        </w:tc>
        <w:tc>
          <w:tcPr>
            <w:tcW w:w="1120" w:type="dxa"/>
            <w:vAlign w:val="bottom"/>
          </w:tcPr>
          <w:p>
            <w:pPr>
              <w:ind w:left="80"/>
              <w:spacing w:after="0"/>
              <w:rPr>
                <w:sz w:val="20"/>
                <w:szCs w:val="20"/>
                <w:color w:val="auto"/>
              </w:rPr>
            </w:pPr>
            <w:r>
              <w:rPr>
                <w:rFonts w:ascii="Arial" w:cs="Arial" w:eastAsia="Arial" w:hAnsi="Arial"/>
                <w:sz w:val="14"/>
                <w:szCs w:val="14"/>
                <w:color w:val="auto"/>
              </w:rPr>
              <w:t>(Middle)</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C/O LANTHEUS HOLDINGS, INC.</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120" w:type="dxa"/>
            <w:vAlign w:val="bottom"/>
            <w:gridSpan w:val="2"/>
          </w:tcPr>
          <w:p>
            <w:pPr>
              <w:ind w:left="20"/>
              <w:spacing w:after="0"/>
              <w:rPr>
                <w:sz w:val="20"/>
                <w:szCs w:val="20"/>
                <w:color w:val="auto"/>
              </w:rPr>
            </w:pPr>
            <w:r>
              <w:rPr>
                <w:rFonts w:ascii="Arial" w:cs="Arial" w:eastAsia="Arial" w:hAnsi="Arial"/>
                <w:sz w:val="18"/>
                <w:szCs w:val="18"/>
                <w:color w:val="0000FF"/>
                <w:w w:val="95"/>
              </w:rPr>
              <w:t>331 TREBLE COVE ROAD</w:t>
            </w: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270"/>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20" w:type="dxa"/>
            <w:vAlign w:val="bottom"/>
          </w:tcPr>
          <w:p>
            <w:pPr>
              <w:ind w:left="20"/>
              <w:spacing w:after="0"/>
              <w:rPr>
                <w:sz w:val="20"/>
                <w:szCs w:val="20"/>
                <w:color w:val="auto"/>
              </w:rPr>
            </w:pPr>
            <w:r>
              <w:rPr>
                <w:rFonts w:ascii="Arial" w:cs="Arial" w:eastAsia="Arial" w:hAnsi="Arial"/>
                <w:sz w:val="18"/>
                <w:szCs w:val="18"/>
                <w:color w:val="0000FF"/>
              </w:rPr>
              <w:t>NORTH</w:t>
            </w:r>
          </w:p>
        </w:tc>
        <w:tc>
          <w:tcPr>
            <w:tcW w:w="1100" w:type="dxa"/>
            <w:vAlign w:val="bottom"/>
            <w:vMerge w:val="restart"/>
          </w:tcPr>
          <w:p>
            <w:pPr>
              <w:ind w:left="100"/>
              <w:spacing w:after="0"/>
              <w:rPr>
                <w:sz w:val="20"/>
                <w:szCs w:val="20"/>
                <w:color w:val="auto"/>
              </w:rPr>
            </w:pPr>
            <w:r>
              <w:rPr>
                <w:rFonts w:ascii="Arial" w:cs="Arial" w:eastAsia="Arial" w:hAnsi="Arial"/>
                <w:sz w:val="18"/>
                <w:szCs w:val="18"/>
                <w:color w:val="0000FF"/>
              </w:rPr>
              <w:t>MA</w:t>
            </w:r>
          </w:p>
        </w:tc>
        <w:tc>
          <w:tcPr>
            <w:tcW w:w="1120" w:type="dxa"/>
            <w:vAlign w:val="bottom"/>
            <w:vMerge w:val="restart"/>
          </w:tcPr>
          <w:p>
            <w:pPr>
              <w:ind w:left="80"/>
              <w:spacing w:after="0"/>
              <w:rPr>
                <w:sz w:val="20"/>
                <w:szCs w:val="20"/>
                <w:color w:val="auto"/>
              </w:rPr>
            </w:pPr>
            <w:r>
              <w:rPr>
                <w:rFonts w:ascii="Arial" w:cs="Arial" w:eastAsia="Arial" w:hAnsi="Arial"/>
                <w:sz w:val="18"/>
                <w:szCs w:val="18"/>
                <w:color w:val="0000FF"/>
              </w:rPr>
              <w:t>01862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20" w:type="dxa"/>
            <w:vAlign w:val="bottom"/>
          </w:tcPr>
          <w:p>
            <w:pPr>
              <w:ind w:left="20"/>
              <w:spacing w:after="0"/>
              <w:rPr>
                <w:sz w:val="20"/>
                <w:szCs w:val="20"/>
                <w:color w:val="auto"/>
              </w:rPr>
            </w:pPr>
            <w:r>
              <w:rPr>
                <w:rFonts w:ascii="Arial" w:cs="Arial" w:eastAsia="Arial" w:hAnsi="Arial"/>
                <w:sz w:val="18"/>
                <w:szCs w:val="18"/>
                <w:color w:val="0000FF"/>
              </w:rPr>
              <w:t>BILLERICA</w:t>
            </w:r>
          </w:p>
        </w:tc>
        <w:tc>
          <w:tcPr>
            <w:tcW w:w="1100" w:type="dxa"/>
            <w:vAlign w:val="bottom"/>
            <w:vMerge w:val="continue"/>
          </w:tcPr>
          <w:p>
            <w:pPr>
              <w:spacing w:after="0"/>
              <w:rPr>
                <w:sz w:val="19"/>
                <w:szCs w:val="19"/>
                <w:color w:val="auto"/>
              </w:rPr>
            </w:pPr>
          </w:p>
        </w:tc>
        <w:tc>
          <w:tcPr>
            <w:tcW w:w="11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38"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66"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627"/>
              <w:spacing w:after="0"/>
              <w:rPr>
                <w:sz w:val="20"/>
                <w:szCs w:val="20"/>
                <w:color w:val="auto"/>
              </w:rPr>
            </w:pPr>
            <w:r>
              <w:rPr>
                <w:rFonts w:ascii="Arial" w:cs="Arial" w:eastAsia="Arial" w:hAnsi="Arial"/>
                <w:sz w:val="18"/>
                <w:szCs w:val="18"/>
                <w:color w:val="0000FF"/>
              </w:rPr>
              <w:t>0</w:t>
            </w:r>
          </w:p>
        </w:tc>
        <w:tc>
          <w:tcPr>
            <w:tcW w:w="460" w:type="dxa"/>
            <w:vAlign w:val="bottom"/>
          </w:tcPr>
          <w:p>
            <w:pPr>
              <w:spacing w:after="0"/>
              <w:rPr>
                <w:sz w:val="19"/>
                <w:szCs w:val="19"/>
                <w:color w:val="auto"/>
              </w:rPr>
            </w:pPr>
          </w:p>
        </w:tc>
        <w:tc>
          <w:tcPr>
            <w:tcW w:w="680" w:type="dxa"/>
            <w:vAlign w:val="bottom"/>
          </w:tcPr>
          <w:p>
            <w:pPr>
              <w:ind w:left="440"/>
              <w:spacing w:after="0"/>
              <w:rPr>
                <w:sz w:val="20"/>
                <w:szCs w:val="20"/>
                <w:color w:val="auto"/>
              </w:rPr>
            </w:pPr>
            <w:r>
              <w:rPr>
                <w:rFonts w:ascii="Arial" w:cs="Arial" w:eastAsia="Arial" w:hAnsi="Arial"/>
                <w:sz w:val="18"/>
                <w:szCs w:val="18"/>
                <w:color w:val="0000FF"/>
              </w:rPr>
              <w:t>D</w:t>
            </w: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720" w:type="dxa"/>
            <w:vAlign w:val="bottom"/>
            <w:tcBorders>
              <w:bottom w:val="single" w:sz="8" w:color="2C2C2C"/>
            </w:tcBorders>
            <w:gridSpan w:val="4"/>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0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4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5"/>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90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14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7"/>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0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60" w:type="dxa"/>
            <w:vAlign w:val="bottom"/>
            <w:gridSpan w:val="2"/>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6"/>
                <w:szCs w:val="16"/>
                <w:color w:val="auto"/>
              </w:rPr>
            </w:pPr>
          </w:p>
        </w:tc>
        <w:tc>
          <w:tcPr>
            <w:tcW w:w="166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460" w:type="dxa"/>
            <w:vAlign w:val="bottom"/>
          </w:tcPr>
          <w:p>
            <w:pPr>
              <w:spacing w:after="0"/>
              <w:rPr>
                <w:sz w:val="15"/>
                <w:szCs w:val="15"/>
                <w:color w:val="auto"/>
              </w:rPr>
            </w:pPr>
          </w:p>
        </w:tc>
        <w:tc>
          <w:tcPr>
            <w:tcW w:w="680" w:type="dxa"/>
            <w:vAlign w:val="bottom"/>
          </w:tcPr>
          <w:p>
            <w:pPr>
              <w:ind w:left="8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Borders>
              <w:bottom w:val="single" w:sz="8" w:color="2C2C2C"/>
            </w:tcBorders>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7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color w:val="008000"/>
              </w:rPr>
              <w:t>Exhibit List Exhibit 24 - Power of Attorney</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120" w:type="dxa"/>
            <w:vAlign w:val="bottom"/>
            <w:tcBorders>
              <w:bottom w:val="single" w:sz="8" w:color="auto"/>
            </w:tcBorders>
            <w:gridSpan w:val="4"/>
          </w:tcPr>
          <w:p>
            <w:pPr>
              <w:spacing w:after="0"/>
              <w:rPr>
                <w:sz w:val="20"/>
                <w:szCs w:val="20"/>
                <w:color w:val="auto"/>
              </w:rPr>
            </w:pPr>
            <w:r>
              <w:rPr>
                <w:rFonts w:ascii="Arial" w:cs="Arial" w:eastAsia="Arial" w:hAnsi="Arial"/>
                <w:sz w:val="18"/>
                <w:szCs w:val="18"/>
                <w:color w:val="0000FF"/>
                <w:w w:val="88"/>
              </w:rPr>
              <w:t>/s/ Michael P. Duffy, attorney-</w:t>
            </w:r>
          </w:p>
        </w:tc>
        <w:tc>
          <w:tcPr>
            <w:tcW w:w="2440" w:type="dxa"/>
            <w:vAlign w:val="bottom"/>
            <w:gridSpan w:val="5"/>
            <w:vMerge w:val="restart"/>
          </w:tcPr>
          <w:p>
            <w:pPr>
              <w:ind w:left="180"/>
              <w:spacing w:after="0"/>
              <w:rPr>
                <w:sz w:val="20"/>
                <w:szCs w:val="20"/>
                <w:color w:val="auto"/>
              </w:rPr>
            </w:pPr>
            <w:r>
              <w:rPr>
                <w:rFonts w:ascii="Arial" w:cs="Arial" w:eastAsia="Arial" w:hAnsi="Arial"/>
                <w:sz w:val="18"/>
                <w:szCs w:val="18"/>
                <w:color w:val="0000FF"/>
              </w:rPr>
              <w:t>02/27/2018</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60" w:type="dxa"/>
            <w:vAlign w:val="bottom"/>
            <w:gridSpan w:val="3"/>
          </w:tcPr>
          <w:p>
            <w:pPr>
              <w:spacing w:after="0"/>
              <w:rPr>
                <w:sz w:val="7"/>
                <w:szCs w:val="7"/>
                <w:color w:val="auto"/>
              </w:rPr>
            </w:pPr>
          </w:p>
        </w:tc>
        <w:tc>
          <w:tcPr>
            <w:tcW w:w="2440" w:type="dxa"/>
            <w:vAlign w:val="bottom"/>
            <w:gridSpan w:val="5"/>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8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140" w:type="dxa"/>
            <w:vAlign w:val="bottom"/>
            <w:gridSpan w:val="2"/>
          </w:tcPr>
          <w:p>
            <w:pPr>
              <w:spacing w:after="0" w:line="95" w:lineRule="exact"/>
              <w:rPr>
                <w:sz w:val="20"/>
                <w:szCs w:val="20"/>
                <w:color w:val="auto"/>
              </w:rPr>
            </w:pPr>
            <w:r>
              <w:rPr>
                <w:rFonts w:ascii="Arial" w:cs="Arial" w:eastAsia="Arial" w:hAnsi="Arial"/>
                <w:sz w:val="10"/>
                <w:szCs w:val="10"/>
                <w:color w:val="0000FF"/>
              </w:rPr>
              <w:t>in-fact</w:t>
            </w:r>
          </w:p>
        </w:tc>
        <w:tc>
          <w:tcPr>
            <w:tcW w:w="9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3"/>
          </w:tcPr>
          <w:p>
            <w:pPr>
              <w:spacing w:after="0"/>
              <w:rPr>
                <w:sz w:val="20"/>
                <w:szCs w:val="20"/>
                <w:color w:val="auto"/>
              </w:rPr>
            </w:pPr>
            <w:r>
              <w:rPr>
                <w:rFonts w:ascii="Arial" w:cs="Arial" w:eastAsia="Arial" w:hAnsi="Arial"/>
                <w:sz w:val="14"/>
                <w:szCs w:val="14"/>
                <w:color w:val="auto"/>
                <w:w w:val="99"/>
              </w:rPr>
              <w:t>** Signature of Reporting Person</w:t>
            </w:r>
          </w:p>
        </w:tc>
        <w:tc>
          <w:tcPr>
            <w:tcW w:w="80" w:type="dxa"/>
            <w:vAlign w:val="bottom"/>
          </w:tcPr>
          <w:p>
            <w:pPr>
              <w:spacing w:after="0"/>
              <w:rPr>
                <w:sz w:val="20"/>
                <w:szCs w:val="20"/>
                <w:color w:val="auto"/>
              </w:rPr>
            </w:pPr>
          </w:p>
        </w:tc>
        <w:tc>
          <w:tcPr>
            <w:tcW w:w="7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ind w:right="1879"/>
        <w:spacing w:after="0"/>
        <w:rPr>
          <w:sz w:val="20"/>
          <w:szCs w:val="20"/>
          <w:color w:val="auto"/>
        </w:rPr>
      </w:pPr>
      <w:r>
        <w:rPr>
          <w:rFonts w:ascii="Courier New" w:cs="Courier New" w:eastAsia="Courier New" w:hAnsi="Courier New"/>
          <w:sz w:val="18"/>
          <w:szCs w:val="18"/>
          <w:color w:val="auto"/>
        </w:rPr>
        <w:t>LANTHEUS HOLDINGS, INC.</w:t>
      </w:r>
    </w:p>
    <w:p>
      <w:pPr>
        <w:spacing w:after="0" w:line="201" w:lineRule="exact"/>
        <w:rPr>
          <w:sz w:val="20"/>
          <w:szCs w:val="20"/>
          <w:color w:val="auto"/>
        </w:rPr>
      </w:pPr>
    </w:p>
    <w:p>
      <w:pPr>
        <w:jc w:val="center"/>
        <w:ind w:right="1879"/>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the President, Treasurer, each Assistant Treasurer, Secretary and each Assistant Secretary of Lantheus Holdings, Inc. (the "Company"), acting singly or together and with full power of substitution, as the undersigned's true and lawful attorney-in-fact with full power and authority to act in the name of and for and on behalf of the undersigned to:</w:t>
      </w:r>
    </w:p>
    <w:p>
      <w:pPr>
        <w:spacing w:after="0" w:line="210" w:lineRule="exact"/>
        <w:rPr>
          <w:sz w:val="20"/>
          <w:szCs w:val="20"/>
          <w:color w:val="auto"/>
        </w:rPr>
      </w:pPr>
    </w:p>
    <w:p>
      <w:pPr>
        <w:ind w:left="1580" w:right="1999" w:hanging="729"/>
        <w:spacing w:after="0" w:line="237" w:lineRule="auto"/>
        <w:tabs>
          <w:tab w:leader="none" w:pos="15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2" w:lineRule="exact"/>
        <w:rPr>
          <w:rFonts w:ascii="Courier New" w:cs="Courier New" w:eastAsia="Courier New" w:hAnsi="Courier New"/>
          <w:sz w:val="18"/>
          <w:szCs w:val="18"/>
          <w:color w:val="auto"/>
        </w:rPr>
      </w:pPr>
    </w:p>
    <w:p>
      <w:pPr>
        <w:ind w:left="1580" w:right="1879" w:hanging="729"/>
        <w:spacing w:after="0" w:line="237" w:lineRule="auto"/>
        <w:tabs>
          <w:tab w:leader="none" w:pos="15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left="1580" w:right="2099" w:hanging="729"/>
        <w:spacing w:after="0" w:line="272" w:lineRule="auto"/>
        <w:tabs>
          <w:tab w:leader="none" w:pos="158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obtain and maintain the undersigned's filings codes, complete and execute any such Form 3, 4 or 5, complete and execute any amendment or amendments thereto, and timely file such form with the SEC and any stock exchange or similar authority; and</w:t>
      </w:r>
    </w:p>
    <w:p>
      <w:pPr>
        <w:spacing w:after="0" w:line="185" w:lineRule="exact"/>
        <w:rPr>
          <w:rFonts w:ascii="Courier New" w:cs="Courier New" w:eastAsia="Courier New" w:hAnsi="Courier New"/>
          <w:sz w:val="16"/>
          <w:szCs w:val="16"/>
          <w:color w:val="auto"/>
        </w:rPr>
      </w:pPr>
    </w:p>
    <w:p>
      <w:pPr>
        <w:ind w:left="1580" w:right="1779" w:hanging="729"/>
        <w:spacing w:after="0" w:line="271" w:lineRule="auto"/>
        <w:tabs>
          <w:tab w:leader="none" w:pos="158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or of,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3"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[The remainder of this page is left blank intentionally.]</w:t>
      </w:r>
    </w:p>
    <w:p>
      <w:pPr>
        <w:spacing w:after="0" w:line="200" w:lineRule="exact"/>
        <w:rPr>
          <w:sz w:val="20"/>
          <w:szCs w:val="20"/>
          <w:color w:val="auto"/>
        </w:rPr>
      </w:pPr>
    </w:p>
    <w:p>
      <w:pPr>
        <w:spacing w:after="0" w:line="209" w:lineRule="exact"/>
        <w:rPr>
          <w:sz w:val="20"/>
          <w:szCs w:val="20"/>
          <w:color w:val="auto"/>
        </w:rPr>
      </w:pPr>
    </w:p>
    <w:p>
      <w:pPr>
        <w:ind w:right="2319"/>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the date written below.</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Gary J. Pruden</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Gary J. Pruden</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Print Name</w:t>
      </w:r>
    </w:p>
    <w:p>
      <w:pPr>
        <w:spacing w:after="0" w:line="200"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2/13/2018</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Date</w:t>
      </w:r>
    </w:p>
    <w:sectPr>
      <w:pgSz w:w="11900" w:h="16838" w:orient="portrait"/>
      <w:cols w:equalWidth="0" w:num="1">
        <w:col w:w="10219"/>
      </w:cols>
      <w:pgMar w:left="240" w:top="136" w:right="1440" w:bottom="53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73416" TargetMode="External"/><Relationship Id="rId12"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2019-12-07T23:39:40Z</dcterms:created>
  <dcterms:modified xsi:type="dcterms:W3CDTF">2019-12-07T23:39:40Z</dcterms:modified>
</cp:coreProperties>
</file>