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403225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-224155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1" w:lineRule="exact"/>
        <w:rPr>
          <w:sz w:val="24"/>
          <w:szCs w:val="24"/>
          <w:color w:val="auto"/>
        </w:rPr>
      </w:pPr>
    </w:p>
    <w:p>
      <w:pPr>
        <w:jc w:val="center"/>
        <w:ind w:right="-59"/>
        <w:spacing w:after="0"/>
        <w:rPr>
          <w:sz w:val="20"/>
          <w:szCs w:val="20"/>
          <w:color w:val="auto"/>
        </w:rPr>
      </w:pPr>
      <w:r>
        <w:rPr>
          <w:rFonts w:ascii="Arial" w:cs="Arial" w:eastAsia="Arial" w:hAnsi="Arial"/>
          <w:sz w:val="20"/>
          <w:szCs w:val="20"/>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2963545</wp:posOffset>
            </wp:positionH>
            <wp:positionV relativeFrom="paragraph">
              <wp:posOffset>163195</wp:posOffset>
            </wp:positionV>
            <wp:extent cx="133794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37945" cy="17145"/>
                    </a:xfrm>
                    <a:prstGeom prst="rect">
                      <a:avLst/>
                    </a:prstGeom>
                    <a:noFill/>
                  </pic:spPr>
                </pic:pic>
              </a:graphicData>
            </a:graphic>
          </wp:anchor>
        </w:drawing>
      </w:r>
    </w:p>
    <w:p>
      <w:pPr>
        <w:spacing w:after="0" w:line="344"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2963545</wp:posOffset>
            </wp:positionH>
            <wp:positionV relativeFrom="paragraph">
              <wp:posOffset>178435</wp:posOffset>
            </wp:positionV>
            <wp:extent cx="133794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337945" cy="17145"/>
                    </a:xfrm>
                    <a:prstGeom prst="rect">
                      <a:avLst/>
                    </a:prstGeom>
                    <a:noFill/>
                  </pic:spPr>
                </pic:pic>
              </a:graphicData>
            </a:graphic>
          </wp:anchor>
        </w:drawing>
      </w:r>
    </w:p>
    <w:p>
      <w:pPr>
        <w:spacing w:after="0" w:line="39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167" w:lineRule="exact"/>
        <w:rPr>
          <w:sz w:val="24"/>
          <w:szCs w:val="24"/>
          <w:color w:val="auto"/>
        </w:rPr>
      </w:pPr>
    </w:p>
    <w:p>
      <w:pPr>
        <w:ind w:left="740" w:hanging="469"/>
        <w:spacing w:after="0"/>
        <w:tabs>
          <w:tab w:leader="none" w:pos="740" w:val="left"/>
        </w:tabs>
        <w:numPr>
          <w:ilvl w:val="0"/>
          <w:numId w:val="1"/>
        </w:numPr>
        <w:rPr>
          <w:rFonts w:ascii="MS PGothic" w:cs="MS PGothic" w:eastAsia="MS PGothic" w:hAnsi="MS PGothic"/>
          <w:sz w:val="22"/>
          <w:szCs w:val="22"/>
          <w:color w:val="auto"/>
        </w:rPr>
      </w:pPr>
      <w:r>
        <w:rPr>
          <w:rFonts w:ascii="Arial" w:cs="Arial" w:eastAsia="Arial" w:hAnsi="Arial"/>
          <w:sz w:val="20"/>
          <w:szCs w:val="20"/>
          <w:b w:val="1"/>
          <w:bCs w:val="1"/>
          <w:color w:val="auto"/>
        </w:rPr>
        <w:t>QUARTERLY REPORT PURSUANT TO SECTION 13 OR 15(d) OF THE SECURITIES EXCHANGE ACT OF 1934</w:t>
      </w:r>
    </w:p>
    <w:p>
      <w:pPr>
        <w:spacing w:after="0" w:line="291"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For the quarterly period ended September 30, 2017</w:t>
      </w:r>
    </w:p>
    <w:p>
      <w:pPr>
        <w:spacing w:after="0" w:line="158" w:lineRule="exact"/>
        <w:rPr>
          <w:sz w:val="24"/>
          <w:szCs w:val="24"/>
          <w:color w:val="auto"/>
        </w:rPr>
      </w:pPr>
    </w:p>
    <w:p>
      <w:pPr>
        <w:ind w:left="720" w:hanging="455"/>
        <w:spacing w:after="0"/>
        <w:tabs>
          <w:tab w:leader="none" w:pos="720" w:val="left"/>
        </w:tabs>
        <w:numPr>
          <w:ilvl w:val="0"/>
          <w:numId w:val="2"/>
        </w:numPr>
        <w:rPr>
          <w:rFonts w:ascii="MS PGothic" w:cs="MS PGothic" w:eastAsia="MS PGothic" w:hAnsi="MS PGothic"/>
          <w:sz w:val="20"/>
          <w:szCs w:val="20"/>
          <w:color w:val="auto"/>
        </w:rPr>
      </w:pPr>
      <w:r>
        <w:rPr>
          <w:rFonts w:ascii="Arial" w:cs="Arial" w:eastAsia="Arial" w:hAnsi="Arial"/>
          <w:sz w:val="20"/>
          <w:szCs w:val="20"/>
          <w:b w:val="1"/>
          <w:bCs w:val="1"/>
          <w:color w:val="auto"/>
        </w:rPr>
        <w:t>TRANSITION REPORT PURSUANT TO SECTION 13 OR 15(d) OF THE SECURITIES EXCHANGE ACT OF 1934</w:t>
      </w:r>
    </w:p>
    <w:p>
      <w:pPr>
        <w:spacing w:after="0" w:line="279" w:lineRule="exact"/>
        <w:rPr>
          <w:sz w:val="24"/>
          <w:szCs w:val="24"/>
          <w:color w:val="auto"/>
        </w:rPr>
      </w:pPr>
    </w:p>
    <w:p>
      <w:pPr>
        <w:ind w:left="3720"/>
        <w:spacing w:after="0"/>
        <w:tabs>
          <w:tab w:leader="none" w:pos="6700" w:val="left"/>
        </w:tabs>
        <w:rPr>
          <w:sz w:val="20"/>
          <w:szCs w:val="20"/>
          <w:color w:val="auto"/>
        </w:rPr>
      </w:pPr>
      <w:r>
        <w:rPr>
          <w:rFonts w:ascii="Arial" w:cs="Arial" w:eastAsia="Arial" w:hAnsi="Arial"/>
          <w:sz w:val="16"/>
          <w:szCs w:val="16"/>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3723005</wp:posOffset>
            </wp:positionH>
            <wp:positionV relativeFrom="paragraph">
              <wp:posOffset>-4445</wp:posOffset>
            </wp:positionV>
            <wp:extent cx="11658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165860" cy="8890"/>
                    </a:xfrm>
                    <a:prstGeom prst="rect">
                      <a:avLst/>
                    </a:prstGeom>
                    <a:noFill/>
                  </pic:spPr>
                </pic:pic>
              </a:graphicData>
            </a:graphic>
          </wp:anchor>
        </w:drawing>
      </w:r>
    </w:p>
    <w:p>
      <w:pPr>
        <w:spacing w:after="0" w:line="215"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Commission File Number 001-36569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175260</wp:posOffset>
            </wp:positionV>
            <wp:extent cx="168973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89735" cy="17145"/>
                    </a:xfrm>
                    <a:prstGeom prst="rect">
                      <a:avLst/>
                    </a:prstGeom>
                    <a:noFill/>
                  </pic:spPr>
                </pic:pic>
              </a:graphicData>
            </a:graphic>
          </wp:anchor>
        </w:drawing>
      </w:r>
    </w:p>
    <w:p>
      <w:pPr>
        <w:spacing w:after="0" w:line="200" w:lineRule="exact"/>
        <w:rPr>
          <w:sz w:val="24"/>
          <w:szCs w:val="24"/>
          <w:color w:val="auto"/>
        </w:rPr>
      </w:pPr>
    </w:p>
    <w:p>
      <w:pPr>
        <w:spacing w:after="0" w:line="201"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LANTHEUS HOLDINGS,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1000125</wp:posOffset>
            </wp:positionH>
            <wp:positionV relativeFrom="paragraph">
              <wp:posOffset>48260</wp:posOffset>
            </wp:positionV>
            <wp:extent cx="52654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65420" cy="8890"/>
                    </a:xfrm>
                    <a:prstGeom prst="rect">
                      <a:avLst/>
                    </a:prstGeom>
                    <a:noFill/>
                  </pic:spPr>
                </pic:pic>
              </a:graphicData>
            </a:graphic>
          </wp:anchor>
        </w:drawing>
      </w:r>
    </w:p>
    <w:p>
      <w:pPr>
        <w:spacing w:after="0" w:line="82"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346710</wp:posOffset>
            </wp:positionV>
            <wp:extent cx="168973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689735"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tbl>
      <w:tblPr>
        <w:tblLayout w:type="fixed"/>
        <w:tblInd w:w="80" w:type="dxa"/>
        <w:tblCellMar>
          <w:top w:w="0" w:type="dxa"/>
          <w:left w:w="0" w:type="dxa"/>
          <w:bottom w:w="0" w:type="dxa"/>
          <w:right w:w="0" w:type="dxa"/>
        </w:tblCellMar>
      </w:tblPr>
      <w:tr>
        <w:trPr>
          <w:trHeight w:val="210"/>
        </w:trPr>
        <w:tc>
          <w:tcPr>
            <w:tcW w:w="4760" w:type="dxa"/>
            <w:vAlign w:val="bottom"/>
          </w:tcPr>
          <w:p>
            <w:pPr>
              <w:jc w:val="center"/>
              <w:ind w:left="910"/>
              <w:spacing w:after="0"/>
              <w:rPr>
                <w:sz w:val="20"/>
                <w:szCs w:val="20"/>
                <w:color w:val="auto"/>
              </w:rPr>
            </w:pPr>
            <w:r>
              <w:rPr>
                <w:rFonts w:ascii="Arial" w:cs="Arial" w:eastAsia="Arial" w:hAnsi="Arial"/>
                <w:sz w:val="16"/>
                <w:szCs w:val="16"/>
                <w:b w:val="1"/>
                <w:bCs w:val="1"/>
                <w:color w:val="auto"/>
                <w:w w:val="93"/>
              </w:rPr>
              <w:t>Delaware</w:t>
            </w:r>
          </w:p>
        </w:tc>
        <w:tc>
          <w:tcPr>
            <w:tcW w:w="6520" w:type="dxa"/>
            <w:vAlign w:val="bottom"/>
            <w:gridSpan w:val="3"/>
          </w:tcPr>
          <w:p>
            <w:pPr>
              <w:jc w:val="right"/>
              <w:ind w:right="2257"/>
              <w:spacing w:after="0"/>
              <w:rPr>
                <w:sz w:val="20"/>
                <w:szCs w:val="20"/>
                <w:color w:val="auto"/>
              </w:rPr>
            </w:pPr>
            <w:r>
              <w:rPr>
                <w:rFonts w:ascii="Arial" w:cs="Arial" w:eastAsia="Arial" w:hAnsi="Arial"/>
                <w:sz w:val="16"/>
                <w:szCs w:val="16"/>
                <w:b w:val="1"/>
                <w:bCs w:val="1"/>
                <w:color w:val="auto"/>
              </w:rPr>
              <w:t>35-2318913</w:t>
            </w:r>
          </w:p>
        </w:tc>
      </w:tr>
      <w:tr>
        <w:trPr>
          <w:trHeight w:val="33"/>
        </w:trPr>
        <w:tc>
          <w:tcPr>
            <w:tcW w:w="47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400" w:type="dxa"/>
            <w:vAlign w:val="bottom"/>
            <w:tcBorders>
              <w:bottom w:val="single" w:sz="8" w:color="auto"/>
            </w:tcBorders>
          </w:tcPr>
          <w:p>
            <w:pPr>
              <w:spacing w:after="0"/>
              <w:rPr>
                <w:sz w:val="2"/>
                <w:szCs w:val="2"/>
                <w:color w:val="auto"/>
              </w:rPr>
            </w:pPr>
          </w:p>
        </w:tc>
      </w:tr>
      <w:tr>
        <w:trPr>
          <w:trHeight w:val="137"/>
        </w:trPr>
        <w:tc>
          <w:tcPr>
            <w:tcW w:w="4760" w:type="dxa"/>
            <w:vAlign w:val="bottom"/>
          </w:tcPr>
          <w:p>
            <w:pPr>
              <w:jc w:val="center"/>
              <w:ind w:left="910"/>
              <w:spacing w:after="0" w:line="138" w:lineRule="exact"/>
              <w:rPr>
                <w:sz w:val="20"/>
                <w:szCs w:val="20"/>
                <w:color w:val="auto"/>
              </w:rPr>
            </w:pPr>
            <w:r>
              <w:rPr>
                <w:rFonts w:ascii="Arial" w:cs="Arial" w:eastAsia="Arial" w:hAnsi="Arial"/>
                <w:sz w:val="13"/>
                <w:szCs w:val="13"/>
                <w:b w:val="1"/>
                <w:bCs w:val="1"/>
                <w:color w:val="auto"/>
                <w:w w:val="88"/>
              </w:rPr>
              <w:t>(State or other jurisdiction of</w:t>
            </w:r>
          </w:p>
        </w:tc>
        <w:tc>
          <w:tcPr>
            <w:tcW w:w="9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0" w:type="dxa"/>
            <w:vAlign w:val="bottom"/>
          </w:tcPr>
          <w:p>
            <w:pPr>
              <w:jc w:val="center"/>
              <w:spacing w:after="0" w:line="138" w:lineRule="exact"/>
              <w:rPr>
                <w:sz w:val="20"/>
                <w:szCs w:val="20"/>
                <w:color w:val="auto"/>
              </w:rPr>
            </w:pPr>
            <w:r>
              <w:rPr>
                <w:rFonts w:ascii="Arial" w:cs="Arial" w:eastAsia="Arial" w:hAnsi="Arial"/>
                <w:sz w:val="13"/>
                <w:szCs w:val="13"/>
                <w:b w:val="1"/>
                <w:bCs w:val="1"/>
                <w:color w:val="auto"/>
                <w:w w:val="92"/>
              </w:rPr>
              <w:t>(IRS Employer</w:t>
            </w:r>
          </w:p>
        </w:tc>
      </w:tr>
      <w:tr>
        <w:trPr>
          <w:trHeight w:val="164"/>
        </w:trPr>
        <w:tc>
          <w:tcPr>
            <w:tcW w:w="4760" w:type="dxa"/>
            <w:vAlign w:val="bottom"/>
          </w:tcPr>
          <w:p>
            <w:pPr>
              <w:jc w:val="center"/>
              <w:ind w:left="910"/>
              <w:spacing w:after="0"/>
              <w:rPr>
                <w:sz w:val="20"/>
                <w:szCs w:val="20"/>
                <w:color w:val="auto"/>
              </w:rPr>
            </w:pPr>
            <w:r>
              <w:rPr>
                <w:rFonts w:ascii="Arial" w:cs="Arial" w:eastAsia="Arial" w:hAnsi="Arial"/>
                <w:sz w:val="13"/>
                <w:szCs w:val="13"/>
                <w:b w:val="1"/>
                <w:bCs w:val="1"/>
                <w:color w:val="auto"/>
                <w:w w:val="89"/>
              </w:rPr>
              <w:t>incorporation or organization)</w:t>
            </w:r>
          </w:p>
        </w:tc>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0" w:type="dxa"/>
            <w:vAlign w:val="bottom"/>
          </w:tcPr>
          <w:p>
            <w:pPr>
              <w:jc w:val="center"/>
              <w:spacing w:after="0"/>
              <w:rPr>
                <w:sz w:val="20"/>
                <w:szCs w:val="20"/>
                <w:color w:val="auto"/>
              </w:rPr>
            </w:pPr>
            <w:r>
              <w:rPr>
                <w:rFonts w:ascii="Arial" w:cs="Arial" w:eastAsia="Arial" w:hAnsi="Arial"/>
                <w:sz w:val="13"/>
                <w:szCs w:val="13"/>
                <w:b w:val="1"/>
                <w:bCs w:val="1"/>
                <w:color w:val="auto"/>
                <w:w w:val="89"/>
              </w:rPr>
              <w:t>Identification No.)</w:t>
            </w:r>
          </w:p>
        </w:tc>
      </w:tr>
      <w:tr>
        <w:trPr>
          <w:trHeight w:val="361"/>
        </w:trPr>
        <w:tc>
          <w:tcPr>
            <w:tcW w:w="4760" w:type="dxa"/>
            <w:vAlign w:val="bottom"/>
          </w:tcPr>
          <w:p>
            <w:pPr>
              <w:jc w:val="center"/>
              <w:ind w:left="930"/>
              <w:spacing w:after="0"/>
              <w:rPr>
                <w:sz w:val="20"/>
                <w:szCs w:val="20"/>
                <w:color w:val="auto"/>
              </w:rPr>
            </w:pPr>
            <w:r>
              <w:rPr>
                <w:rFonts w:ascii="Arial" w:cs="Arial" w:eastAsia="Arial" w:hAnsi="Arial"/>
                <w:sz w:val="16"/>
                <w:szCs w:val="16"/>
                <w:b w:val="1"/>
                <w:bCs w:val="1"/>
                <w:color w:val="auto"/>
                <w:w w:val="93"/>
              </w:rPr>
              <w:t>331 Treble Cove Road, North Billerica, MA</w:t>
            </w:r>
          </w:p>
        </w:tc>
        <w:tc>
          <w:tcPr>
            <w:tcW w:w="6520" w:type="dxa"/>
            <w:vAlign w:val="bottom"/>
            <w:gridSpan w:val="3"/>
          </w:tcPr>
          <w:p>
            <w:pPr>
              <w:jc w:val="right"/>
              <w:ind w:right="2437"/>
              <w:spacing w:after="0"/>
              <w:rPr>
                <w:sz w:val="20"/>
                <w:szCs w:val="20"/>
                <w:color w:val="auto"/>
              </w:rPr>
            </w:pPr>
            <w:r>
              <w:rPr>
                <w:rFonts w:ascii="Arial" w:cs="Arial" w:eastAsia="Arial" w:hAnsi="Arial"/>
                <w:sz w:val="16"/>
                <w:szCs w:val="16"/>
                <w:b w:val="1"/>
                <w:bCs w:val="1"/>
                <w:color w:val="auto"/>
              </w:rPr>
              <w:t>01862</w:t>
            </w:r>
          </w:p>
        </w:tc>
      </w:tr>
      <w:tr>
        <w:trPr>
          <w:trHeight w:val="47"/>
        </w:trPr>
        <w:tc>
          <w:tcPr>
            <w:tcW w:w="476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40" w:type="dxa"/>
            <w:vAlign w:val="bottom"/>
          </w:tcPr>
          <w:p>
            <w:pPr>
              <w:spacing w:after="0"/>
              <w:rPr>
                <w:sz w:val="4"/>
                <w:szCs w:val="4"/>
                <w:color w:val="auto"/>
              </w:rPr>
            </w:pPr>
          </w:p>
        </w:tc>
        <w:tc>
          <w:tcPr>
            <w:tcW w:w="5400" w:type="dxa"/>
            <w:vAlign w:val="bottom"/>
            <w:tcBorders>
              <w:bottom w:val="single" w:sz="8" w:color="auto"/>
            </w:tcBorders>
          </w:tcPr>
          <w:p>
            <w:pPr>
              <w:spacing w:after="0"/>
              <w:rPr>
                <w:sz w:val="4"/>
                <w:szCs w:val="4"/>
                <w:color w:val="auto"/>
              </w:rPr>
            </w:pPr>
          </w:p>
        </w:tc>
      </w:tr>
      <w:tr>
        <w:trPr>
          <w:trHeight w:val="167"/>
        </w:trPr>
        <w:tc>
          <w:tcPr>
            <w:tcW w:w="4760" w:type="dxa"/>
            <w:vAlign w:val="bottom"/>
          </w:tcPr>
          <w:p>
            <w:pPr>
              <w:jc w:val="center"/>
              <w:ind w:left="930"/>
              <w:spacing w:after="0"/>
              <w:rPr>
                <w:sz w:val="20"/>
                <w:szCs w:val="20"/>
                <w:color w:val="auto"/>
              </w:rPr>
            </w:pPr>
            <w:r>
              <w:rPr>
                <w:rFonts w:ascii="Arial" w:cs="Arial" w:eastAsia="Arial" w:hAnsi="Arial"/>
                <w:sz w:val="13"/>
                <w:szCs w:val="13"/>
                <w:b w:val="1"/>
                <w:bCs w:val="1"/>
                <w:color w:val="auto"/>
                <w:w w:val="85"/>
              </w:rPr>
              <w:t>(Address of principal executive offices)</w:t>
            </w:r>
          </w:p>
        </w:tc>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0" w:type="dxa"/>
            <w:vAlign w:val="bottom"/>
          </w:tcPr>
          <w:p>
            <w:pPr>
              <w:jc w:val="center"/>
              <w:spacing w:after="0"/>
              <w:rPr>
                <w:sz w:val="20"/>
                <w:szCs w:val="20"/>
                <w:color w:val="auto"/>
              </w:rPr>
            </w:pPr>
            <w:r>
              <w:rPr>
                <w:rFonts w:ascii="Arial" w:cs="Arial" w:eastAsia="Arial" w:hAnsi="Arial"/>
                <w:sz w:val="13"/>
                <w:szCs w:val="13"/>
                <w:b w:val="1"/>
                <w:bCs w:val="1"/>
                <w:color w:val="auto"/>
                <w:w w:val="90"/>
              </w:rPr>
              <w:t>(Zip Code)</w:t>
            </w:r>
          </w:p>
        </w:tc>
      </w:tr>
      <w:tr>
        <w:trPr>
          <w:trHeight w:val="375"/>
        </w:trPr>
        <w:tc>
          <w:tcPr>
            <w:tcW w:w="4760" w:type="dxa"/>
            <w:vAlign w:val="bottom"/>
          </w:tcPr>
          <w:p>
            <w:pPr>
              <w:spacing w:after="0"/>
              <w:rPr>
                <w:sz w:val="24"/>
                <w:szCs w:val="24"/>
                <w:color w:val="auto"/>
              </w:rPr>
            </w:pPr>
          </w:p>
        </w:tc>
        <w:tc>
          <w:tcPr>
            <w:tcW w:w="6520" w:type="dxa"/>
            <w:vAlign w:val="bottom"/>
            <w:gridSpan w:val="3"/>
          </w:tcPr>
          <w:p>
            <w:pPr>
              <w:jc w:val="right"/>
              <w:ind w:right="5077"/>
              <w:spacing w:after="0"/>
              <w:rPr>
                <w:sz w:val="20"/>
                <w:szCs w:val="20"/>
                <w:color w:val="auto"/>
              </w:rPr>
            </w:pPr>
            <w:r>
              <w:rPr>
                <w:rFonts w:ascii="Arial" w:cs="Arial" w:eastAsia="Arial" w:hAnsi="Arial"/>
                <w:sz w:val="16"/>
                <w:szCs w:val="16"/>
                <w:b w:val="1"/>
                <w:bCs w:val="1"/>
                <w:color w:val="auto"/>
              </w:rPr>
              <w:t>(978) 671-8001</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1737360</wp:posOffset>
            </wp:positionH>
            <wp:positionV relativeFrom="paragraph">
              <wp:posOffset>158115</wp:posOffset>
            </wp:positionV>
            <wp:extent cx="37820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782060" cy="8890"/>
                    </a:xfrm>
                    <a:prstGeom prst="rect">
                      <a:avLst/>
                    </a:prstGeom>
                    <a:noFill/>
                  </pic:spPr>
                </pic:pic>
              </a:graphicData>
            </a:graphic>
          </wp:anchor>
        </w:drawing>
      </w:r>
    </w:p>
    <w:p>
      <w:pPr>
        <w:spacing w:after="0" w:line="251" w:lineRule="exact"/>
        <w:rPr>
          <w:sz w:val="24"/>
          <w:szCs w:val="24"/>
          <w:color w:val="auto"/>
        </w:rPr>
      </w:pPr>
    </w:p>
    <w:p>
      <w:pPr>
        <w:jc w:val="center"/>
        <w:ind w:right="-59"/>
        <w:spacing w:after="0"/>
        <w:rPr>
          <w:sz w:val="20"/>
          <w:szCs w:val="20"/>
          <w:color w:val="auto"/>
        </w:rPr>
      </w:pPr>
      <w:r>
        <w:rPr>
          <w:rFonts w:ascii="Arial" w:cs="Arial" w:eastAsia="Arial" w:hAnsi="Arial"/>
          <w:sz w:val="13"/>
          <w:szCs w:val="13"/>
          <w:b w:val="1"/>
          <w:bCs w:val="1"/>
          <w:color w:val="auto"/>
        </w:rPr>
        <w:t>(Registrant’s telephone number, including area code)</w:t>
      </w:r>
    </w:p>
    <w:p>
      <w:pPr>
        <w:spacing w:after="0" w:line="382"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1737360</wp:posOffset>
            </wp:positionH>
            <wp:positionV relativeFrom="paragraph">
              <wp:posOffset>175260</wp:posOffset>
            </wp:positionV>
            <wp:extent cx="378206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782060" cy="8890"/>
                    </a:xfrm>
                    <a:prstGeom prst="rect">
                      <a:avLst/>
                    </a:prstGeom>
                    <a:noFill/>
                  </pic:spPr>
                </pic:pic>
              </a:graphicData>
            </a:graphic>
          </wp:anchor>
        </w:drawing>
      </w:r>
    </w:p>
    <w:p>
      <w:pPr>
        <w:spacing w:after="0" w:line="278" w:lineRule="exact"/>
        <w:rPr>
          <w:sz w:val="24"/>
          <w:szCs w:val="24"/>
          <w:color w:val="auto"/>
        </w:rPr>
      </w:pPr>
    </w:p>
    <w:p>
      <w:pPr>
        <w:jc w:val="center"/>
        <w:ind w:right="-59"/>
        <w:spacing w:after="0"/>
        <w:rPr>
          <w:sz w:val="20"/>
          <w:szCs w:val="20"/>
          <w:color w:val="auto"/>
        </w:rPr>
      </w:pPr>
      <w:r>
        <w:rPr>
          <w:rFonts w:ascii="Arial" w:cs="Arial" w:eastAsia="Arial" w:hAnsi="Arial"/>
          <w:sz w:val="13"/>
          <w:szCs w:val="13"/>
          <w:b w:val="1"/>
          <w:bCs w:val="1"/>
          <w:color w:val="auto"/>
        </w:rPr>
        <w:t>(Former name, former address and former fiscal year,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105410</wp:posOffset>
            </wp:positionV>
            <wp:extent cx="1689735"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689735" cy="17145"/>
                    </a:xfrm>
                    <a:prstGeom prst="rect">
                      <a:avLst/>
                    </a:prstGeom>
                    <a:noFill/>
                  </pic:spPr>
                </pic:pic>
              </a:graphicData>
            </a:graphic>
          </wp:anchor>
        </w:drawing>
      </w:r>
    </w:p>
    <w:p>
      <w:pPr>
        <w:spacing w:after="0" w:line="200" w:lineRule="exact"/>
        <w:rPr>
          <w:sz w:val="24"/>
          <w:szCs w:val="24"/>
          <w:color w:val="auto"/>
        </w:rPr>
      </w:pPr>
    </w:p>
    <w:p>
      <w:pPr>
        <w:spacing w:after="0" w:line="314" w:lineRule="exact"/>
        <w:rPr>
          <w:sz w:val="24"/>
          <w:szCs w:val="24"/>
          <w:color w:val="auto"/>
        </w:rPr>
      </w:pPr>
    </w:p>
    <w:p>
      <w:pPr>
        <w:ind w:right="480" w:firstLine="324"/>
        <w:spacing w:after="0" w:line="201"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197" w:lineRule="exact"/>
        <w:rPr>
          <w:sz w:val="24"/>
          <w:szCs w:val="24"/>
          <w:color w:val="auto"/>
        </w:rPr>
      </w:pPr>
    </w:p>
    <w:p>
      <w:pPr>
        <w:jc w:val="center"/>
        <w:ind w:right="300"/>
        <w:spacing w:after="0"/>
        <w:rPr>
          <w:sz w:val="20"/>
          <w:szCs w:val="20"/>
          <w:color w:val="auto"/>
        </w:rPr>
      </w:pPr>
      <w:r>
        <w:rPr>
          <w:rFonts w:ascii="Arial" w:cs="Arial" w:eastAsia="Arial" w:hAnsi="Arial"/>
          <w:sz w:val="15"/>
          <w:szCs w:val="15"/>
          <w:color w:val="auto"/>
        </w:rPr>
        <w:t>Indicate by check mark whether the registrant has submitted electronically and posted on its corporate Web site, if any, every Interactive Data File required to be</w:t>
      </w:r>
    </w:p>
    <w:p>
      <w:pPr>
        <w:spacing w:after="0" w:line="31" w:lineRule="exact"/>
        <w:rPr>
          <w:sz w:val="24"/>
          <w:szCs w:val="24"/>
          <w:color w:val="auto"/>
        </w:rPr>
      </w:pPr>
    </w:p>
    <w:p>
      <w:pPr>
        <w:ind w:right="300"/>
        <w:spacing w:after="0" w:line="200" w:lineRule="exact"/>
        <w:rPr>
          <w:sz w:val="20"/>
          <w:szCs w:val="20"/>
          <w:color w:val="auto"/>
        </w:rPr>
      </w:pPr>
      <w:r>
        <w:rPr>
          <w:rFonts w:ascii="Arial" w:cs="Arial" w:eastAsia="Arial" w:hAnsi="Arial"/>
          <w:sz w:val="16"/>
          <w:szCs w:val="16"/>
          <w:color w:val="auto"/>
        </w:rPr>
        <w:t xml:space="preserve">submitted and posted pursuant to Rule 405 of Regulation S-T (§ 232.405 of this chapter) during the preceding 12 months (or for such shorter period that the registrant was required to submit and post such files).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209" w:lineRule="exact"/>
        <w:rPr>
          <w:sz w:val="24"/>
          <w:szCs w:val="24"/>
          <w:color w:val="auto"/>
        </w:rPr>
      </w:pPr>
    </w:p>
    <w:p>
      <w:pPr>
        <w:ind w:right="80" w:firstLine="405"/>
        <w:spacing w:after="0" w:line="296"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86" w:lineRule="exact"/>
        <w:rPr>
          <w:sz w:val="24"/>
          <w:szCs w:val="24"/>
          <w:color w:val="auto"/>
        </w:rPr>
      </w:pPr>
    </w:p>
    <w:tbl>
      <w:tblPr>
        <w:tblLayout w:type="fixed"/>
        <w:tblInd w:w="40" w:type="dxa"/>
        <w:tblCellMar>
          <w:top w:w="0" w:type="dxa"/>
          <w:left w:w="0" w:type="dxa"/>
          <w:bottom w:w="0" w:type="dxa"/>
          <w:right w:w="0" w:type="dxa"/>
        </w:tblCellMar>
      </w:tblPr>
      <w:tr>
        <w:trPr>
          <w:trHeight w:val="254"/>
        </w:trPr>
        <w:tc>
          <w:tcPr>
            <w:tcW w:w="194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4940" w:type="dxa"/>
            <w:vAlign w:val="bottom"/>
          </w:tcPr>
          <w:p>
            <w:pPr>
              <w:ind w:left="480"/>
              <w:spacing w:after="0" w:line="161" w:lineRule="exact"/>
              <w:rPr>
                <w:sz w:val="20"/>
                <w:szCs w:val="20"/>
                <w:color w:val="auto"/>
              </w:rPr>
            </w:pPr>
            <w:r>
              <w:rPr>
                <w:rFonts w:ascii="MS PGothic" w:cs="MS PGothic" w:eastAsia="MS PGothic" w:hAnsi="MS PGothic"/>
                <w:sz w:val="16"/>
                <w:szCs w:val="16"/>
                <w:color w:val="auto"/>
              </w:rPr>
              <w:t>☐</w:t>
            </w:r>
          </w:p>
        </w:tc>
        <w:tc>
          <w:tcPr>
            <w:tcW w:w="3640" w:type="dxa"/>
            <w:vAlign w:val="bottom"/>
          </w:tcPr>
          <w:p>
            <w:pPr>
              <w:ind w:left="1240"/>
              <w:spacing w:after="0"/>
              <w:rPr>
                <w:sz w:val="20"/>
                <w:szCs w:val="20"/>
                <w:color w:val="auto"/>
              </w:rPr>
            </w:pPr>
            <w:r>
              <w:rPr>
                <w:rFonts w:ascii="Arial" w:cs="Arial" w:eastAsia="Arial" w:hAnsi="Arial"/>
                <w:sz w:val="16"/>
                <w:szCs w:val="16"/>
                <w:color w:val="auto"/>
              </w:rPr>
              <w:t>Accelerated filer</w:t>
            </w:r>
          </w:p>
        </w:tc>
        <w:tc>
          <w:tcPr>
            <w:tcW w:w="700" w:type="dxa"/>
            <w:vAlign w:val="bottom"/>
          </w:tcPr>
          <w:p>
            <w:pPr>
              <w:ind w:left="540"/>
              <w:spacing w:after="0" w:line="161" w:lineRule="exact"/>
              <w:rPr>
                <w:sz w:val="20"/>
                <w:szCs w:val="20"/>
                <w:color w:val="auto"/>
              </w:rPr>
            </w:pPr>
            <w:r>
              <w:rPr>
                <w:rFonts w:ascii="MS PGothic" w:cs="MS PGothic" w:eastAsia="MS PGothic" w:hAnsi="MS PGothic"/>
                <w:sz w:val="16"/>
                <w:szCs w:val="16"/>
                <w:color w:val="auto"/>
                <w:w w:val="87"/>
              </w:rPr>
              <w:t>☐</w:t>
            </w:r>
          </w:p>
        </w:tc>
      </w:tr>
      <w:tr>
        <w:trPr>
          <w:trHeight w:val="378"/>
        </w:trPr>
        <w:tc>
          <w:tcPr>
            <w:tcW w:w="1940" w:type="dxa"/>
            <w:vAlign w:val="bottom"/>
          </w:tcPr>
          <w:p>
            <w:pPr>
              <w:spacing w:after="0"/>
              <w:rPr>
                <w:sz w:val="20"/>
                <w:szCs w:val="20"/>
                <w:color w:val="auto"/>
              </w:rPr>
            </w:pPr>
            <w:r>
              <w:rPr>
                <w:rFonts w:ascii="Arial" w:cs="Arial" w:eastAsia="Arial" w:hAnsi="Arial"/>
                <w:sz w:val="16"/>
                <w:szCs w:val="16"/>
                <w:color w:val="auto"/>
              </w:rPr>
              <w:t>Non-accelerated filer</w:t>
            </w:r>
          </w:p>
        </w:tc>
        <w:tc>
          <w:tcPr>
            <w:tcW w:w="4940" w:type="dxa"/>
            <w:vAlign w:val="bottom"/>
          </w:tcPr>
          <w:p>
            <w:pPr>
              <w:ind w:left="480"/>
              <w:spacing w:after="0" w:line="184" w:lineRule="exact"/>
              <w:rPr>
                <w:sz w:val="20"/>
                <w:szCs w:val="20"/>
                <w:color w:val="auto"/>
              </w:rPr>
            </w:pPr>
            <w:r>
              <w:rPr>
                <w:rFonts w:ascii="MS PGothic" w:cs="MS PGothic" w:eastAsia="MS PGothic" w:hAnsi="MS PGothic"/>
                <w:sz w:val="16"/>
                <w:szCs w:val="16"/>
                <w:color w:val="auto"/>
              </w:rPr>
              <w:t>☑</w:t>
            </w:r>
            <w:r>
              <w:rPr>
                <w:rFonts w:ascii="Arial" w:cs="Arial" w:eastAsia="Arial" w:hAnsi="Arial"/>
                <w:sz w:val="16"/>
                <w:szCs w:val="16"/>
                <w:color w:val="auto"/>
              </w:rPr>
              <w:t xml:space="preserve"> (Do not check if a smaller reporting company)</w:t>
            </w:r>
          </w:p>
        </w:tc>
        <w:tc>
          <w:tcPr>
            <w:tcW w:w="3640" w:type="dxa"/>
            <w:vAlign w:val="bottom"/>
          </w:tcPr>
          <w:p>
            <w:pPr>
              <w:ind w:left="1240"/>
              <w:spacing w:after="0"/>
              <w:rPr>
                <w:sz w:val="20"/>
                <w:szCs w:val="20"/>
                <w:color w:val="auto"/>
              </w:rPr>
            </w:pPr>
            <w:r>
              <w:rPr>
                <w:rFonts w:ascii="Arial" w:cs="Arial" w:eastAsia="Arial" w:hAnsi="Arial"/>
                <w:sz w:val="16"/>
                <w:szCs w:val="16"/>
                <w:color w:val="auto"/>
              </w:rPr>
              <w:t>Smaller reporting company</w:t>
            </w:r>
          </w:p>
        </w:tc>
        <w:tc>
          <w:tcPr>
            <w:tcW w:w="700" w:type="dxa"/>
            <w:vAlign w:val="bottom"/>
          </w:tcPr>
          <w:p>
            <w:pPr>
              <w:ind w:left="540"/>
              <w:spacing w:after="0" w:line="161" w:lineRule="exact"/>
              <w:rPr>
                <w:sz w:val="20"/>
                <w:szCs w:val="20"/>
                <w:color w:val="auto"/>
              </w:rPr>
            </w:pPr>
            <w:r>
              <w:rPr>
                <w:rFonts w:ascii="MS PGothic" w:cs="MS PGothic" w:eastAsia="MS PGothic" w:hAnsi="MS PGothic"/>
                <w:sz w:val="16"/>
                <w:szCs w:val="16"/>
                <w:color w:val="auto"/>
                <w:w w:val="87"/>
              </w:rPr>
              <w:t>☐</w:t>
            </w:r>
          </w:p>
        </w:tc>
      </w:tr>
      <w:tr>
        <w:trPr>
          <w:trHeight w:val="392"/>
        </w:trPr>
        <w:tc>
          <w:tcPr>
            <w:tcW w:w="1940" w:type="dxa"/>
            <w:vAlign w:val="bottom"/>
          </w:tcPr>
          <w:p>
            <w:pPr>
              <w:spacing w:after="0"/>
              <w:rPr>
                <w:sz w:val="24"/>
                <w:szCs w:val="24"/>
                <w:color w:val="auto"/>
              </w:rPr>
            </w:pPr>
          </w:p>
        </w:tc>
        <w:tc>
          <w:tcPr>
            <w:tcW w:w="4940" w:type="dxa"/>
            <w:vAlign w:val="bottom"/>
          </w:tcPr>
          <w:p>
            <w:pPr>
              <w:spacing w:after="0"/>
              <w:rPr>
                <w:sz w:val="24"/>
                <w:szCs w:val="24"/>
                <w:color w:val="auto"/>
              </w:rPr>
            </w:pPr>
          </w:p>
        </w:tc>
        <w:tc>
          <w:tcPr>
            <w:tcW w:w="3640" w:type="dxa"/>
            <w:vAlign w:val="bottom"/>
          </w:tcPr>
          <w:p>
            <w:pPr>
              <w:ind w:left="1240"/>
              <w:spacing w:after="0"/>
              <w:rPr>
                <w:sz w:val="20"/>
                <w:szCs w:val="20"/>
                <w:color w:val="auto"/>
              </w:rPr>
            </w:pPr>
            <w:r>
              <w:rPr>
                <w:rFonts w:ascii="Arial" w:cs="Arial" w:eastAsia="Arial" w:hAnsi="Arial"/>
                <w:sz w:val="16"/>
                <w:szCs w:val="16"/>
                <w:color w:val="auto"/>
              </w:rPr>
              <w:t>Emerging Growth Company</w:t>
            </w:r>
          </w:p>
        </w:tc>
        <w:tc>
          <w:tcPr>
            <w:tcW w:w="700" w:type="dxa"/>
            <w:vAlign w:val="bottom"/>
          </w:tcPr>
          <w:p>
            <w:pPr>
              <w:ind w:left="540"/>
              <w:spacing w:after="0" w:line="161" w:lineRule="exact"/>
              <w:rPr>
                <w:sz w:val="20"/>
                <w:szCs w:val="20"/>
                <w:color w:val="auto"/>
              </w:rPr>
            </w:pPr>
            <w:r>
              <w:rPr>
                <w:rFonts w:ascii="MS PGothic" w:cs="MS PGothic" w:eastAsia="MS PGothic" w:hAnsi="MS PGothic"/>
                <w:sz w:val="16"/>
                <w:szCs w:val="16"/>
                <w:color w:val="auto"/>
                <w:w w:val="87"/>
              </w:rPr>
              <w:t>☑</w:t>
            </w:r>
          </w:p>
        </w:tc>
      </w:tr>
    </w:tbl>
    <w:p>
      <w:pPr>
        <w:sectPr>
          <w:pgSz w:w="11900" w:h="16838" w:orient="portrait"/>
          <w:cols w:equalWidth="0" w:num="1">
            <w:col w:w="11360"/>
          </w:cols>
          <w:pgMar w:left="240" w:top="229" w:right="299" w:bottom="1440"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90" w:lineRule="exact"/>
        <w:rPr>
          <w:sz w:val="20"/>
          <w:szCs w:val="20"/>
          <w:color w:val="auto"/>
        </w:rPr>
      </w:pPr>
    </w:p>
    <w:p>
      <w:pPr>
        <w:ind w:firstLine="405"/>
        <w:spacing w:after="0" w:line="207"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165" w:lineRule="exact"/>
        <w:rPr>
          <w:sz w:val="20"/>
          <w:szCs w:val="20"/>
          <w:color w:val="auto"/>
        </w:rPr>
      </w:pPr>
    </w:p>
    <w:p>
      <w:pPr>
        <w:ind w:left="340"/>
        <w:spacing w:after="0" w:line="184" w:lineRule="exact"/>
        <w:tabs>
          <w:tab w:leader="none" w:pos="7140" w:val="left"/>
          <w:tab w:leader="none" w:pos="7780" w:val="left"/>
        </w:tabs>
        <w:rPr>
          <w:sz w:val="20"/>
          <w:szCs w:val="20"/>
          <w:color w:val="auto"/>
        </w:rPr>
      </w:pPr>
      <w:r>
        <w:rPr>
          <w:rFonts w:ascii="Arial" w:cs="Arial" w:eastAsia="Arial" w:hAnsi="Arial"/>
          <w:sz w:val="16"/>
          <w:szCs w:val="16"/>
          <w:color w:val="auto"/>
        </w:rPr>
        <w:t>Indicate by check mark whether the registrant is a shell company (as defined by Rule 12b-2 of the Act)</w:t>
        <w:tab/>
        <w:t xml:space="preserve">Yes </w:t>
      </w:r>
      <w:r>
        <w:rPr>
          <w:rFonts w:ascii="MS PGothic" w:cs="MS PGothic" w:eastAsia="MS PGothic" w:hAnsi="MS PGothic"/>
          <w:sz w:val="16"/>
          <w:szCs w:val="16"/>
          <w:color w:val="auto"/>
        </w:rPr>
        <w:t>☐</w:t>
      </w:r>
      <w:r>
        <w:rPr>
          <w:rFonts w:ascii="Arial" w:cs="Arial" w:eastAsia="Arial" w:hAnsi="Arial"/>
          <w:sz w:val="16"/>
          <w:szCs w:val="16"/>
          <w:color w:val="auto"/>
        </w:rPr>
        <w:tab/>
        <w:t xml:space="preserve">No </w:t>
      </w:r>
      <w:r>
        <w:rPr>
          <w:rFonts w:ascii="MS PGothic" w:cs="MS PGothic" w:eastAsia="MS PGothic" w:hAnsi="MS PGothic"/>
          <w:sz w:val="16"/>
          <w:szCs w:val="16"/>
          <w:color w:val="auto"/>
        </w:rPr>
        <w:t>☑</w:t>
      </w:r>
    </w:p>
    <w:p>
      <w:pPr>
        <w:spacing w:after="0" w:line="27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registrant had 37,505,996 shares of common stock, $0.01 par value, outstanding as of October 31,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198120</wp:posOffset>
            </wp:positionV>
            <wp:extent cx="679196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791960" cy="8890"/>
                    </a:xfrm>
                    <a:prstGeom prst="rect">
                      <a:avLst/>
                    </a:prstGeom>
                    <a:noFill/>
                  </pic:spPr>
                </pic:pic>
              </a:graphicData>
            </a:graphic>
          </wp:anchor>
        </w:drawing>
        <w:drawing>
          <wp:anchor simplePos="0" relativeHeight="251657728" behindDoc="1" locked="0" layoutInCell="0" allowOverlap="1">
            <wp:simplePos x="0" y="0"/>
            <wp:positionH relativeFrom="column">
              <wp:posOffset>210820</wp:posOffset>
            </wp:positionH>
            <wp:positionV relativeFrom="paragraph">
              <wp:posOffset>103505</wp:posOffset>
            </wp:positionV>
            <wp:extent cx="679196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791960" cy="8890"/>
                    </a:xfrm>
                    <a:prstGeom prst="rect">
                      <a:avLst/>
                    </a:prstGeom>
                    <a:noFill/>
                  </pic:spPr>
                </pic:pic>
              </a:graphicData>
            </a:graphic>
          </wp:anchor>
        </w:drawing>
      </w:r>
    </w:p>
    <w:p>
      <w:pPr>
        <w:sectPr>
          <w:pgSz w:w="11900" w:h="16838" w:orient="portrait"/>
          <w:cols w:equalWidth="0" w:num="1">
            <w:col w:w="11060"/>
          </w:cols>
          <w:pgMar w:left="240" w:top="121" w:right="59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52"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81" w:lineRule="exact"/>
        <w:rPr>
          <w:sz w:val="20"/>
          <w:szCs w:val="20"/>
          <w:color w:val="auto"/>
        </w:rPr>
      </w:pPr>
    </w:p>
    <w:p>
      <w:pPr>
        <w:jc w:val="right"/>
        <w:spacing w:after="0"/>
        <w:rPr>
          <w:sz w:val="20"/>
          <w:szCs w:val="20"/>
          <w:color w:val="auto"/>
        </w:rPr>
      </w:pPr>
      <w:r>
        <w:rPr>
          <w:rFonts w:ascii="Arial" w:cs="Arial" w:eastAsia="Arial" w:hAnsi="Arial"/>
          <w:sz w:val="16"/>
          <w:szCs w:val="16"/>
          <w:b w:val="1"/>
          <w:bCs w:val="1"/>
          <w:color w:val="auto"/>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6891655</wp:posOffset>
            </wp:positionH>
            <wp:positionV relativeFrom="paragraph">
              <wp:posOffset>37465</wp:posOffset>
            </wp:positionV>
            <wp:extent cx="36004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60045" cy="8890"/>
                    </a:xfrm>
                    <a:prstGeom prst="rect">
                      <a:avLst/>
                    </a:prstGeom>
                    <a:noFill/>
                  </pic:spPr>
                </pic:pic>
              </a:graphicData>
            </a:graphic>
          </wp:anchor>
        </w:drawing>
      </w:r>
    </w:p>
    <w:p>
      <w:pPr>
        <w:spacing w:after="0" w:line="72"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2760" w:type="dxa"/>
            <w:vAlign w:val="bottom"/>
            <w:tcBorders>
              <w:bottom w:val="single" w:sz="8" w:color="0000EE"/>
            </w:tcBorders>
            <w:gridSpan w:val="11"/>
          </w:tcPr>
          <w:p>
            <w:pPr>
              <w:spacing w:after="0"/>
              <w:rPr>
                <w:rFonts w:ascii="Arial" w:cs="Arial" w:eastAsia="Arial" w:hAnsi="Arial"/>
                <w:sz w:val="16"/>
                <w:szCs w:val="16"/>
                <w:b w:val="1"/>
                <w:bCs w:val="1"/>
                <w:color w:val="0000EE"/>
              </w:rPr>
            </w:pPr>
            <w:hyperlink w:anchor="page4">
              <w:r>
                <w:rPr>
                  <w:rFonts w:ascii="Arial" w:cs="Arial" w:eastAsia="Arial" w:hAnsi="Arial"/>
                  <w:sz w:val="16"/>
                  <w:szCs w:val="16"/>
                  <w:b w:val="1"/>
                  <w:bCs w:val="1"/>
                  <w:color w:val="0000EE"/>
                </w:rPr>
                <w:t>PART I. FINANCIAL INFORMATION</w:t>
              </w:r>
            </w:hyperlink>
          </w:p>
        </w:tc>
        <w:tc>
          <w:tcPr>
            <w:tcW w:w="7460" w:type="dxa"/>
            <w:vAlign w:val="bottom"/>
            <w:gridSpan w:val="11"/>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8"/>
        </w:trPr>
        <w:tc>
          <w:tcPr>
            <w:tcW w:w="460" w:type="dxa"/>
            <w:vAlign w:val="bottom"/>
          </w:tcPr>
          <w:p>
            <w:pPr>
              <w:spacing w:after="0"/>
              <w:rPr>
                <w:rFonts w:ascii="Arial" w:cs="Arial" w:eastAsia="Arial" w:hAnsi="Arial"/>
                <w:sz w:val="16"/>
                <w:szCs w:val="16"/>
                <w:color w:val="0000EE"/>
                <w:w w:val="89"/>
              </w:rPr>
            </w:pPr>
            <w:hyperlink w:anchor="page4">
              <w:r>
                <w:rPr>
                  <w:rFonts w:ascii="Arial" w:cs="Arial" w:eastAsia="Arial" w:hAnsi="Arial"/>
                  <w:sz w:val="16"/>
                  <w:szCs w:val="16"/>
                  <w:color w:val="0000EE"/>
                  <w:w w:val="89"/>
                </w:rPr>
                <w:t>Item 1.</w:t>
              </w:r>
            </w:hyperlink>
          </w:p>
        </w:tc>
        <w:tc>
          <w:tcPr>
            <w:tcW w:w="340" w:type="dxa"/>
            <w:vAlign w:val="bottom"/>
            <w:gridSpan w:val="3"/>
          </w:tcPr>
          <w:p>
            <w:pPr>
              <w:spacing w:after="0"/>
              <w:rPr>
                <w:sz w:val="24"/>
                <w:szCs w:val="24"/>
                <w:color w:val="auto"/>
              </w:rPr>
            </w:pPr>
          </w:p>
        </w:tc>
        <w:tc>
          <w:tcPr>
            <w:tcW w:w="9420" w:type="dxa"/>
            <w:vAlign w:val="bottom"/>
            <w:gridSpan w:val="18"/>
          </w:tcPr>
          <w:p>
            <w:pPr>
              <w:spacing w:after="0"/>
              <w:rPr>
                <w:rFonts w:ascii="Arial" w:cs="Arial" w:eastAsia="Arial" w:hAnsi="Arial"/>
                <w:sz w:val="16"/>
                <w:szCs w:val="16"/>
                <w:color w:val="0000EE"/>
              </w:rPr>
            </w:pPr>
            <w:hyperlink w:anchor="page4">
              <w:r>
                <w:rPr>
                  <w:rFonts w:ascii="Arial" w:cs="Arial" w:eastAsia="Arial" w:hAnsi="Arial"/>
                  <w:sz w:val="16"/>
                  <w:szCs w:val="16"/>
                  <w:color w:val="0000EE"/>
                </w:rPr>
                <w:t>Financial Statements (Unaudited)</w:t>
              </w:r>
            </w:hyperlink>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20" w:type="dxa"/>
            <w:vAlign w:val="bottom"/>
            <w:gridSpan w:val="18"/>
          </w:tcPr>
          <w:p>
            <w:pPr>
              <w:spacing w:after="0"/>
              <w:rPr>
                <w:rFonts w:ascii="Arial" w:cs="Arial" w:eastAsia="Arial" w:hAnsi="Arial"/>
                <w:sz w:val="16"/>
                <w:szCs w:val="16"/>
                <w:color w:val="0000EE"/>
              </w:rPr>
            </w:pPr>
            <w:hyperlink w:anchor="page4">
              <w:r>
                <w:rPr>
                  <w:rFonts w:ascii="Arial" w:cs="Arial" w:eastAsia="Arial" w:hAnsi="Arial"/>
                  <w:sz w:val="16"/>
                  <w:szCs w:val="16"/>
                  <w:color w:val="0000EE"/>
                </w:rPr>
                <w:t>Condensed Consolidated Balance Sheets as of September 30, 2017 and December 31, 2016</w:t>
              </w:r>
            </w:hyperlink>
          </w:p>
        </w:tc>
        <w:tc>
          <w:tcPr>
            <w:tcW w:w="960" w:type="dxa"/>
            <w:vAlign w:val="bottom"/>
            <w:vMerge w:val="restart"/>
          </w:tcPr>
          <w:p>
            <w:pPr>
              <w:jc w:val="center"/>
              <w:ind w:left="719"/>
              <w:spacing w:after="0"/>
              <w:rPr>
                <w:rFonts w:ascii="Arial" w:cs="Arial" w:eastAsia="Arial" w:hAnsi="Arial"/>
                <w:sz w:val="16"/>
                <w:szCs w:val="16"/>
                <w:color w:val="auto"/>
                <w:w w:val="89"/>
              </w:rPr>
            </w:pPr>
            <w:hyperlink w:anchor="page4">
              <w:r>
                <w:rPr>
                  <w:rFonts w:ascii="Arial" w:cs="Arial" w:eastAsia="Arial" w:hAnsi="Arial"/>
                  <w:sz w:val="16"/>
                  <w:szCs w:val="16"/>
                  <w:color w:val="auto"/>
                  <w:w w:val="89"/>
                </w:rPr>
                <w:t>1</w:t>
              </w:r>
            </w:hyperlink>
          </w:p>
        </w:tc>
        <w:tc>
          <w:tcPr>
            <w:tcW w:w="0" w:type="dxa"/>
            <w:vAlign w:val="bottom"/>
          </w:tcPr>
          <w:p>
            <w:pPr>
              <w:spacing w:after="0"/>
              <w:rPr>
                <w:sz w:val="1"/>
                <w:szCs w:val="1"/>
                <w:color w:val="auto"/>
              </w:rPr>
            </w:pPr>
          </w:p>
        </w:tc>
      </w:tr>
      <w:tr>
        <w:trPr>
          <w:trHeight w:val="217"/>
        </w:trPr>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280" w:type="dxa"/>
            <w:vAlign w:val="bottom"/>
            <w:tcBorders>
              <w:top w:val="single" w:sz="8" w:color="0000EE"/>
            </w:tcBorders>
          </w:tcPr>
          <w:p>
            <w:pPr>
              <w:spacing w:after="0"/>
              <w:rPr>
                <w:sz w:val="18"/>
                <w:szCs w:val="18"/>
                <w:color w:val="auto"/>
              </w:rPr>
            </w:pPr>
          </w:p>
        </w:tc>
        <w:tc>
          <w:tcPr>
            <w:tcW w:w="38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280" w:type="dxa"/>
            <w:vAlign w:val="bottom"/>
            <w:tcBorders>
              <w:top w:val="single" w:sz="8" w:color="0000EE"/>
            </w:tcBorders>
          </w:tcPr>
          <w:p>
            <w:pPr>
              <w:spacing w:after="0"/>
              <w:rPr>
                <w:sz w:val="18"/>
                <w:szCs w:val="18"/>
                <w:color w:val="auto"/>
              </w:rPr>
            </w:pPr>
          </w:p>
        </w:tc>
        <w:tc>
          <w:tcPr>
            <w:tcW w:w="14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1420" w:type="dxa"/>
            <w:vAlign w:val="bottom"/>
            <w:tcBorders>
              <w:top w:val="single" w:sz="8" w:color="0000EE"/>
            </w:tcBorders>
          </w:tcPr>
          <w:p>
            <w:pPr>
              <w:spacing w:after="0"/>
              <w:rPr>
                <w:sz w:val="18"/>
                <w:szCs w:val="18"/>
                <w:color w:val="auto"/>
              </w:rPr>
            </w:pPr>
          </w:p>
        </w:tc>
        <w:tc>
          <w:tcPr>
            <w:tcW w:w="32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8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12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44"/>
        </w:trPr>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20" w:type="dxa"/>
            <w:vAlign w:val="bottom"/>
            <w:gridSpan w:val="18"/>
          </w:tcPr>
          <w:p>
            <w:pPr>
              <w:spacing w:after="0"/>
              <w:rPr>
                <w:rFonts w:ascii="Arial" w:cs="Arial" w:eastAsia="Arial" w:hAnsi="Arial"/>
                <w:sz w:val="16"/>
                <w:szCs w:val="16"/>
                <w:color w:val="0000EE"/>
              </w:rPr>
            </w:pPr>
            <w:hyperlink w:anchor="page5">
              <w:r>
                <w:rPr>
                  <w:rFonts w:ascii="Arial" w:cs="Arial" w:eastAsia="Arial" w:hAnsi="Arial"/>
                  <w:sz w:val="16"/>
                  <w:szCs w:val="16"/>
                  <w:color w:val="0000EE"/>
                </w:rPr>
                <w:t>Condensed Consolidated Statements of Operations for the Three and Nine Months Ended September 30, 2017 and 2016</w:t>
              </w:r>
            </w:hyperlink>
          </w:p>
        </w:tc>
        <w:tc>
          <w:tcPr>
            <w:tcW w:w="960" w:type="dxa"/>
            <w:vAlign w:val="bottom"/>
            <w:vMerge w:val="restart"/>
          </w:tcPr>
          <w:p>
            <w:pPr>
              <w:jc w:val="center"/>
              <w:ind w:left="719"/>
              <w:spacing w:after="0"/>
              <w:rPr>
                <w:rFonts w:ascii="Arial" w:cs="Arial" w:eastAsia="Arial" w:hAnsi="Arial"/>
                <w:sz w:val="16"/>
                <w:szCs w:val="16"/>
                <w:color w:val="auto"/>
                <w:w w:val="89"/>
              </w:rPr>
            </w:pPr>
            <w:hyperlink w:anchor="page5">
              <w:r>
                <w:rPr>
                  <w:rFonts w:ascii="Arial" w:cs="Arial" w:eastAsia="Arial" w:hAnsi="Arial"/>
                  <w:sz w:val="16"/>
                  <w:szCs w:val="16"/>
                  <w:color w:val="auto"/>
                  <w:w w:val="89"/>
                </w:rPr>
                <w:t>2</w:t>
              </w:r>
            </w:hyperlink>
          </w:p>
        </w:tc>
        <w:tc>
          <w:tcPr>
            <w:tcW w:w="0" w:type="dxa"/>
            <w:vAlign w:val="bottom"/>
          </w:tcPr>
          <w:p>
            <w:pPr>
              <w:spacing w:after="0"/>
              <w:rPr>
                <w:sz w:val="1"/>
                <w:szCs w:val="1"/>
                <w:color w:val="auto"/>
              </w:rPr>
            </w:pPr>
          </w:p>
        </w:tc>
      </w:tr>
      <w:tr>
        <w:trPr>
          <w:trHeight w:val="217"/>
        </w:trPr>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280" w:type="dxa"/>
            <w:vAlign w:val="bottom"/>
            <w:tcBorders>
              <w:top w:val="single" w:sz="8" w:color="0000EE"/>
            </w:tcBorders>
          </w:tcPr>
          <w:p>
            <w:pPr>
              <w:spacing w:after="0"/>
              <w:rPr>
                <w:sz w:val="18"/>
                <w:szCs w:val="18"/>
                <w:color w:val="auto"/>
              </w:rPr>
            </w:pPr>
          </w:p>
        </w:tc>
        <w:tc>
          <w:tcPr>
            <w:tcW w:w="38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280" w:type="dxa"/>
            <w:vAlign w:val="bottom"/>
            <w:tcBorders>
              <w:top w:val="single" w:sz="8" w:color="0000EE"/>
            </w:tcBorders>
          </w:tcPr>
          <w:p>
            <w:pPr>
              <w:spacing w:after="0"/>
              <w:rPr>
                <w:sz w:val="18"/>
                <w:szCs w:val="18"/>
                <w:color w:val="auto"/>
              </w:rPr>
            </w:pPr>
          </w:p>
        </w:tc>
        <w:tc>
          <w:tcPr>
            <w:tcW w:w="14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1420" w:type="dxa"/>
            <w:vAlign w:val="bottom"/>
            <w:tcBorders>
              <w:top w:val="single" w:sz="8" w:color="0000EE"/>
            </w:tcBorders>
          </w:tcPr>
          <w:p>
            <w:pPr>
              <w:spacing w:after="0"/>
              <w:rPr>
                <w:sz w:val="18"/>
                <w:szCs w:val="18"/>
                <w:color w:val="auto"/>
              </w:rPr>
            </w:pPr>
          </w:p>
        </w:tc>
        <w:tc>
          <w:tcPr>
            <w:tcW w:w="32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8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1220" w:type="dxa"/>
            <w:vAlign w:val="bottom"/>
            <w:tcBorders>
              <w:top w:val="single" w:sz="8" w:color="0000EE"/>
            </w:tcBorders>
          </w:tcPr>
          <w:p>
            <w:pPr>
              <w:spacing w:after="0"/>
              <w:rPr>
                <w:sz w:val="18"/>
                <w:szCs w:val="18"/>
                <w:color w:val="auto"/>
              </w:rPr>
            </w:pPr>
          </w:p>
        </w:tc>
        <w:tc>
          <w:tcPr>
            <w:tcW w:w="640" w:type="dxa"/>
            <w:vAlign w:val="bottom"/>
            <w:tcBorders>
              <w:top w:val="single" w:sz="8" w:color="0000EE"/>
            </w:tcBorders>
          </w:tcPr>
          <w:p>
            <w:pPr>
              <w:spacing w:after="0"/>
              <w:rPr>
                <w:sz w:val="18"/>
                <w:szCs w:val="18"/>
                <w:color w:val="auto"/>
              </w:rPr>
            </w:pPr>
          </w:p>
        </w:tc>
        <w:tc>
          <w:tcPr>
            <w:tcW w:w="8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44"/>
        </w:trPr>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20" w:type="dxa"/>
            <w:vAlign w:val="bottom"/>
            <w:gridSpan w:val="18"/>
          </w:tcPr>
          <w:p>
            <w:pPr>
              <w:spacing w:after="0"/>
              <w:rPr>
                <w:rFonts w:ascii="Arial" w:cs="Arial" w:eastAsia="Arial" w:hAnsi="Arial"/>
                <w:sz w:val="16"/>
                <w:szCs w:val="16"/>
                <w:color w:val="0000EE"/>
                <w:w w:val="99"/>
              </w:rPr>
            </w:pPr>
            <w:hyperlink w:anchor="page6">
              <w:r>
                <w:rPr>
                  <w:rFonts w:ascii="Arial" w:cs="Arial" w:eastAsia="Arial" w:hAnsi="Arial"/>
                  <w:sz w:val="16"/>
                  <w:szCs w:val="16"/>
                  <w:color w:val="0000EE"/>
                  <w:w w:val="99"/>
                </w:rPr>
                <w:t>Condensed Consolidated Statements of Comprehensive Income for the Three and Nine Months Ended September 30, 2017 and 2016</w:t>
              </w:r>
            </w:hyperlink>
          </w:p>
        </w:tc>
        <w:tc>
          <w:tcPr>
            <w:tcW w:w="960" w:type="dxa"/>
            <w:vAlign w:val="bottom"/>
          </w:tcPr>
          <w:p>
            <w:pPr>
              <w:jc w:val="center"/>
              <w:ind w:left="719"/>
              <w:spacing w:after="0"/>
              <w:rPr>
                <w:rFonts w:ascii="Arial" w:cs="Arial" w:eastAsia="Arial" w:hAnsi="Arial"/>
                <w:sz w:val="16"/>
                <w:szCs w:val="16"/>
                <w:color w:val="auto"/>
                <w:w w:val="89"/>
              </w:rPr>
            </w:pPr>
            <w:hyperlink w:anchor="page6">
              <w:r>
                <w:rPr>
                  <w:rFonts w:ascii="Arial" w:cs="Arial" w:eastAsia="Arial" w:hAnsi="Arial"/>
                  <w:sz w:val="16"/>
                  <w:szCs w:val="16"/>
                  <w:color w:val="auto"/>
                  <w:w w:val="89"/>
                </w:rPr>
                <w:t>3</w:t>
              </w:r>
            </w:hyperlink>
          </w:p>
        </w:tc>
        <w:tc>
          <w:tcPr>
            <w:tcW w:w="0" w:type="dxa"/>
            <w:vAlign w:val="bottom"/>
          </w:tcPr>
          <w:p>
            <w:pPr>
              <w:spacing w:after="0"/>
              <w:rPr>
                <w:sz w:val="1"/>
                <w:szCs w:val="1"/>
                <w:color w:val="auto"/>
              </w:rPr>
            </w:pPr>
          </w:p>
        </w:tc>
      </w:tr>
      <w:tr>
        <w:trPr>
          <w:trHeight w:val="372"/>
        </w:trPr>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20" w:type="dxa"/>
            <w:vAlign w:val="bottom"/>
            <w:tcBorders>
              <w:top w:val="single" w:sz="8" w:color="0000EE"/>
            </w:tcBorders>
            <w:gridSpan w:val="17"/>
          </w:tcPr>
          <w:p>
            <w:pPr>
              <w:spacing w:after="0"/>
              <w:rPr>
                <w:rFonts w:ascii="Arial" w:cs="Arial" w:eastAsia="Arial" w:hAnsi="Arial"/>
                <w:sz w:val="16"/>
                <w:szCs w:val="16"/>
                <w:color w:val="0000EE"/>
              </w:rPr>
            </w:pPr>
            <w:hyperlink w:anchor="page7">
              <w:r>
                <w:rPr>
                  <w:rFonts w:ascii="Arial" w:cs="Arial" w:eastAsia="Arial" w:hAnsi="Arial"/>
                  <w:sz w:val="16"/>
                  <w:szCs w:val="16"/>
                  <w:color w:val="0000EE"/>
                </w:rPr>
                <w:t>Condensed Consolidated Statements of Cash Flows for the Nine Months Ended September 30, 2017 and 2016</w:t>
              </w:r>
            </w:hyperlink>
          </w:p>
        </w:tc>
        <w:tc>
          <w:tcPr>
            <w:tcW w:w="800" w:type="dxa"/>
            <w:vAlign w:val="bottom"/>
          </w:tcPr>
          <w:p>
            <w:pPr>
              <w:spacing w:after="0"/>
              <w:rPr>
                <w:sz w:val="24"/>
                <w:szCs w:val="24"/>
                <w:color w:val="auto"/>
              </w:rPr>
            </w:pPr>
          </w:p>
        </w:tc>
        <w:tc>
          <w:tcPr>
            <w:tcW w:w="960" w:type="dxa"/>
            <w:vAlign w:val="bottom"/>
          </w:tcPr>
          <w:p>
            <w:pPr>
              <w:jc w:val="center"/>
              <w:ind w:left="719"/>
              <w:spacing w:after="0"/>
              <w:rPr>
                <w:rFonts w:ascii="Arial" w:cs="Arial" w:eastAsia="Arial" w:hAnsi="Arial"/>
                <w:sz w:val="16"/>
                <w:szCs w:val="16"/>
                <w:color w:val="auto"/>
                <w:w w:val="89"/>
              </w:rPr>
            </w:pPr>
            <w:hyperlink w:anchor="page7">
              <w:r>
                <w:rPr>
                  <w:rFonts w:ascii="Arial" w:cs="Arial" w:eastAsia="Arial" w:hAnsi="Arial"/>
                  <w:sz w:val="16"/>
                  <w:szCs w:val="16"/>
                  <w:color w:val="auto"/>
                  <w:w w:val="89"/>
                </w:rPr>
                <w:t>4</w:t>
              </w:r>
            </w:hyperlink>
          </w:p>
        </w:tc>
        <w:tc>
          <w:tcPr>
            <w:tcW w:w="0" w:type="dxa"/>
            <w:vAlign w:val="bottom"/>
          </w:tcPr>
          <w:p>
            <w:pPr>
              <w:spacing w:after="0"/>
              <w:rPr>
                <w:sz w:val="1"/>
                <w:szCs w:val="1"/>
                <w:color w:val="auto"/>
              </w:rPr>
            </w:pPr>
          </w:p>
        </w:tc>
      </w:tr>
      <w:tr>
        <w:trPr>
          <w:trHeight w:val="372"/>
        </w:trPr>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140" w:type="dxa"/>
            <w:vAlign w:val="bottom"/>
            <w:tcBorders>
              <w:top w:val="single" w:sz="8" w:color="0000EE"/>
            </w:tcBorders>
            <w:gridSpan w:val="15"/>
          </w:tcPr>
          <w:p>
            <w:pPr>
              <w:spacing w:after="0"/>
              <w:rPr>
                <w:rFonts w:ascii="Arial" w:cs="Arial" w:eastAsia="Arial" w:hAnsi="Arial"/>
                <w:sz w:val="16"/>
                <w:szCs w:val="16"/>
                <w:color w:val="0000EE"/>
              </w:rPr>
            </w:pPr>
            <w:hyperlink w:anchor="page8">
              <w:r>
                <w:rPr>
                  <w:rFonts w:ascii="Arial" w:cs="Arial" w:eastAsia="Arial" w:hAnsi="Arial"/>
                  <w:sz w:val="16"/>
                  <w:szCs w:val="16"/>
                  <w:color w:val="0000EE"/>
                </w:rPr>
                <w:t>Notes to Condensed Consolidated Financial Statements</w:t>
              </w:r>
            </w:hyperlink>
          </w:p>
        </w:tc>
        <w:tc>
          <w:tcPr>
            <w:tcW w:w="2280" w:type="dxa"/>
            <w:vAlign w:val="bottom"/>
            <w:gridSpan w:val="3"/>
          </w:tcPr>
          <w:p>
            <w:pPr>
              <w:spacing w:after="0"/>
              <w:rPr>
                <w:sz w:val="24"/>
                <w:szCs w:val="24"/>
                <w:color w:val="auto"/>
              </w:rPr>
            </w:pPr>
          </w:p>
        </w:tc>
        <w:tc>
          <w:tcPr>
            <w:tcW w:w="960" w:type="dxa"/>
            <w:vAlign w:val="bottom"/>
          </w:tcPr>
          <w:p>
            <w:pPr>
              <w:jc w:val="center"/>
              <w:ind w:left="719"/>
              <w:spacing w:after="0"/>
              <w:rPr>
                <w:rFonts w:ascii="Arial" w:cs="Arial" w:eastAsia="Arial" w:hAnsi="Arial"/>
                <w:sz w:val="16"/>
                <w:szCs w:val="16"/>
                <w:color w:val="auto"/>
                <w:w w:val="89"/>
              </w:rPr>
            </w:pPr>
            <w:hyperlink w:anchor="page8">
              <w:r>
                <w:rPr>
                  <w:rFonts w:ascii="Arial" w:cs="Arial" w:eastAsia="Arial" w:hAnsi="Arial"/>
                  <w:sz w:val="16"/>
                  <w:szCs w:val="16"/>
                  <w:color w:val="auto"/>
                  <w:w w:val="89"/>
                </w:rPr>
                <w:t>5</w:t>
              </w:r>
            </w:hyperlink>
          </w:p>
        </w:tc>
        <w:tc>
          <w:tcPr>
            <w:tcW w:w="0" w:type="dxa"/>
            <w:vAlign w:val="bottom"/>
          </w:tcPr>
          <w:p>
            <w:pPr>
              <w:spacing w:after="0"/>
              <w:rPr>
                <w:sz w:val="1"/>
                <w:szCs w:val="1"/>
                <w:color w:val="auto"/>
              </w:rPr>
            </w:pPr>
          </w:p>
        </w:tc>
      </w:tr>
      <w:tr>
        <w:trPr>
          <w:trHeight w:val="20"/>
        </w:trPr>
        <w:tc>
          <w:tcPr>
            <w:tcW w:w="4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1500" w:type="dxa"/>
            <w:vAlign w:val="bottom"/>
            <w:gridSpan w:val="2"/>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3600" w:type="dxa"/>
            <w:vAlign w:val="bottom"/>
            <w:gridSpan w:val="5"/>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480" w:type="dxa"/>
            <w:vAlign w:val="bottom"/>
            <w:gridSpan w:val="2"/>
          </w:tcPr>
          <w:p>
            <w:pPr>
              <w:spacing w:after="0"/>
              <w:rPr>
                <w:rFonts w:ascii="Arial" w:cs="Arial" w:eastAsia="Arial" w:hAnsi="Arial"/>
                <w:sz w:val="16"/>
                <w:szCs w:val="16"/>
                <w:color w:val="0000EE"/>
                <w:w w:val="93"/>
              </w:rPr>
            </w:pPr>
            <w:hyperlink w:anchor="page18">
              <w:r>
                <w:rPr>
                  <w:rFonts w:ascii="Arial" w:cs="Arial" w:eastAsia="Arial" w:hAnsi="Arial"/>
                  <w:sz w:val="16"/>
                  <w:szCs w:val="16"/>
                  <w:color w:val="0000EE"/>
                  <w:w w:val="93"/>
                </w:rPr>
                <w:t>Item 2.</w:t>
              </w:r>
            </w:hyperlink>
          </w:p>
        </w:tc>
        <w:tc>
          <w:tcPr>
            <w:tcW w:w="320" w:type="dxa"/>
            <w:vAlign w:val="bottom"/>
            <w:gridSpan w:val="2"/>
          </w:tcPr>
          <w:p>
            <w:pPr>
              <w:spacing w:after="0"/>
              <w:rPr>
                <w:sz w:val="24"/>
                <w:szCs w:val="24"/>
                <w:color w:val="auto"/>
              </w:rPr>
            </w:pPr>
          </w:p>
        </w:tc>
        <w:tc>
          <w:tcPr>
            <w:tcW w:w="9420" w:type="dxa"/>
            <w:vAlign w:val="bottom"/>
            <w:gridSpan w:val="18"/>
          </w:tcPr>
          <w:p>
            <w:pPr>
              <w:spacing w:after="0"/>
              <w:rPr>
                <w:rFonts w:ascii="Arial" w:cs="Arial" w:eastAsia="Arial" w:hAnsi="Arial"/>
                <w:sz w:val="16"/>
                <w:szCs w:val="16"/>
                <w:color w:val="0000EE"/>
              </w:rPr>
            </w:pPr>
            <w:hyperlink w:anchor="page18">
              <w:r>
                <w:rPr>
                  <w:rFonts w:ascii="Arial" w:cs="Arial" w:eastAsia="Arial" w:hAnsi="Arial"/>
                  <w:sz w:val="16"/>
                  <w:szCs w:val="16"/>
                  <w:color w:val="0000EE"/>
                </w:rPr>
                <w:t>Management’s Discussion and Analysis of Financial Condition and Results of Operations</w:t>
              </w:r>
            </w:hyperlink>
          </w:p>
        </w:tc>
        <w:tc>
          <w:tcPr>
            <w:tcW w:w="960" w:type="dxa"/>
            <w:vAlign w:val="bottom"/>
          </w:tcPr>
          <w:p>
            <w:pPr>
              <w:jc w:val="center"/>
              <w:ind w:left="719"/>
              <w:spacing w:after="0"/>
              <w:rPr>
                <w:rFonts w:ascii="Arial" w:cs="Arial" w:eastAsia="Arial" w:hAnsi="Arial"/>
                <w:sz w:val="16"/>
                <w:szCs w:val="16"/>
                <w:color w:val="auto"/>
                <w:w w:val="89"/>
              </w:rPr>
            </w:pPr>
            <w:hyperlink w:anchor="page18">
              <w:r>
                <w:rPr>
                  <w:rFonts w:ascii="Arial" w:cs="Arial" w:eastAsia="Arial" w:hAnsi="Arial"/>
                  <w:sz w:val="16"/>
                  <w:szCs w:val="16"/>
                  <w:color w:val="auto"/>
                  <w:w w:val="89"/>
                </w:rPr>
                <w:t>15</w:t>
              </w:r>
            </w:hyperlink>
          </w:p>
        </w:tc>
        <w:tc>
          <w:tcPr>
            <w:tcW w:w="0" w:type="dxa"/>
            <w:vAlign w:val="bottom"/>
          </w:tcPr>
          <w:p>
            <w:pPr>
              <w:spacing w:after="0"/>
              <w:rPr>
                <w:sz w:val="1"/>
                <w:szCs w:val="1"/>
                <w:color w:val="auto"/>
              </w:rPr>
            </w:pPr>
          </w:p>
        </w:tc>
      </w:tr>
      <w:tr>
        <w:trPr>
          <w:trHeight w:val="358"/>
        </w:trPr>
        <w:tc>
          <w:tcPr>
            <w:tcW w:w="480" w:type="dxa"/>
            <w:vAlign w:val="bottom"/>
            <w:tcBorders>
              <w:top w:val="single" w:sz="8" w:color="0000EE"/>
              <w:bottom w:val="single" w:sz="8" w:color="0000EE"/>
            </w:tcBorders>
            <w:gridSpan w:val="2"/>
          </w:tcPr>
          <w:p>
            <w:pPr>
              <w:spacing w:after="0"/>
              <w:rPr>
                <w:rFonts w:ascii="Arial" w:cs="Arial" w:eastAsia="Arial" w:hAnsi="Arial"/>
                <w:sz w:val="16"/>
                <w:szCs w:val="16"/>
                <w:color w:val="0000EE"/>
                <w:w w:val="93"/>
              </w:rPr>
            </w:pPr>
            <w:hyperlink w:anchor="page32">
              <w:r>
                <w:rPr>
                  <w:rFonts w:ascii="Arial" w:cs="Arial" w:eastAsia="Arial" w:hAnsi="Arial"/>
                  <w:sz w:val="16"/>
                  <w:szCs w:val="16"/>
                  <w:color w:val="0000EE"/>
                  <w:w w:val="93"/>
                </w:rPr>
                <w:t>Item 3.</w:t>
              </w:r>
            </w:hyperlink>
          </w:p>
        </w:tc>
        <w:tc>
          <w:tcPr>
            <w:tcW w:w="320" w:type="dxa"/>
            <w:vAlign w:val="bottom"/>
            <w:gridSpan w:val="2"/>
          </w:tcPr>
          <w:p>
            <w:pPr>
              <w:spacing w:after="0"/>
              <w:rPr>
                <w:sz w:val="24"/>
                <w:szCs w:val="24"/>
                <w:color w:val="auto"/>
              </w:rPr>
            </w:pPr>
          </w:p>
        </w:tc>
        <w:tc>
          <w:tcPr>
            <w:tcW w:w="3940" w:type="dxa"/>
            <w:vAlign w:val="bottom"/>
            <w:tcBorders>
              <w:top w:val="single" w:sz="8" w:color="0000EE"/>
              <w:bottom w:val="single" w:sz="8" w:color="0000EE"/>
            </w:tcBorders>
            <w:gridSpan w:val="12"/>
          </w:tcPr>
          <w:p>
            <w:pPr>
              <w:spacing w:after="0"/>
              <w:rPr>
                <w:rFonts w:ascii="Arial" w:cs="Arial" w:eastAsia="Arial" w:hAnsi="Arial"/>
                <w:sz w:val="16"/>
                <w:szCs w:val="16"/>
                <w:color w:val="0000EE"/>
                <w:w w:val="93"/>
              </w:rPr>
            </w:pPr>
            <w:hyperlink w:anchor="page32">
              <w:r>
                <w:rPr>
                  <w:rFonts w:ascii="Arial" w:cs="Arial" w:eastAsia="Arial" w:hAnsi="Arial"/>
                  <w:sz w:val="16"/>
                  <w:szCs w:val="16"/>
                  <w:color w:val="0000EE"/>
                  <w:w w:val="93"/>
                </w:rPr>
                <w:t>Quantitative and Qualitative Disclosures About Market Risk</w:t>
              </w:r>
            </w:hyperlink>
          </w:p>
        </w:tc>
        <w:tc>
          <w:tcPr>
            <w:tcW w:w="1880" w:type="dxa"/>
            <w:vAlign w:val="bottom"/>
            <w:tcBorders>
              <w:top w:val="single" w:sz="8" w:color="0000EE"/>
            </w:tcBorders>
          </w:tcPr>
          <w:p>
            <w:pPr>
              <w:spacing w:after="0"/>
              <w:rPr>
                <w:sz w:val="24"/>
                <w:szCs w:val="24"/>
                <w:color w:val="auto"/>
              </w:rPr>
            </w:pPr>
          </w:p>
        </w:tc>
        <w:tc>
          <w:tcPr>
            <w:tcW w:w="3600" w:type="dxa"/>
            <w:vAlign w:val="bottom"/>
            <w:gridSpan w:val="5"/>
          </w:tcPr>
          <w:p>
            <w:pPr>
              <w:spacing w:after="0"/>
              <w:rPr>
                <w:sz w:val="24"/>
                <w:szCs w:val="24"/>
                <w:color w:val="auto"/>
              </w:rPr>
            </w:pPr>
          </w:p>
        </w:tc>
        <w:tc>
          <w:tcPr>
            <w:tcW w:w="960" w:type="dxa"/>
            <w:vAlign w:val="bottom"/>
          </w:tcPr>
          <w:p>
            <w:pPr>
              <w:jc w:val="center"/>
              <w:ind w:left="719"/>
              <w:spacing w:after="0"/>
              <w:rPr>
                <w:rFonts w:ascii="Arial" w:cs="Arial" w:eastAsia="Arial" w:hAnsi="Arial"/>
                <w:sz w:val="16"/>
                <w:szCs w:val="16"/>
                <w:color w:val="auto"/>
                <w:w w:val="89"/>
              </w:rPr>
            </w:pPr>
            <w:hyperlink w:anchor="page32">
              <w:r>
                <w:rPr>
                  <w:rFonts w:ascii="Arial" w:cs="Arial" w:eastAsia="Arial" w:hAnsi="Arial"/>
                  <w:sz w:val="16"/>
                  <w:szCs w:val="16"/>
                  <w:color w:val="auto"/>
                  <w:w w:val="89"/>
                </w:rPr>
                <w:t>29</w:t>
              </w:r>
            </w:hyperlink>
          </w:p>
        </w:tc>
        <w:tc>
          <w:tcPr>
            <w:tcW w:w="0" w:type="dxa"/>
            <w:vAlign w:val="bottom"/>
          </w:tcPr>
          <w:p>
            <w:pPr>
              <w:spacing w:after="0"/>
              <w:rPr>
                <w:sz w:val="1"/>
                <w:szCs w:val="1"/>
                <w:color w:val="auto"/>
              </w:rPr>
            </w:pPr>
          </w:p>
        </w:tc>
      </w:tr>
      <w:tr>
        <w:trPr>
          <w:trHeight w:val="358"/>
        </w:trPr>
        <w:tc>
          <w:tcPr>
            <w:tcW w:w="460" w:type="dxa"/>
            <w:vAlign w:val="bottom"/>
            <w:tcBorders>
              <w:bottom w:val="single" w:sz="8" w:color="0000EE"/>
            </w:tcBorders>
          </w:tcPr>
          <w:p>
            <w:pPr>
              <w:spacing w:after="0"/>
              <w:rPr>
                <w:rFonts w:ascii="Arial" w:cs="Arial" w:eastAsia="Arial" w:hAnsi="Arial"/>
                <w:sz w:val="16"/>
                <w:szCs w:val="16"/>
                <w:color w:val="0000EE"/>
                <w:w w:val="89"/>
              </w:rPr>
            </w:pPr>
            <w:hyperlink w:anchor="page32">
              <w:r>
                <w:rPr>
                  <w:rFonts w:ascii="Arial" w:cs="Arial" w:eastAsia="Arial" w:hAnsi="Arial"/>
                  <w:sz w:val="16"/>
                  <w:szCs w:val="16"/>
                  <w:color w:val="0000EE"/>
                  <w:w w:val="89"/>
                </w:rPr>
                <w:t>Item 4.</w:t>
              </w:r>
            </w:hyperlink>
          </w:p>
        </w:tc>
        <w:tc>
          <w:tcPr>
            <w:tcW w:w="340" w:type="dxa"/>
            <w:vAlign w:val="bottom"/>
            <w:gridSpan w:val="3"/>
          </w:tcPr>
          <w:p>
            <w:pPr>
              <w:spacing w:after="0"/>
              <w:rPr>
                <w:sz w:val="24"/>
                <w:szCs w:val="24"/>
                <w:color w:val="auto"/>
              </w:rPr>
            </w:pPr>
          </w:p>
        </w:tc>
        <w:tc>
          <w:tcPr>
            <w:tcW w:w="1600" w:type="dxa"/>
            <w:vAlign w:val="bottom"/>
            <w:tcBorders>
              <w:bottom w:val="single" w:sz="8" w:color="0000EE"/>
            </w:tcBorders>
            <w:gridSpan w:val="5"/>
          </w:tcPr>
          <w:p>
            <w:pPr>
              <w:spacing w:after="0"/>
              <w:rPr>
                <w:rFonts w:ascii="Arial" w:cs="Arial" w:eastAsia="Arial" w:hAnsi="Arial"/>
                <w:sz w:val="16"/>
                <w:szCs w:val="16"/>
                <w:color w:val="0000EE"/>
                <w:w w:val="89"/>
              </w:rPr>
            </w:pPr>
            <w:hyperlink w:anchor="page32">
              <w:r>
                <w:rPr>
                  <w:rFonts w:ascii="Arial" w:cs="Arial" w:eastAsia="Arial" w:hAnsi="Arial"/>
                  <w:sz w:val="16"/>
                  <w:szCs w:val="16"/>
                  <w:color w:val="0000EE"/>
                  <w:w w:val="89"/>
                </w:rPr>
                <w:t>Controls and Procedures</w:t>
              </w:r>
            </w:hyperlink>
          </w:p>
        </w:tc>
        <w:tc>
          <w:tcPr>
            <w:tcW w:w="7820" w:type="dxa"/>
            <w:vAlign w:val="bottom"/>
            <w:gridSpan w:val="13"/>
          </w:tcPr>
          <w:p>
            <w:pPr>
              <w:spacing w:after="0"/>
              <w:rPr>
                <w:sz w:val="24"/>
                <w:szCs w:val="24"/>
                <w:color w:val="auto"/>
              </w:rPr>
            </w:pPr>
          </w:p>
        </w:tc>
        <w:tc>
          <w:tcPr>
            <w:tcW w:w="960" w:type="dxa"/>
            <w:vAlign w:val="bottom"/>
          </w:tcPr>
          <w:p>
            <w:pPr>
              <w:jc w:val="center"/>
              <w:ind w:left="719"/>
              <w:spacing w:after="0"/>
              <w:rPr>
                <w:rFonts w:ascii="Arial" w:cs="Arial" w:eastAsia="Arial" w:hAnsi="Arial"/>
                <w:sz w:val="16"/>
                <w:szCs w:val="16"/>
                <w:color w:val="auto"/>
                <w:w w:val="89"/>
              </w:rPr>
            </w:pPr>
            <w:hyperlink w:anchor="page32">
              <w:r>
                <w:rPr>
                  <w:rFonts w:ascii="Arial" w:cs="Arial" w:eastAsia="Arial" w:hAnsi="Arial"/>
                  <w:sz w:val="16"/>
                  <w:szCs w:val="16"/>
                  <w:color w:val="auto"/>
                  <w:w w:val="89"/>
                </w:rPr>
                <w:t>29</w:t>
              </w:r>
            </w:hyperlink>
          </w:p>
        </w:tc>
        <w:tc>
          <w:tcPr>
            <w:tcW w:w="0" w:type="dxa"/>
            <w:vAlign w:val="bottom"/>
          </w:tcPr>
          <w:p>
            <w:pPr>
              <w:spacing w:after="0"/>
              <w:rPr>
                <w:sz w:val="1"/>
                <w:szCs w:val="1"/>
                <w:color w:val="auto"/>
              </w:rPr>
            </w:pPr>
          </w:p>
        </w:tc>
      </w:tr>
      <w:tr>
        <w:trPr>
          <w:trHeight w:val="372"/>
        </w:trPr>
        <w:tc>
          <w:tcPr>
            <w:tcW w:w="10220" w:type="dxa"/>
            <w:vAlign w:val="bottom"/>
            <w:gridSpan w:val="22"/>
          </w:tcPr>
          <w:p>
            <w:pPr>
              <w:spacing w:after="0"/>
              <w:rPr>
                <w:rFonts w:ascii="Arial" w:cs="Arial" w:eastAsia="Arial" w:hAnsi="Arial"/>
                <w:sz w:val="16"/>
                <w:szCs w:val="16"/>
                <w:b w:val="1"/>
                <w:bCs w:val="1"/>
                <w:color w:val="0000EE"/>
              </w:rPr>
            </w:pPr>
            <w:hyperlink w:anchor="page33">
              <w:r>
                <w:rPr>
                  <w:rFonts w:ascii="Arial" w:cs="Arial" w:eastAsia="Arial" w:hAnsi="Arial"/>
                  <w:sz w:val="16"/>
                  <w:szCs w:val="16"/>
                  <w:b w:val="1"/>
                  <w:bCs w:val="1"/>
                  <w:color w:val="0000EE"/>
                </w:rPr>
                <w:t>PART II. OTHER INFORMATION</w:t>
              </w:r>
            </w:hyperlink>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480" w:type="dxa"/>
            <w:vAlign w:val="bottom"/>
            <w:tcBorders>
              <w:top w:val="single" w:sz="8" w:color="0000EE"/>
            </w:tcBorders>
            <w:gridSpan w:val="2"/>
          </w:tcPr>
          <w:p>
            <w:pPr>
              <w:spacing w:after="0"/>
              <w:rPr>
                <w:rFonts w:ascii="Arial" w:cs="Arial" w:eastAsia="Arial" w:hAnsi="Arial"/>
                <w:sz w:val="16"/>
                <w:szCs w:val="16"/>
                <w:color w:val="0000EE"/>
                <w:w w:val="93"/>
              </w:rPr>
            </w:pPr>
            <w:hyperlink w:anchor="page33">
              <w:r>
                <w:rPr>
                  <w:rFonts w:ascii="Arial" w:cs="Arial" w:eastAsia="Arial" w:hAnsi="Arial"/>
                  <w:sz w:val="16"/>
                  <w:szCs w:val="16"/>
                  <w:color w:val="0000EE"/>
                  <w:w w:val="93"/>
                </w:rPr>
                <w:t>Item 1.</w:t>
              </w:r>
            </w:hyperlink>
          </w:p>
        </w:tc>
        <w:tc>
          <w:tcPr>
            <w:tcW w:w="320" w:type="dxa"/>
            <w:vAlign w:val="bottom"/>
            <w:tcBorders>
              <w:top w:val="single" w:sz="8" w:color="0000EE"/>
            </w:tcBorders>
            <w:gridSpan w:val="2"/>
          </w:tcPr>
          <w:p>
            <w:pPr>
              <w:spacing w:after="0"/>
              <w:rPr>
                <w:sz w:val="24"/>
                <w:szCs w:val="24"/>
                <w:color w:val="auto"/>
              </w:rPr>
            </w:pPr>
          </w:p>
        </w:tc>
        <w:tc>
          <w:tcPr>
            <w:tcW w:w="1680" w:type="dxa"/>
            <w:vAlign w:val="bottom"/>
            <w:tcBorders>
              <w:top w:val="single" w:sz="8" w:color="0000EE"/>
            </w:tcBorders>
            <w:gridSpan w:val="6"/>
          </w:tcPr>
          <w:p>
            <w:pPr>
              <w:spacing w:after="0"/>
              <w:rPr>
                <w:rFonts w:ascii="Arial" w:cs="Arial" w:eastAsia="Arial" w:hAnsi="Arial"/>
                <w:sz w:val="16"/>
                <w:szCs w:val="16"/>
                <w:color w:val="0000EE"/>
              </w:rPr>
            </w:pPr>
            <w:hyperlink w:anchor="page33">
              <w:r>
                <w:rPr>
                  <w:rFonts w:ascii="Arial" w:cs="Arial" w:eastAsia="Arial" w:hAnsi="Arial"/>
                  <w:sz w:val="16"/>
                  <w:szCs w:val="16"/>
                  <w:color w:val="0000EE"/>
                </w:rPr>
                <w:t>Legal Proceedings</w:t>
              </w:r>
            </w:hyperlink>
          </w:p>
        </w:tc>
        <w:tc>
          <w:tcPr>
            <w:tcW w:w="7740" w:type="dxa"/>
            <w:vAlign w:val="bottom"/>
            <w:gridSpan w:val="12"/>
          </w:tcPr>
          <w:p>
            <w:pPr>
              <w:spacing w:after="0"/>
              <w:rPr>
                <w:sz w:val="24"/>
                <w:szCs w:val="24"/>
                <w:color w:val="auto"/>
              </w:rPr>
            </w:pPr>
          </w:p>
        </w:tc>
        <w:tc>
          <w:tcPr>
            <w:tcW w:w="960" w:type="dxa"/>
            <w:vAlign w:val="bottom"/>
          </w:tcPr>
          <w:p>
            <w:pPr>
              <w:jc w:val="center"/>
              <w:ind w:left="719"/>
              <w:spacing w:after="0"/>
              <w:rPr>
                <w:rFonts w:ascii="Arial" w:cs="Arial" w:eastAsia="Arial" w:hAnsi="Arial"/>
                <w:sz w:val="16"/>
                <w:szCs w:val="16"/>
                <w:color w:val="auto"/>
                <w:w w:val="89"/>
              </w:rPr>
            </w:pPr>
            <w:hyperlink w:anchor="page33">
              <w:r>
                <w:rPr>
                  <w:rFonts w:ascii="Arial" w:cs="Arial" w:eastAsia="Arial" w:hAnsi="Arial"/>
                  <w:sz w:val="16"/>
                  <w:szCs w:val="16"/>
                  <w:color w:val="auto"/>
                  <w:w w:val="89"/>
                </w:rPr>
                <w:t>30</w:t>
              </w:r>
            </w:hyperlink>
          </w:p>
        </w:tc>
        <w:tc>
          <w:tcPr>
            <w:tcW w:w="0" w:type="dxa"/>
            <w:vAlign w:val="bottom"/>
          </w:tcPr>
          <w:p>
            <w:pPr>
              <w:spacing w:after="0"/>
              <w:rPr>
                <w:sz w:val="1"/>
                <w:szCs w:val="1"/>
                <w:color w:val="auto"/>
              </w:rPr>
            </w:pPr>
          </w:p>
        </w:tc>
      </w:tr>
      <w:tr>
        <w:trPr>
          <w:trHeight w:val="20"/>
        </w:trPr>
        <w:tc>
          <w:tcPr>
            <w:tcW w:w="48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380" w:type="dxa"/>
            <w:vAlign w:val="bottom"/>
            <w:tcBorders>
              <w:right w:val="single" w:sz="8" w:color="0000EE"/>
            </w:tcBorders>
            <w:shd w:val="clear" w:color="auto" w:fill="0000EE"/>
          </w:tcPr>
          <w:p>
            <w:pPr>
              <w:spacing w:after="0" w:line="20" w:lineRule="exact"/>
              <w:rPr>
                <w:sz w:val="1"/>
                <w:szCs w:val="1"/>
                <w:color w:val="auto"/>
              </w:rPr>
            </w:pPr>
          </w:p>
        </w:tc>
        <w:tc>
          <w:tcPr>
            <w:tcW w:w="900" w:type="dxa"/>
            <w:vAlign w:val="bottom"/>
            <w:gridSpan w:val="4"/>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5500" w:type="dxa"/>
            <w:vAlign w:val="bottom"/>
            <w:gridSpan w:val="7"/>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580" w:type="dxa"/>
            <w:vAlign w:val="bottom"/>
            <w:gridSpan w:val="3"/>
          </w:tcPr>
          <w:p>
            <w:pPr>
              <w:spacing w:after="0"/>
              <w:rPr>
                <w:rFonts w:ascii="Arial" w:cs="Arial" w:eastAsia="Arial" w:hAnsi="Arial"/>
                <w:sz w:val="16"/>
                <w:szCs w:val="16"/>
                <w:color w:val="0000EE"/>
                <w:w w:val="93"/>
              </w:rPr>
            </w:pPr>
            <w:hyperlink w:anchor="page33">
              <w:r>
                <w:rPr>
                  <w:rFonts w:ascii="Arial" w:cs="Arial" w:eastAsia="Arial" w:hAnsi="Arial"/>
                  <w:sz w:val="16"/>
                  <w:szCs w:val="16"/>
                  <w:color w:val="0000EE"/>
                  <w:w w:val="93"/>
                </w:rPr>
                <w:t>Item 1A.</w:t>
              </w:r>
            </w:hyperlink>
          </w:p>
        </w:tc>
        <w:tc>
          <w:tcPr>
            <w:tcW w:w="220" w:type="dxa"/>
            <w:vAlign w:val="bottom"/>
          </w:tcPr>
          <w:p>
            <w:pPr>
              <w:spacing w:after="0"/>
              <w:rPr>
                <w:sz w:val="24"/>
                <w:szCs w:val="24"/>
                <w:color w:val="auto"/>
              </w:rPr>
            </w:pPr>
          </w:p>
        </w:tc>
        <w:tc>
          <w:tcPr>
            <w:tcW w:w="9420" w:type="dxa"/>
            <w:vAlign w:val="bottom"/>
            <w:gridSpan w:val="18"/>
          </w:tcPr>
          <w:p>
            <w:pPr>
              <w:spacing w:after="0"/>
              <w:rPr>
                <w:rFonts w:ascii="Arial" w:cs="Arial" w:eastAsia="Arial" w:hAnsi="Arial"/>
                <w:sz w:val="16"/>
                <w:szCs w:val="16"/>
                <w:color w:val="0000EE"/>
              </w:rPr>
            </w:pPr>
            <w:hyperlink w:anchor="page33">
              <w:r>
                <w:rPr>
                  <w:rFonts w:ascii="Arial" w:cs="Arial" w:eastAsia="Arial" w:hAnsi="Arial"/>
                  <w:sz w:val="16"/>
                  <w:szCs w:val="16"/>
                  <w:color w:val="0000EE"/>
                </w:rPr>
                <w:t>Risk Factors</w:t>
              </w:r>
            </w:hyperlink>
          </w:p>
        </w:tc>
        <w:tc>
          <w:tcPr>
            <w:tcW w:w="960" w:type="dxa"/>
            <w:vAlign w:val="bottom"/>
          </w:tcPr>
          <w:p>
            <w:pPr>
              <w:jc w:val="center"/>
              <w:ind w:left="719"/>
              <w:spacing w:after="0"/>
              <w:rPr>
                <w:rFonts w:ascii="Arial" w:cs="Arial" w:eastAsia="Arial" w:hAnsi="Arial"/>
                <w:sz w:val="16"/>
                <w:szCs w:val="16"/>
                <w:color w:val="auto"/>
                <w:w w:val="89"/>
              </w:rPr>
            </w:pPr>
            <w:hyperlink w:anchor="page33">
              <w:r>
                <w:rPr>
                  <w:rFonts w:ascii="Arial" w:cs="Arial" w:eastAsia="Arial" w:hAnsi="Arial"/>
                  <w:sz w:val="16"/>
                  <w:szCs w:val="16"/>
                  <w:color w:val="auto"/>
                  <w:w w:val="89"/>
                </w:rPr>
                <w:t>30</w:t>
              </w:r>
            </w:hyperlink>
          </w:p>
        </w:tc>
        <w:tc>
          <w:tcPr>
            <w:tcW w:w="0" w:type="dxa"/>
            <w:vAlign w:val="bottom"/>
          </w:tcPr>
          <w:p>
            <w:pPr>
              <w:spacing w:after="0"/>
              <w:rPr>
                <w:sz w:val="1"/>
                <w:szCs w:val="1"/>
                <w:color w:val="auto"/>
              </w:rPr>
            </w:pPr>
          </w:p>
        </w:tc>
      </w:tr>
      <w:tr>
        <w:trPr>
          <w:trHeight w:val="20"/>
        </w:trPr>
        <w:tc>
          <w:tcPr>
            <w:tcW w:w="580" w:type="dxa"/>
            <w:vAlign w:val="bottom"/>
            <w:gridSpan w:val="3"/>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00" w:type="dxa"/>
            <w:vAlign w:val="bottom"/>
            <w:gridSpan w:val="4"/>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5500" w:type="dxa"/>
            <w:vAlign w:val="bottom"/>
            <w:gridSpan w:val="7"/>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480" w:type="dxa"/>
            <w:vAlign w:val="bottom"/>
            <w:gridSpan w:val="2"/>
          </w:tcPr>
          <w:p>
            <w:pPr>
              <w:spacing w:after="0"/>
              <w:rPr>
                <w:rFonts w:ascii="Arial" w:cs="Arial" w:eastAsia="Arial" w:hAnsi="Arial"/>
                <w:sz w:val="16"/>
                <w:szCs w:val="16"/>
                <w:color w:val="0000EE"/>
                <w:w w:val="93"/>
              </w:rPr>
            </w:pPr>
            <w:hyperlink w:anchor="page35">
              <w:r>
                <w:rPr>
                  <w:rFonts w:ascii="Arial" w:cs="Arial" w:eastAsia="Arial" w:hAnsi="Arial"/>
                  <w:sz w:val="16"/>
                  <w:szCs w:val="16"/>
                  <w:color w:val="0000EE"/>
                  <w:w w:val="93"/>
                </w:rPr>
                <w:t>Item 2.</w:t>
              </w:r>
            </w:hyperlink>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20" w:type="dxa"/>
            <w:vAlign w:val="bottom"/>
            <w:gridSpan w:val="18"/>
          </w:tcPr>
          <w:p>
            <w:pPr>
              <w:spacing w:after="0"/>
              <w:rPr>
                <w:rFonts w:ascii="Arial" w:cs="Arial" w:eastAsia="Arial" w:hAnsi="Arial"/>
                <w:sz w:val="16"/>
                <w:szCs w:val="16"/>
                <w:color w:val="0000EE"/>
              </w:rPr>
            </w:pPr>
            <w:hyperlink w:anchor="page35">
              <w:r>
                <w:rPr>
                  <w:rFonts w:ascii="Arial" w:cs="Arial" w:eastAsia="Arial" w:hAnsi="Arial"/>
                  <w:sz w:val="16"/>
                  <w:szCs w:val="16"/>
                  <w:color w:val="0000EE"/>
                </w:rPr>
                <w:t>Unregistered Sales of Equity Securities and Use of Proceeds</w:t>
              </w:r>
            </w:hyperlink>
          </w:p>
        </w:tc>
        <w:tc>
          <w:tcPr>
            <w:tcW w:w="960" w:type="dxa"/>
            <w:vAlign w:val="bottom"/>
          </w:tcPr>
          <w:p>
            <w:pPr>
              <w:jc w:val="center"/>
              <w:ind w:left="719"/>
              <w:spacing w:after="0"/>
              <w:rPr>
                <w:rFonts w:ascii="Arial" w:cs="Arial" w:eastAsia="Arial" w:hAnsi="Arial"/>
                <w:sz w:val="16"/>
                <w:szCs w:val="16"/>
                <w:color w:val="auto"/>
                <w:w w:val="89"/>
              </w:rPr>
            </w:pPr>
            <w:hyperlink w:anchor="page35">
              <w:r>
                <w:rPr>
                  <w:rFonts w:ascii="Arial" w:cs="Arial" w:eastAsia="Arial" w:hAnsi="Arial"/>
                  <w:sz w:val="16"/>
                  <w:szCs w:val="16"/>
                  <w:color w:val="auto"/>
                  <w:w w:val="89"/>
                </w:rPr>
                <w:t>32</w:t>
              </w:r>
            </w:hyperlink>
          </w:p>
        </w:tc>
        <w:tc>
          <w:tcPr>
            <w:tcW w:w="0" w:type="dxa"/>
            <w:vAlign w:val="bottom"/>
          </w:tcPr>
          <w:p>
            <w:pPr>
              <w:spacing w:after="0"/>
              <w:rPr>
                <w:sz w:val="1"/>
                <w:szCs w:val="1"/>
                <w:color w:val="auto"/>
              </w:rPr>
            </w:pPr>
          </w:p>
        </w:tc>
      </w:tr>
      <w:tr>
        <w:trPr>
          <w:trHeight w:val="358"/>
        </w:trPr>
        <w:tc>
          <w:tcPr>
            <w:tcW w:w="480" w:type="dxa"/>
            <w:vAlign w:val="bottom"/>
            <w:tcBorders>
              <w:top w:val="single" w:sz="8" w:color="0000EE"/>
              <w:bottom w:val="single" w:sz="8" w:color="0000EE"/>
            </w:tcBorders>
            <w:gridSpan w:val="2"/>
          </w:tcPr>
          <w:p>
            <w:pPr>
              <w:spacing w:after="0"/>
              <w:rPr>
                <w:rFonts w:ascii="Arial" w:cs="Arial" w:eastAsia="Arial" w:hAnsi="Arial"/>
                <w:sz w:val="16"/>
                <w:szCs w:val="16"/>
                <w:color w:val="0000EE"/>
                <w:w w:val="93"/>
              </w:rPr>
            </w:pPr>
            <w:hyperlink w:anchor="page35">
              <w:r>
                <w:rPr>
                  <w:rFonts w:ascii="Arial" w:cs="Arial" w:eastAsia="Arial" w:hAnsi="Arial"/>
                  <w:sz w:val="16"/>
                  <w:szCs w:val="16"/>
                  <w:color w:val="0000EE"/>
                  <w:w w:val="93"/>
                </w:rPr>
                <w:t>Item 3.</w:t>
              </w:r>
            </w:hyperlink>
          </w:p>
        </w:tc>
        <w:tc>
          <w:tcPr>
            <w:tcW w:w="320" w:type="dxa"/>
            <w:vAlign w:val="bottom"/>
            <w:gridSpan w:val="2"/>
          </w:tcPr>
          <w:p>
            <w:pPr>
              <w:spacing w:after="0"/>
              <w:rPr>
                <w:sz w:val="24"/>
                <w:szCs w:val="24"/>
                <w:color w:val="auto"/>
              </w:rPr>
            </w:pPr>
          </w:p>
        </w:tc>
        <w:tc>
          <w:tcPr>
            <w:tcW w:w="2100" w:type="dxa"/>
            <w:vAlign w:val="bottom"/>
            <w:tcBorders>
              <w:top w:val="single" w:sz="8" w:color="0000EE"/>
              <w:bottom w:val="single" w:sz="8" w:color="0000EE"/>
            </w:tcBorders>
            <w:gridSpan w:val="8"/>
          </w:tcPr>
          <w:p>
            <w:pPr>
              <w:spacing w:after="0"/>
              <w:rPr>
                <w:rFonts w:ascii="Arial" w:cs="Arial" w:eastAsia="Arial" w:hAnsi="Arial"/>
                <w:sz w:val="16"/>
                <w:szCs w:val="16"/>
                <w:color w:val="0000EE"/>
                <w:w w:val="91"/>
              </w:rPr>
            </w:pPr>
            <w:hyperlink w:anchor="page35">
              <w:r>
                <w:rPr>
                  <w:rFonts w:ascii="Arial" w:cs="Arial" w:eastAsia="Arial" w:hAnsi="Arial"/>
                  <w:sz w:val="16"/>
                  <w:szCs w:val="16"/>
                  <w:color w:val="0000EE"/>
                  <w:w w:val="91"/>
                </w:rPr>
                <w:t>Defaults Upon Senior Securities</w:t>
              </w:r>
            </w:hyperlink>
          </w:p>
        </w:tc>
        <w:tc>
          <w:tcPr>
            <w:tcW w:w="1820" w:type="dxa"/>
            <w:vAlign w:val="bottom"/>
            <w:tcBorders>
              <w:top w:val="single" w:sz="8" w:color="0000EE"/>
            </w:tcBorders>
            <w:gridSpan w:val="3"/>
          </w:tcPr>
          <w:p>
            <w:pPr>
              <w:spacing w:after="0"/>
              <w:rPr>
                <w:sz w:val="24"/>
                <w:szCs w:val="24"/>
                <w:color w:val="auto"/>
              </w:rPr>
            </w:pPr>
          </w:p>
        </w:tc>
        <w:tc>
          <w:tcPr>
            <w:tcW w:w="5500" w:type="dxa"/>
            <w:vAlign w:val="bottom"/>
            <w:gridSpan w:val="7"/>
          </w:tcPr>
          <w:p>
            <w:pPr>
              <w:spacing w:after="0"/>
              <w:rPr>
                <w:sz w:val="24"/>
                <w:szCs w:val="24"/>
                <w:color w:val="auto"/>
              </w:rPr>
            </w:pPr>
          </w:p>
        </w:tc>
        <w:tc>
          <w:tcPr>
            <w:tcW w:w="960" w:type="dxa"/>
            <w:vAlign w:val="bottom"/>
          </w:tcPr>
          <w:p>
            <w:pPr>
              <w:jc w:val="center"/>
              <w:ind w:left="719"/>
              <w:spacing w:after="0"/>
              <w:rPr>
                <w:rFonts w:ascii="Arial" w:cs="Arial" w:eastAsia="Arial" w:hAnsi="Arial"/>
                <w:sz w:val="16"/>
                <w:szCs w:val="16"/>
                <w:color w:val="auto"/>
                <w:w w:val="89"/>
              </w:rPr>
            </w:pPr>
            <w:hyperlink w:anchor="page35">
              <w:r>
                <w:rPr>
                  <w:rFonts w:ascii="Arial" w:cs="Arial" w:eastAsia="Arial" w:hAnsi="Arial"/>
                  <w:sz w:val="16"/>
                  <w:szCs w:val="16"/>
                  <w:color w:val="auto"/>
                  <w:w w:val="89"/>
                </w:rPr>
                <w:t>32</w:t>
              </w:r>
            </w:hyperlink>
          </w:p>
        </w:tc>
        <w:tc>
          <w:tcPr>
            <w:tcW w:w="0" w:type="dxa"/>
            <w:vAlign w:val="bottom"/>
          </w:tcPr>
          <w:p>
            <w:pPr>
              <w:spacing w:after="0"/>
              <w:rPr>
                <w:sz w:val="1"/>
                <w:szCs w:val="1"/>
                <w:color w:val="auto"/>
              </w:rPr>
            </w:pPr>
          </w:p>
        </w:tc>
      </w:tr>
      <w:tr>
        <w:trPr>
          <w:trHeight w:val="358"/>
        </w:trPr>
        <w:tc>
          <w:tcPr>
            <w:tcW w:w="480" w:type="dxa"/>
            <w:vAlign w:val="bottom"/>
            <w:tcBorders>
              <w:bottom w:val="single" w:sz="8" w:color="0000EE"/>
            </w:tcBorders>
            <w:gridSpan w:val="2"/>
          </w:tcPr>
          <w:p>
            <w:pPr>
              <w:spacing w:after="0"/>
              <w:rPr>
                <w:rFonts w:ascii="Arial" w:cs="Arial" w:eastAsia="Arial" w:hAnsi="Arial"/>
                <w:sz w:val="16"/>
                <w:szCs w:val="16"/>
                <w:color w:val="0000EE"/>
                <w:w w:val="93"/>
              </w:rPr>
            </w:pPr>
            <w:hyperlink w:anchor="page35">
              <w:r>
                <w:rPr>
                  <w:rFonts w:ascii="Arial" w:cs="Arial" w:eastAsia="Arial" w:hAnsi="Arial"/>
                  <w:sz w:val="16"/>
                  <w:szCs w:val="16"/>
                  <w:color w:val="0000EE"/>
                  <w:w w:val="93"/>
                </w:rPr>
                <w:t>Item 4.</w:t>
              </w:r>
            </w:hyperlink>
          </w:p>
        </w:tc>
        <w:tc>
          <w:tcPr>
            <w:tcW w:w="320" w:type="dxa"/>
            <w:vAlign w:val="bottom"/>
            <w:gridSpan w:val="2"/>
          </w:tcPr>
          <w:p>
            <w:pPr>
              <w:spacing w:after="0"/>
              <w:rPr>
                <w:sz w:val="24"/>
                <w:szCs w:val="24"/>
                <w:color w:val="auto"/>
              </w:rPr>
            </w:pPr>
          </w:p>
        </w:tc>
        <w:tc>
          <w:tcPr>
            <w:tcW w:w="1600" w:type="dxa"/>
            <w:vAlign w:val="bottom"/>
            <w:tcBorders>
              <w:bottom w:val="single" w:sz="8" w:color="0000EE"/>
            </w:tcBorders>
            <w:gridSpan w:val="5"/>
          </w:tcPr>
          <w:p>
            <w:pPr>
              <w:spacing w:after="0"/>
              <w:rPr>
                <w:rFonts w:ascii="Arial" w:cs="Arial" w:eastAsia="Arial" w:hAnsi="Arial"/>
                <w:sz w:val="16"/>
                <w:szCs w:val="16"/>
                <w:color w:val="0000EE"/>
                <w:w w:val="92"/>
              </w:rPr>
            </w:pPr>
            <w:hyperlink w:anchor="page35">
              <w:r>
                <w:rPr>
                  <w:rFonts w:ascii="Arial" w:cs="Arial" w:eastAsia="Arial" w:hAnsi="Arial"/>
                  <w:sz w:val="16"/>
                  <w:szCs w:val="16"/>
                  <w:color w:val="0000EE"/>
                  <w:w w:val="92"/>
                </w:rPr>
                <w:t>Mine Safety Disclosures</w:t>
              </w:r>
            </w:hyperlink>
          </w:p>
        </w:tc>
        <w:tc>
          <w:tcPr>
            <w:tcW w:w="7820" w:type="dxa"/>
            <w:vAlign w:val="bottom"/>
            <w:gridSpan w:val="13"/>
          </w:tcPr>
          <w:p>
            <w:pPr>
              <w:spacing w:after="0"/>
              <w:rPr>
                <w:sz w:val="24"/>
                <w:szCs w:val="24"/>
                <w:color w:val="auto"/>
              </w:rPr>
            </w:pPr>
          </w:p>
        </w:tc>
        <w:tc>
          <w:tcPr>
            <w:tcW w:w="960" w:type="dxa"/>
            <w:vAlign w:val="bottom"/>
          </w:tcPr>
          <w:p>
            <w:pPr>
              <w:jc w:val="center"/>
              <w:ind w:left="719"/>
              <w:spacing w:after="0"/>
              <w:rPr>
                <w:rFonts w:ascii="Arial" w:cs="Arial" w:eastAsia="Arial" w:hAnsi="Arial"/>
                <w:sz w:val="16"/>
                <w:szCs w:val="16"/>
                <w:color w:val="auto"/>
                <w:w w:val="89"/>
              </w:rPr>
            </w:pPr>
            <w:hyperlink w:anchor="page35">
              <w:r>
                <w:rPr>
                  <w:rFonts w:ascii="Arial" w:cs="Arial" w:eastAsia="Arial" w:hAnsi="Arial"/>
                  <w:sz w:val="16"/>
                  <w:szCs w:val="16"/>
                  <w:color w:val="auto"/>
                  <w:w w:val="89"/>
                </w:rPr>
                <w:t>32</w:t>
              </w:r>
            </w:hyperlink>
          </w:p>
        </w:tc>
        <w:tc>
          <w:tcPr>
            <w:tcW w:w="0" w:type="dxa"/>
            <w:vAlign w:val="bottom"/>
          </w:tcPr>
          <w:p>
            <w:pPr>
              <w:spacing w:after="0"/>
              <w:rPr>
                <w:sz w:val="1"/>
                <w:szCs w:val="1"/>
                <w:color w:val="auto"/>
              </w:rPr>
            </w:pPr>
          </w:p>
        </w:tc>
      </w:tr>
      <w:tr>
        <w:trPr>
          <w:trHeight w:val="358"/>
        </w:trPr>
        <w:tc>
          <w:tcPr>
            <w:tcW w:w="480" w:type="dxa"/>
            <w:vAlign w:val="bottom"/>
            <w:gridSpan w:val="2"/>
          </w:tcPr>
          <w:p>
            <w:pPr>
              <w:spacing w:after="0"/>
              <w:rPr>
                <w:rFonts w:ascii="Arial" w:cs="Arial" w:eastAsia="Arial" w:hAnsi="Arial"/>
                <w:sz w:val="16"/>
                <w:szCs w:val="16"/>
                <w:color w:val="0000EE"/>
                <w:w w:val="93"/>
              </w:rPr>
            </w:pPr>
            <w:hyperlink w:anchor="page35">
              <w:r>
                <w:rPr>
                  <w:rFonts w:ascii="Arial" w:cs="Arial" w:eastAsia="Arial" w:hAnsi="Arial"/>
                  <w:sz w:val="16"/>
                  <w:szCs w:val="16"/>
                  <w:color w:val="0000EE"/>
                  <w:w w:val="93"/>
                </w:rPr>
                <w:t>Item 5.</w:t>
              </w:r>
            </w:hyperlink>
          </w:p>
        </w:tc>
        <w:tc>
          <w:tcPr>
            <w:tcW w:w="320" w:type="dxa"/>
            <w:vAlign w:val="bottom"/>
            <w:gridSpan w:val="2"/>
          </w:tcPr>
          <w:p>
            <w:pPr>
              <w:spacing w:after="0"/>
              <w:rPr>
                <w:sz w:val="24"/>
                <w:szCs w:val="24"/>
                <w:color w:val="auto"/>
              </w:rPr>
            </w:pPr>
          </w:p>
        </w:tc>
        <w:tc>
          <w:tcPr>
            <w:tcW w:w="9420" w:type="dxa"/>
            <w:vAlign w:val="bottom"/>
            <w:gridSpan w:val="18"/>
          </w:tcPr>
          <w:p>
            <w:pPr>
              <w:spacing w:after="0"/>
              <w:rPr>
                <w:rFonts w:ascii="Arial" w:cs="Arial" w:eastAsia="Arial" w:hAnsi="Arial"/>
                <w:sz w:val="16"/>
                <w:szCs w:val="16"/>
                <w:color w:val="0000EE"/>
              </w:rPr>
            </w:pPr>
            <w:hyperlink w:anchor="page35">
              <w:r>
                <w:rPr>
                  <w:rFonts w:ascii="Arial" w:cs="Arial" w:eastAsia="Arial" w:hAnsi="Arial"/>
                  <w:sz w:val="16"/>
                  <w:szCs w:val="16"/>
                  <w:color w:val="0000EE"/>
                </w:rPr>
                <w:t>Other Information</w:t>
              </w:r>
            </w:hyperlink>
          </w:p>
        </w:tc>
        <w:tc>
          <w:tcPr>
            <w:tcW w:w="960" w:type="dxa"/>
            <w:vAlign w:val="bottom"/>
          </w:tcPr>
          <w:p>
            <w:pPr>
              <w:jc w:val="center"/>
              <w:ind w:left="719"/>
              <w:spacing w:after="0"/>
              <w:rPr>
                <w:rFonts w:ascii="Arial" w:cs="Arial" w:eastAsia="Arial" w:hAnsi="Arial"/>
                <w:sz w:val="16"/>
                <w:szCs w:val="16"/>
                <w:color w:val="auto"/>
                <w:w w:val="89"/>
              </w:rPr>
            </w:pPr>
            <w:hyperlink w:anchor="page35">
              <w:r>
                <w:rPr>
                  <w:rFonts w:ascii="Arial" w:cs="Arial" w:eastAsia="Arial" w:hAnsi="Arial"/>
                  <w:sz w:val="16"/>
                  <w:szCs w:val="16"/>
                  <w:color w:val="auto"/>
                  <w:w w:val="89"/>
                </w:rPr>
                <w:t>32</w:t>
              </w:r>
            </w:hyperlink>
          </w:p>
        </w:tc>
        <w:tc>
          <w:tcPr>
            <w:tcW w:w="0" w:type="dxa"/>
            <w:vAlign w:val="bottom"/>
          </w:tcPr>
          <w:p>
            <w:pPr>
              <w:spacing w:after="0"/>
              <w:rPr>
                <w:sz w:val="1"/>
                <w:szCs w:val="1"/>
                <w:color w:val="auto"/>
              </w:rPr>
            </w:pPr>
          </w:p>
        </w:tc>
      </w:tr>
      <w:tr>
        <w:trPr>
          <w:trHeight w:val="358"/>
        </w:trPr>
        <w:tc>
          <w:tcPr>
            <w:tcW w:w="480" w:type="dxa"/>
            <w:vAlign w:val="bottom"/>
            <w:tcBorders>
              <w:top w:val="single" w:sz="8" w:color="0000EE"/>
            </w:tcBorders>
            <w:gridSpan w:val="2"/>
          </w:tcPr>
          <w:p>
            <w:pPr>
              <w:spacing w:after="0"/>
              <w:rPr>
                <w:rFonts w:ascii="Arial" w:cs="Arial" w:eastAsia="Arial" w:hAnsi="Arial"/>
                <w:sz w:val="16"/>
                <w:szCs w:val="16"/>
                <w:color w:val="0000EE"/>
                <w:w w:val="93"/>
              </w:rPr>
            </w:pPr>
            <w:hyperlink w:anchor="page36">
              <w:r>
                <w:rPr>
                  <w:rFonts w:ascii="Arial" w:cs="Arial" w:eastAsia="Arial" w:hAnsi="Arial"/>
                  <w:sz w:val="16"/>
                  <w:szCs w:val="16"/>
                  <w:color w:val="0000EE"/>
                  <w:w w:val="93"/>
                </w:rPr>
                <w:t>Item 6.</w:t>
              </w:r>
            </w:hyperlink>
          </w:p>
        </w:tc>
        <w:tc>
          <w:tcPr>
            <w:tcW w:w="320" w:type="dxa"/>
            <w:vAlign w:val="bottom"/>
            <w:gridSpan w:val="2"/>
          </w:tcPr>
          <w:p>
            <w:pPr>
              <w:spacing w:after="0"/>
              <w:rPr>
                <w:sz w:val="24"/>
                <w:szCs w:val="24"/>
                <w:color w:val="auto"/>
              </w:rPr>
            </w:pPr>
          </w:p>
        </w:tc>
        <w:tc>
          <w:tcPr>
            <w:tcW w:w="1200" w:type="dxa"/>
            <w:vAlign w:val="bottom"/>
            <w:tcBorders>
              <w:top w:val="single" w:sz="8" w:color="0000EE"/>
            </w:tcBorders>
            <w:gridSpan w:val="4"/>
          </w:tcPr>
          <w:p>
            <w:pPr>
              <w:spacing w:after="0"/>
              <w:rPr>
                <w:rFonts w:ascii="Arial" w:cs="Arial" w:eastAsia="Arial" w:hAnsi="Arial"/>
                <w:sz w:val="16"/>
                <w:szCs w:val="16"/>
                <w:color w:val="0000EE"/>
              </w:rPr>
            </w:pPr>
            <w:hyperlink w:anchor="page36">
              <w:r>
                <w:rPr>
                  <w:rFonts w:ascii="Arial" w:cs="Arial" w:eastAsia="Arial" w:hAnsi="Arial"/>
                  <w:sz w:val="16"/>
                  <w:szCs w:val="16"/>
                  <w:color w:val="0000EE"/>
                </w:rPr>
                <w:t>Exhibits</w:t>
              </w:r>
            </w:hyperlink>
          </w:p>
        </w:tc>
        <w:tc>
          <w:tcPr>
            <w:tcW w:w="8220" w:type="dxa"/>
            <w:vAlign w:val="bottom"/>
            <w:gridSpan w:val="14"/>
          </w:tcPr>
          <w:p>
            <w:pPr>
              <w:spacing w:after="0"/>
              <w:rPr>
                <w:sz w:val="24"/>
                <w:szCs w:val="24"/>
                <w:color w:val="auto"/>
              </w:rPr>
            </w:pPr>
          </w:p>
        </w:tc>
        <w:tc>
          <w:tcPr>
            <w:tcW w:w="960" w:type="dxa"/>
            <w:vAlign w:val="bottom"/>
          </w:tcPr>
          <w:p>
            <w:pPr>
              <w:jc w:val="center"/>
              <w:ind w:left="719"/>
              <w:spacing w:after="0"/>
              <w:rPr>
                <w:rFonts w:ascii="Arial" w:cs="Arial" w:eastAsia="Arial" w:hAnsi="Arial"/>
                <w:sz w:val="16"/>
                <w:szCs w:val="16"/>
                <w:color w:val="auto"/>
                <w:w w:val="89"/>
              </w:rPr>
            </w:pPr>
            <w:hyperlink w:anchor="page36">
              <w:r>
                <w:rPr>
                  <w:rFonts w:ascii="Arial" w:cs="Arial" w:eastAsia="Arial" w:hAnsi="Arial"/>
                  <w:sz w:val="16"/>
                  <w:szCs w:val="16"/>
                  <w:color w:val="auto"/>
                  <w:w w:val="89"/>
                </w:rPr>
                <w:t>33</w:t>
              </w:r>
            </w:hyperlink>
          </w:p>
        </w:tc>
        <w:tc>
          <w:tcPr>
            <w:tcW w:w="0" w:type="dxa"/>
            <w:vAlign w:val="bottom"/>
          </w:tcPr>
          <w:p>
            <w:pPr>
              <w:spacing w:after="0"/>
              <w:rPr>
                <w:sz w:val="1"/>
                <w:szCs w:val="1"/>
                <w:color w:val="auto"/>
              </w:rPr>
            </w:pPr>
          </w:p>
        </w:tc>
      </w:tr>
      <w:tr>
        <w:trPr>
          <w:trHeight w:val="20"/>
        </w:trPr>
        <w:tc>
          <w:tcPr>
            <w:tcW w:w="480" w:type="dxa"/>
            <w:vAlign w:val="bottom"/>
            <w:gridSpan w:val="2"/>
            <w:shd w:val="clear" w:color="auto" w:fill="0000EE"/>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8880" w:type="dxa"/>
            <w:vAlign w:val="bottom"/>
            <w:gridSpan w:val="16"/>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1040" w:type="dxa"/>
            <w:vAlign w:val="bottom"/>
            <w:tcBorders>
              <w:bottom w:val="single" w:sz="8" w:color="0000EE"/>
            </w:tcBorders>
            <w:gridSpan w:val="5"/>
          </w:tcPr>
          <w:p>
            <w:pPr>
              <w:spacing w:after="0"/>
              <w:rPr>
                <w:rFonts w:ascii="Arial" w:cs="Arial" w:eastAsia="Arial" w:hAnsi="Arial"/>
                <w:sz w:val="16"/>
                <w:szCs w:val="16"/>
                <w:b w:val="1"/>
                <w:bCs w:val="1"/>
                <w:color w:val="0000EE"/>
                <w:w w:val="97"/>
              </w:rPr>
            </w:pPr>
            <w:hyperlink w:anchor="page37">
              <w:r>
                <w:rPr>
                  <w:rFonts w:ascii="Arial" w:cs="Arial" w:eastAsia="Arial" w:hAnsi="Arial"/>
                  <w:sz w:val="16"/>
                  <w:szCs w:val="16"/>
                  <w:b w:val="1"/>
                  <w:bCs w:val="1"/>
                  <w:color w:val="0000EE"/>
                  <w:w w:val="97"/>
                </w:rPr>
                <w:t>SIGNATURES</w:t>
              </w:r>
            </w:hyperlink>
          </w:p>
        </w:tc>
        <w:tc>
          <w:tcPr>
            <w:tcW w:w="9180" w:type="dxa"/>
            <w:vAlign w:val="bottom"/>
            <w:gridSpan w:val="17"/>
          </w:tcPr>
          <w:p>
            <w:pPr>
              <w:spacing w:after="0"/>
              <w:rPr>
                <w:sz w:val="24"/>
                <w:szCs w:val="24"/>
                <w:color w:val="auto"/>
              </w:rPr>
            </w:pPr>
          </w:p>
        </w:tc>
        <w:tc>
          <w:tcPr>
            <w:tcW w:w="960" w:type="dxa"/>
            <w:vAlign w:val="bottom"/>
          </w:tcPr>
          <w:p>
            <w:pPr>
              <w:jc w:val="center"/>
              <w:ind w:left="719"/>
              <w:spacing w:after="0"/>
              <w:rPr>
                <w:rFonts w:ascii="Arial" w:cs="Arial" w:eastAsia="Arial" w:hAnsi="Arial"/>
                <w:sz w:val="16"/>
                <w:szCs w:val="16"/>
                <w:color w:val="auto"/>
                <w:w w:val="89"/>
              </w:rPr>
            </w:pPr>
            <w:hyperlink w:anchor="page37">
              <w:r>
                <w:rPr>
                  <w:rFonts w:ascii="Arial" w:cs="Arial" w:eastAsia="Arial" w:hAnsi="Arial"/>
                  <w:sz w:val="16"/>
                  <w:szCs w:val="16"/>
                  <w:color w:val="auto"/>
                  <w:w w:val="89"/>
                </w:rPr>
                <w:t>34</w:t>
              </w:r>
            </w:hyperlink>
          </w:p>
        </w:tc>
        <w:tc>
          <w:tcPr>
            <w:tcW w:w="0" w:type="dxa"/>
            <w:vAlign w:val="bottom"/>
          </w:tcPr>
          <w:p>
            <w:pPr>
              <w:spacing w:after="0"/>
              <w:rPr>
                <w:sz w:val="1"/>
                <w:szCs w:val="1"/>
                <w:color w:val="auto"/>
              </w:rPr>
            </w:pPr>
          </w:p>
        </w:tc>
      </w:tr>
    </w:tbl>
    <w:p>
      <w:pPr>
        <w:sectPr>
          <w:pgSz w:w="11900" w:h="16838" w:orient="portrait"/>
          <w:cols w:equalWidth="0" w:num="1">
            <w:col w:w="11300"/>
          </w:cols>
          <w:pgMar w:left="240" w:top="121" w:right="3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 FINANCIAL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 (Unaudited)</w:t>
      </w:r>
    </w:p>
    <w:p>
      <w:pPr>
        <w:spacing w:after="0" w:line="27"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Lantheus Holdings, Inc.</w:t>
      </w:r>
    </w:p>
    <w:p>
      <w:pPr>
        <w:spacing w:after="0" w:line="9"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(in thousands, except par value)</w:t>
      </w:r>
    </w:p>
    <w:p>
      <w:pPr>
        <w:spacing w:after="0" w:line="366"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8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0" w:type="dxa"/>
            <w:vAlign w:val="bottom"/>
            <w:gridSpan w:val="2"/>
          </w:tcPr>
          <w:p>
            <w:pPr>
              <w:ind w:left="20"/>
              <w:spacing w:after="0"/>
              <w:rPr>
                <w:sz w:val="20"/>
                <w:szCs w:val="20"/>
                <w:color w:val="auto"/>
              </w:rPr>
            </w:pPr>
            <w:r>
              <w:rPr>
                <w:rFonts w:ascii="Arial" w:cs="Arial" w:eastAsia="Arial" w:hAnsi="Arial"/>
                <w:sz w:val="14"/>
                <w:szCs w:val="14"/>
                <w:b w:val="1"/>
                <w:bCs w:val="1"/>
                <w:color w:val="auto"/>
              </w:rPr>
              <w:t>September 30,</w:t>
            </w:r>
          </w:p>
        </w:tc>
        <w:tc>
          <w:tcPr>
            <w:tcW w:w="120" w:type="dxa"/>
            <w:vAlign w:val="bottom"/>
          </w:tcPr>
          <w:p>
            <w:pPr>
              <w:spacing w:after="0"/>
              <w:rPr>
                <w:sz w:val="14"/>
                <w:szCs w:val="14"/>
                <w:color w:val="auto"/>
              </w:rPr>
            </w:pPr>
          </w:p>
        </w:tc>
        <w:tc>
          <w:tcPr>
            <w:tcW w:w="1080" w:type="dxa"/>
            <w:vAlign w:val="bottom"/>
          </w:tcPr>
          <w:p>
            <w:pPr>
              <w:jc w:val="right"/>
              <w:ind w:right="131"/>
              <w:spacing w:after="0"/>
              <w:rPr>
                <w:sz w:val="20"/>
                <w:szCs w:val="20"/>
                <w:color w:val="auto"/>
              </w:rPr>
            </w:pPr>
            <w:r>
              <w:rPr>
                <w:rFonts w:ascii="Arial" w:cs="Arial" w:eastAsia="Arial" w:hAnsi="Arial"/>
                <w:sz w:val="14"/>
                <w:szCs w:val="14"/>
                <w:b w:val="1"/>
                <w:bCs w:val="1"/>
                <w:color w:val="auto"/>
                <w:w w:val="92"/>
              </w:rPr>
              <w:t>December 31,</w:t>
            </w:r>
          </w:p>
        </w:tc>
      </w:tr>
      <w:tr>
        <w:trPr>
          <w:trHeight w:val="192"/>
        </w:trPr>
        <w:tc>
          <w:tcPr>
            <w:tcW w:w="83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71"/>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71"/>
              <w:spacing w:after="0"/>
              <w:rPr>
                <w:sz w:val="20"/>
                <w:szCs w:val="20"/>
                <w:color w:val="auto"/>
              </w:rPr>
            </w:pPr>
            <w:r>
              <w:rPr>
                <w:rFonts w:ascii="Arial" w:cs="Arial" w:eastAsia="Arial" w:hAnsi="Arial"/>
                <w:sz w:val="14"/>
                <w:szCs w:val="14"/>
                <w:b w:val="1"/>
                <w:bCs w:val="1"/>
                <w:color w:val="auto"/>
              </w:rPr>
              <w:t>2016</w:t>
            </w:r>
          </w:p>
        </w:tc>
      </w:tr>
      <w:tr>
        <w:trPr>
          <w:trHeight w:val="250"/>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b w:val="1"/>
                <w:bCs w:val="1"/>
                <w:color w:val="auto"/>
              </w:rPr>
              <w:t>Current assets</w:t>
            </w:r>
          </w:p>
        </w:tc>
        <w:tc>
          <w:tcPr>
            <w:tcW w:w="1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7"/>
        </w:trPr>
        <w:tc>
          <w:tcPr>
            <w:tcW w:w="8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Cash and cash equivalents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68,077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51,178</w:t>
            </w:r>
          </w:p>
        </w:tc>
      </w:tr>
      <w:tr>
        <w:trPr>
          <w:trHeight w:val="243"/>
        </w:trPr>
        <w:tc>
          <w:tcPr>
            <w:tcW w:w="8320" w:type="dxa"/>
            <w:vAlign w:val="bottom"/>
          </w:tcPr>
          <w:p>
            <w:pPr>
              <w:ind w:left="260"/>
              <w:spacing w:after="0"/>
              <w:rPr>
                <w:sz w:val="20"/>
                <w:szCs w:val="20"/>
                <w:color w:val="auto"/>
              </w:rPr>
            </w:pPr>
            <w:r>
              <w:rPr>
                <w:rFonts w:ascii="Arial" w:cs="Arial" w:eastAsia="Arial" w:hAnsi="Arial"/>
                <w:sz w:val="18"/>
                <w:szCs w:val="18"/>
                <w:color w:val="auto"/>
              </w:rPr>
              <w:t>Accounts receivable, net</w:t>
            </w:r>
          </w:p>
        </w:tc>
        <w:tc>
          <w:tcPr>
            <w:tcW w:w="12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41,713</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36,818</w:t>
            </w:r>
          </w:p>
        </w:tc>
      </w:tr>
      <w:tr>
        <w:trPr>
          <w:trHeight w:val="27"/>
        </w:trPr>
        <w:tc>
          <w:tcPr>
            <w:tcW w:w="8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Inventory</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23,032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17,640</w:t>
            </w:r>
          </w:p>
        </w:tc>
      </w:tr>
      <w:tr>
        <w:trPr>
          <w:trHeight w:val="243"/>
        </w:trPr>
        <w:tc>
          <w:tcPr>
            <w:tcW w:w="8320" w:type="dxa"/>
            <w:vAlign w:val="bottom"/>
          </w:tcPr>
          <w:p>
            <w:pPr>
              <w:ind w:left="260"/>
              <w:spacing w:after="0"/>
              <w:rPr>
                <w:sz w:val="20"/>
                <w:szCs w:val="20"/>
                <w:color w:val="auto"/>
              </w:rPr>
            </w:pPr>
            <w:r>
              <w:rPr>
                <w:rFonts w:ascii="Arial" w:cs="Arial" w:eastAsia="Arial" w:hAnsi="Arial"/>
                <w:sz w:val="18"/>
                <w:szCs w:val="18"/>
                <w:color w:val="auto"/>
              </w:rPr>
              <w:t>Other current assets</w:t>
            </w:r>
          </w:p>
        </w:tc>
        <w:tc>
          <w:tcPr>
            <w:tcW w:w="12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3,789</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5,183</w:t>
            </w:r>
          </w:p>
        </w:tc>
      </w:tr>
      <w:tr>
        <w:trPr>
          <w:trHeight w:val="27"/>
        </w:trPr>
        <w:tc>
          <w:tcPr>
            <w:tcW w:w="83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83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current assets</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136,611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110,819</w:t>
            </w: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color w:val="auto"/>
              </w:rPr>
              <w:t>Property, plant &amp; equipment, net</w:t>
            </w:r>
          </w:p>
        </w:tc>
        <w:tc>
          <w:tcPr>
            <w:tcW w:w="12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94,516</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94,187</w:t>
            </w:r>
          </w:p>
        </w:tc>
      </w:tr>
      <w:tr>
        <w:trPr>
          <w:trHeight w:val="27"/>
        </w:trPr>
        <w:tc>
          <w:tcPr>
            <w:tcW w:w="8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Intangibles, net</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12,645</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15,118</w:t>
            </w: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color w:val="auto"/>
              </w:rPr>
              <w:t>Goodwill</w:t>
            </w:r>
          </w:p>
        </w:tc>
        <w:tc>
          <w:tcPr>
            <w:tcW w:w="12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15,714</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15,714</w:t>
            </w:r>
          </w:p>
        </w:tc>
      </w:tr>
      <w:tr>
        <w:trPr>
          <w:trHeight w:val="27"/>
        </w:trPr>
        <w:tc>
          <w:tcPr>
            <w:tcW w:w="8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long-term assets</w:t>
            </w:r>
          </w:p>
        </w:tc>
        <w:tc>
          <w:tcPr>
            <w:tcW w:w="1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21,535</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20,060</w:t>
            </w:r>
          </w:p>
        </w:tc>
      </w:tr>
      <w:tr>
        <w:trPr>
          <w:trHeight w:val="237"/>
        </w:trPr>
        <w:tc>
          <w:tcPr>
            <w:tcW w:w="8320" w:type="dxa"/>
            <w:vAlign w:val="bottom"/>
          </w:tcPr>
          <w:p>
            <w:pPr>
              <w:ind w:left="260"/>
              <w:spacing w:after="0"/>
              <w:rPr>
                <w:sz w:val="20"/>
                <w:szCs w:val="20"/>
                <w:color w:val="auto"/>
              </w:rPr>
            </w:pPr>
            <w:r>
              <w:rPr>
                <w:rFonts w:ascii="Arial" w:cs="Arial" w:eastAsia="Arial" w:hAnsi="Arial"/>
                <w:sz w:val="18"/>
                <w:szCs w:val="18"/>
                <w:color w:val="auto"/>
              </w:rPr>
              <w:t>Total assets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281,021</w:t>
            </w:r>
          </w:p>
        </w:tc>
        <w:tc>
          <w:tcPr>
            <w:tcW w:w="12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255,898</w:t>
            </w:r>
          </w:p>
        </w:tc>
      </w:tr>
      <w:tr>
        <w:trPr>
          <w:trHeight w:val="67"/>
        </w:trPr>
        <w:tc>
          <w:tcPr>
            <w:tcW w:w="8320" w:type="dxa"/>
            <w:vAlign w:val="bottom"/>
            <w:tcBorders>
              <w:bottom w:val="single" w:sz="8" w:color="CCEEFF"/>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r>
      <w:tr>
        <w:trPr>
          <w:trHeight w:val="231"/>
        </w:trPr>
        <w:tc>
          <w:tcPr>
            <w:tcW w:w="8320" w:type="dxa"/>
            <w:vAlign w:val="bottom"/>
            <w:tcBorders>
              <w:bottom w:val="single" w:sz="8" w:color="CCEEFF"/>
            </w:tcBorders>
            <w:shd w:val="clear" w:color="auto" w:fill="CCEEFF"/>
          </w:tcPr>
          <w:p>
            <w:pPr>
              <w:ind w:left="20"/>
              <w:spacing w:after="0" w:line="196" w:lineRule="exact"/>
              <w:rPr>
                <w:sz w:val="20"/>
                <w:szCs w:val="20"/>
                <w:color w:val="auto"/>
              </w:rPr>
            </w:pPr>
            <w:r>
              <w:rPr>
                <w:rFonts w:ascii="Arial" w:cs="Arial" w:eastAsia="Arial" w:hAnsi="Arial"/>
                <w:sz w:val="18"/>
                <w:szCs w:val="18"/>
                <w:b w:val="1"/>
                <w:bCs w:val="1"/>
                <w:color w:val="auto"/>
              </w:rPr>
              <w:t>Liabilities and Stockholders’ Deficit</w:t>
            </w: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b w:val="1"/>
                <w:bCs w:val="1"/>
                <w:color w:val="auto"/>
              </w:rPr>
              <w:t>Current liabilities</w:t>
            </w:r>
          </w:p>
        </w:tc>
        <w:tc>
          <w:tcPr>
            <w:tcW w:w="1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7"/>
        </w:trPr>
        <w:tc>
          <w:tcPr>
            <w:tcW w:w="8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Current portion of long-term debt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2,750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3,650</w:t>
            </w:r>
          </w:p>
        </w:tc>
      </w:tr>
      <w:tr>
        <w:trPr>
          <w:trHeight w:val="243"/>
        </w:trPr>
        <w:tc>
          <w:tcPr>
            <w:tcW w:w="8320" w:type="dxa"/>
            <w:vAlign w:val="bottom"/>
          </w:tcPr>
          <w:p>
            <w:pPr>
              <w:ind w:left="260"/>
              <w:spacing w:after="0"/>
              <w:rPr>
                <w:sz w:val="20"/>
                <w:szCs w:val="20"/>
                <w:color w:val="auto"/>
              </w:rPr>
            </w:pPr>
            <w:r>
              <w:rPr>
                <w:rFonts w:ascii="Arial" w:cs="Arial" w:eastAsia="Arial" w:hAnsi="Arial"/>
                <w:sz w:val="18"/>
                <w:szCs w:val="18"/>
                <w:color w:val="auto"/>
              </w:rPr>
              <w:t>Revolving line of credit</w:t>
            </w:r>
          </w:p>
        </w:tc>
        <w:tc>
          <w:tcPr>
            <w:tcW w:w="12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8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Accounts payable</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18,756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18,940</w:t>
            </w:r>
          </w:p>
        </w:tc>
      </w:tr>
      <w:tr>
        <w:trPr>
          <w:trHeight w:val="243"/>
        </w:trPr>
        <w:tc>
          <w:tcPr>
            <w:tcW w:w="8320" w:type="dxa"/>
            <w:vAlign w:val="bottom"/>
          </w:tcPr>
          <w:p>
            <w:pPr>
              <w:ind w:left="260"/>
              <w:spacing w:after="0"/>
              <w:rPr>
                <w:sz w:val="20"/>
                <w:szCs w:val="20"/>
                <w:color w:val="auto"/>
              </w:rPr>
            </w:pPr>
            <w:r>
              <w:rPr>
                <w:rFonts w:ascii="Arial" w:cs="Arial" w:eastAsia="Arial" w:hAnsi="Arial"/>
                <w:sz w:val="18"/>
                <w:szCs w:val="18"/>
                <w:color w:val="auto"/>
              </w:rPr>
              <w:t>Accrued expenses and other liabilities</w:t>
            </w:r>
          </w:p>
        </w:tc>
        <w:tc>
          <w:tcPr>
            <w:tcW w:w="12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24,581</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21,249</w:t>
            </w:r>
          </w:p>
        </w:tc>
      </w:tr>
      <w:tr>
        <w:trPr>
          <w:trHeight w:val="27"/>
        </w:trPr>
        <w:tc>
          <w:tcPr>
            <w:tcW w:w="83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83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current liabilities</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46,087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43,839</w:t>
            </w: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color w:val="auto"/>
              </w:rPr>
              <w:t>Asset retirement obligations</w:t>
            </w:r>
          </w:p>
        </w:tc>
        <w:tc>
          <w:tcPr>
            <w:tcW w:w="12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10,151</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9,370</w:t>
            </w:r>
          </w:p>
        </w:tc>
      </w:tr>
      <w:tr>
        <w:trPr>
          <w:trHeight w:val="27"/>
        </w:trPr>
        <w:tc>
          <w:tcPr>
            <w:tcW w:w="8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debt, net</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265,523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274,460</w:t>
            </w: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color w:val="auto"/>
              </w:rPr>
              <w:t>Other long-term liabilities</w:t>
            </w:r>
          </w:p>
        </w:tc>
        <w:tc>
          <w:tcPr>
            <w:tcW w:w="12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37,176</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34,745</w:t>
            </w:r>
          </w:p>
        </w:tc>
      </w:tr>
      <w:tr>
        <w:trPr>
          <w:trHeight w:val="27"/>
        </w:trPr>
        <w:tc>
          <w:tcPr>
            <w:tcW w:w="83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64"/>
        </w:trPr>
        <w:tc>
          <w:tcPr>
            <w:tcW w:w="8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liabilities</w:t>
            </w: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358,937</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362,414</w:t>
            </w:r>
          </w:p>
        </w:tc>
      </w:tr>
      <w:tr>
        <w:trPr>
          <w:trHeight w:val="223"/>
        </w:trPr>
        <w:tc>
          <w:tcPr>
            <w:tcW w:w="8320" w:type="dxa"/>
            <w:vAlign w:val="bottom"/>
          </w:tcPr>
          <w:p>
            <w:pPr>
              <w:ind w:left="20"/>
              <w:spacing w:after="0"/>
              <w:rPr>
                <w:sz w:val="20"/>
                <w:szCs w:val="20"/>
                <w:color w:val="auto"/>
              </w:rPr>
            </w:pPr>
            <w:r>
              <w:rPr>
                <w:rFonts w:ascii="Arial" w:cs="Arial" w:eastAsia="Arial" w:hAnsi="Arial"/>
                <w:sz w:val="18"/>
                <w:szCs w:val="18"/>
                <w:b w:val="1"/>
                <w:bCs w:val="1"/>
                <w:color w:val="auto"/>
              </w:rPr>
              <w:t>Commitments and contingencies (See Note 12)</w:t>
            </w:r>
          </w:p>
        </w:tc>
        <w:tc>
          <w:tcPr>
            <w:tcW w:w="12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spacing w:after="0"/>
              <w:rPr>
                <w:sz w:val="19"/>
                <w:szCs w:val="19"/>
                <w:color w:val="auto"/>
              </w:rPr>
            </w:pPr>
          </w:p>
        </w:tc>
      </w:tr>
      <w:tr>
        <w:trPr>
          <w:trHeight w:val="41"/>
        </w:trPr>
        <w:tc>
          <w:tcPr>
            <w:tcW w:w="8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tcPr>
          <w:p>
            <w:pPr>
              <w:spacing w:after="0"/>
              <w:rPr>
                <w:sz w:val="3"/>
                <w:szCs w:val="3"/>
                <w:color w:val="auto"/>
              </w:rPr>
            </w:pPr>
          </w:p>
        </w:tc>
      </w:tr>
      <w:tr>
        <w:trPr>
          <w:trHeight w:val="250"/>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Stockholders’ deficit</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color w:val="auto"/>
              </w:rPr>
              <w:t>Preferred stock ($0.01 par value, 25,000 shares authorized; no shares issued and outstanding)</w:t>
            </w:r>
          </w:p>
        </w:tc>
        <w:tc>
          <w:tcPr>
            <w:tcW w:w="12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8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29"/>
        </w:trPr>
        <w:tc>
          <w:tcPr>
            <w:tcW w:w="8320" w:type="dxa"/>
            <w:vAlign w:val="bottom"/>
            <w:shd w:val="clear" w:color="auto" w:fill="CCEEFF"/>
          </w:tcPr>
          <w:p>
            <w:pPr>
              <w:ind w:left="20"/>
              <w:spacing w:after="0"/>
              <w:rPr>
                <w:sz w:val="20"/>
                <w:szCs w:val="20"/>
                <w:color w:val="auto"/>
              </w:rPr>
            </w:pPr>
            <w:r>
              <w:rPr>
                <w:rFonts w:ascii="Arial" w:cs="Arial" w:eastAsia="Arial" w:hAnsi="Arial"/>
                <w:sz w:val="18"/>
                <w:szCs w:val="18"/>
                <w:color w:val="auto"/>
                <w:w w:val="92"/>
              </w:rPr>
              <w:t>Common stock ($0.01 par value, 250,000 shares authorized; 37,498 and 36,756 shares issued and outstanding,</w:t>
            </w: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r>
      <w:tr>
        <w:trPr>
          <w:trHeight w:val="237"/>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respectively)</w:t>
            </w: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375</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367</w:t>
            </w: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color w:val="auto"/>
              </w:rPr>
              <w:t>Additional paid-in capital</w:t>
            </w:r>
          </w:p>
        </w:tc>
        <w:tc>
          <w:tcPr>
            <w:tcW w:w="120" w:type="dxa"/>
            <w:vAlign w:val="bottom"/>
          </w:tcPr>
          <w:p>
            <w:pPr>
              <w:spacing w:after="0"/>
              <w:rPr>
                <w:sz w:val="21"/>
                <w:szCs w:val="21"/>
                <w:color w:val="auto"/>
              </w:rPr>
            </w:pPr>
          </w:p>
        </w:tc>
        <w:tc>
          <w:tcPr>
            <w:tcW w:w="1080" w:type="dxa"/>
            <w:vAlign w:val="bottom"/>
          </w:tcPr>
          <w:p>
            <w:pPr>
              <w:jc w:val="right"/>
              <w:ind w:right="11"/>
              <w:spacing w:after="0"/>
              <w:rPr>
                <w:sz w:val="20"/>
                <w:szCs w:val="20"/>
                <w:color w:val="auto"/>
              </w:rPr>
            </w:pPr>
            <w:r>
              <w:rPr>
                <w:rFonts w:ascii="Arial" w:cs="Arial" w:eastAsia="Arial" w:hAnsi="Arial"/>
                <w:sz w:val="18"/>
                <w:szCs w:val="18"/>
                <w:color w:val="auto"/>
              </w:rPr>
              <w:t>228,934</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jc w:val="right"/>
              <w:ind w:right="31"/>
              <w:spacing w:after="0"/>
              <w:rPr>
                <w:sz w:val="20"/>
                <w:szCs w:val="20"/>
                <w:color w:val="auto"/>
              </w:rPr>
            </w:pPr>
            <w:r>
              <w:rPr>
                <w:rFonts w:ascii="Arial" w:cs="Arial" w:eastAsia="Arial" w:hAnsi="Arial"/>
                <w:sz w:val="18"/>
                <w:szCs w:val="18"/>
                <w:color w:val="auto"/>
              </w:rPr>
              <w:t>226,462</w:t>
            </w:r>
          </w:p>
        </w:tc>
      </w:tr>
      <w:tr>
        <w:trPr>
          <w:trHeight w:val="27"/>
        </w:trPr>
        <w:tc>
          <w:tcPr>
            <w:tcW w:w="8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Accumulated deficit</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(306,139)</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(332,398)</w:t>
            </w:r>
          </w:p>
        </w:tc>
      </w:tr>
      <w:tr>
        <w:trPr>
          <w:trHeight w:val="243"/>
        </w:trPr>
        <w:tc>
          <w:tcPr>
            <w:tcW w:w="8320" w:type="dxa"/>
            <w:vAlign w:val="bottom"/>
          </w:tcPr>
          <w:p>
            <w:pPr>
              <w:ind w:left="20"/>
              <w:spacing w:after="0"/>
              <w:rPr>
                <w:sz w:val="20"/>
                <w:szCs w:val="20"/>
                <w:color w:val="auto"/>
              </w:rPr>
            </w:pPr>
            <w:r>
              <w:rPr>
                <w:rFonts w:ascii="Arial" w:cs="Arial" w:eastAsia="Arial" w:hAnsi="Arial"/>
                <w:sz w:val="18"/>
                <w:szCs w:val="18"/>
                <w:color w:val="auto"/>
              </w:rPr>
              <w:t>Accumulated other comprehensive loss</w:t>
            </w:r>
          </w:p>
        </w:tc>
        <w:tc>
          <w:tcPr>
            <w:tcW w:w="1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(1,086)</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(947)</w:t>
            </w:r>
          </w:p>
        </w:tc>
      </w:tr>
      <w:tr>
        <w:trPr>
          <w:trHeight w:val="27"/>
        </w:trPr>
        <w:tc>
          <w:tcPr>
            <w:tcW w:w="83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64"/>
        </w:trPr>
        <w:tc>
          <w:tcPr>
            <w:tcW w:w="8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stockholders’ deficit</w:t>
            </w: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(77,916)</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(106,516)</w:t>
            </w:r>
          </w:p>
        </w:tc>
      </w:tr>
      <w:tr>
        <w:trPr>
          <w:trHeight w:val="237"/>
        </w:trPr>
        <w:tc>
          <w:tcPr>
            <w:tcW w:w="8320" w:type="dxa"/>
            <w:vAlign w:val="bottom"/>
          </w:tcPr>
          <w:p>
            <w:pPr>
              <w:ind w:left="480"/>
              <w:spacing w:after="0"/>
              <w:rPr>
                <w:sz w:val="20"/>
                <w:szCs w:val="20"/>
                <w:color w:val="auto"/>
              </w:rPr>
            </w:pPr>
            <w:r>
              <w:rPr>
                <w:rFonts w:ascii="Arial" w:cs="Arial" w:eastAsia="Arial" w:hAnsi="Arial"/>
                <w:sz w:val="18"/>
                <w:szCs w:val="18"/>
                <w:color w:val="auto"/>
              </w:rPr>
              <w:t>Total liabilities and stockholders’ deficit</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281,021</w:t>
            </w:r>
          </w:p>
        </w:tc>
        <w:tc>
          <w:tcPr>
            <w:tcW w:w="12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255,898</w:t>
            </w:r>
          </w:p>
        </w:tc>
      </w:tr>
      <w:tr>
        <w:trPr>
          <w:trHeight w:val="27"/>
        </w:trPr>
        <w:tc>
          <w:tcPr>
            <w:tcW w:w="83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0"/>
        </w:trPr>
        <w:tc>
          <w:tcPr>
            <w:tcW w:w="83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2380"/>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82" w:lineRule="exact"/>
        <w:rPr>
          <w:sz w:val="20"/>
          <w:szCs w:val="20"/>
          <w:color w:val="auto"/>
        </w:rPr>
      </w:pPr>
    </w:p>
    <w:p>
      <w:pPr>
        <w:ind w:left="5880"/>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140"/>
          </w:cols>
          <w:pgMar w:left="240" w:top="121" w:right="51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52" w:lineRule="exact"/>
        <w:rPr>
          <w:sz w:val="20"/>
          <w:szCs w:val="20"/>
          <w:color w:val="auto"/>
        </w:rPr>
      </w:pPr>
    </w:p>
    <w:p>
      <w:pPr>
        <w:jc w:val="center"/>
        <w:ind w:right="-619"/>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ind w:right="-619"/>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ind w:right="-61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619"/>
        <w:spacing w:after="0"/>
        <w:rPr>
          <w:sz w:val="20"/>
          <w:szCs w:val="20"/>
          <w:color w:val="auto"/>
        </w:rPr>
      </w:pPr>
      <w:r>
        <w:rPr>
          <w:rFonts w:ascii="Arial" w:cs="Arial" w:eastAsia="Arial" w:hAnsi="Arial"/>
          <w:sz w:val="18"/>
          <w:szCs w:val="18"/>
          <w:b w:val="1"/>
          <w:bCs w:val="1"/>
          <w:color w:val="auto"/>
        </w:rPr>
        <w:t>(in thousands, except per share data)</w:t>
      </w:r>
    </w:p>
    <w:p>
      <w:pPr>
        <w:spacing w:after="0" w:line="366" w:lineRule="exact"/>
        <w:rPr>
          <w:sz w:val="20"/>
          <w:szCs w:val="20"/>
          <w:color w:val="auto"/>
        </w:rPr>
      </w:pPr>
    </w:p>
    <w:tbl>
      <w:tblPr>
        <w:tblLayout w:type="fixed"/>
        <w:tblInd w:w="640" w:type="dxa"/>
        <w:tblCellMar>
          <w:top w:w="0" w:type="dxa"/>
          <w:left w:w="0" w:type="dxa"/>
          <w:bottom w:w="0" w:type="dxa"/>
          <w:right w:w="0" w:type="dxa"/>
        </w:tblCellMar>
      </w:tblPr>
      <w:tr>
        <w:trPr>
          <w:trHeight w:val="161"/>
        </w:trPr>
        <w:tc>
          <w:tcPr>
            <w:tcW w:w="57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4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5"/>
              </w:rPr>
              <w:t>Three Months Ended</w:t>
            </w:r>
          </w:p>
        </w:tc>
        <w:tc>
          <w:tcPr>
            <w:tcW w:w="220" w:type="dxa"/>
            <w:vAlign w:val="bottom"/>
          </w:tcPr>
          <w:p>
            <w:pPr>
              <w:spacing w:after="0"/>
              <w:rPr>
                <w:sz w:val="14"/>
                <w:szCs w:val="14"/>
                <w:color w:val="auto"/>
              </w:rPr>
            </w:pPr>
          </w:p>
        </w:tc>
        <w:tc>
          <w:tcPr>
            <w:tcW w:w="1940" w:type="dxa"/>
            <w:vAlign w:val="bottom"/>
            <w:gridSpan w:val="4"/>
          </w:tcPr>
          <w:p>
            <w:pPr>
              <w:jc w:val="right"/>
              <w:ind w:right="371"/>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57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4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1"/>
              </w:rPr>
              <w:t>September 30,</w:t>
            </w:r>
          </w:p>
        </w:tc>
        <w:tc>
          <w:tcPr>
            <w:tcW w:w="220" w:type="dxa"/>
            <w:vAlign w:val="bottom"/>
          </w:tcPr>
          <w:p>
            <w:pPr>
              <w:spacing w:after="0"/>
              <w:rPr>
                <w:sz w:val="16"/>
                <w:szCs w:val="16"/>
                <w:color w:val="auto"/>
              </w:rPr>
            </w:pPr>
          </w:p>
        </w:tc>
        <w:tc>
          <w:tcPr>
            <w:tcW w:w="1940" w:type="dxa"/>
            <w:vAlign w:val="bottom"/>
            <w:gridSpan w:val="4"/>
          </w:tcPr>
          <w:p>
            <w:pPr>
              <w:jc w:val="right"/>
              <w:ind w:right="551"/>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264"/>
        </w:trPr>
        <w:tc>
          <w:tcPr>
            <w:tcW w:w="5720" w:type="dxa"/>
            <w:vAlign w:val="bottom"/>
            <w:tcBorders>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780" w:type="dxa"/>
            <w:vAlign w:val="bottom"/>
            <w:tcBorders>
              <w:top w:val="single" w:sz="8" w:color="auto"/>
              <w:bottom w:val="single" w:sz="8" w:color="auto"/>
            </w:tcBorders>
          </w:tcPr>
          <w:p>
            <w:pPr>
              <w:jc w:val="right"/>
              <w:ind w:right="271"/>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91"/>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Revenues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79,941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73,063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250,137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227,503</w:t>
            </w:r>
          </w:p>
        </w:tc>
        <w:tc>
          <w:tcPr>
            <w:tcW w:w="0" w:type="dxa"/>
            <w:vAlign w:val="bottom"/>
          </w:tcPr>
          <w:p>
            <w:pPr>
              <w:spacing w:after="0"/>
              <w:rPr>
                <w:sz w:val="1"/>
                <w:szCs w:val="1"/>
                <w:color w:val="auto"/>
              </w:rPr>
            </w:pPr>
          </w:p>
        </w:tc>
      </w:tr>
      <w:tr>
        <w:trPr>
          <w:trHeight w:val="243"/>
        </w:trPr>
        <w:tc>
          <w:tcPr>
            <w:tcW w:w="5720" w:type="dxa"/>
            <w:vAlign w:val="bottom"/>
          </w:tcPr>
          <w:p>
            <w:pPr>
              <w:ind w:left="20"/>
              <w:spacing w:after="0"/>
              <w:rPr>
                <w:sz w:val="20"/>
                <w:szCs w:val="20"/>
                <w:color w:val="auto"/>
              </w:rPr>
            </w:pPr>
            <w:r>
              <w:rPr>
                <w:rFonts w:ascii="Arial" w:cs="Arial" w:eastAsia="Arial" w:hAnsi="Arial"/>
                <w:sz w:val="18"/>
                <w:szCs w:val="18"/>
                <w:color w:val="auto"/>
              </w:rPr>
              <w:t>Cost of goods sold</w:t>
            </w:r>
          </w:p>
        </w:tc>
        <w:tc>
          <w:tcPr>
            <w:tcW w:w="24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41,414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39,382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125,901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124,370</w:t>
            </w:r>
          </w:p>
        </w:tc>
        <w:tc>
          <w:tcPr>
            <w:tcW w:w="0" w:type="dxa"/>
            <w:vAlign w:val="bottom"/>
          </w:tcPr>
          <w:p>
            <w:pPr>
              <w:spacing w:after="0"/>
              <w:rPr>
                <w:sz w:val="1"/>
                <w:szCs w:val="1"/>
                <w:color w:val="auto"/>
              </w:rPr>
            </w:pPr>
          </w:p>
        </w:tc>
      </w:tr>
      <w:tr>
        <w:trPr>
          <w:trHeight w:val="27"/>
        </w:trPr>
        <w:tc>
          <w:tcPr>
            <w:tcW w:w="57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7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Gross profit</w:t>
            </w:r>
          </w:p>
        </w:tc>
        <w:tc>
          <w:tcPr>
            <w:tcW w:w="24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38,527</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33,681</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124,236</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103,133</w:t>
            </w:r>
          </w:p>
        </w:tc>
        <w:tc>
          <w:tcPr>
            <w:tcW w:w="0" w:type="dxa"/>
            <w:vAlign w:val="bottom"/>
          </w:tcPr>
          <w:p>
            <w:pPr>
              <w:spacing w:after="0"/>
              <w:rPr>
                <w:sz w:val="1"/>
                <w:szCs w:val="1"/>
                <w:color w:val="auto"/>
              </w:rPr>
            </w:pPr>
          </w:p>
        </w:tc>
      </w:tr>
      <w:tr>
        <w:trPr>
          <w:trHeight w:val="223"/>
        </w:trPr>
        <w:tc>
          <w:tcPr>
            <w:tcW w:w="572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24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572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40" w:type="dxa"/>
            <w:vAlign w:val="bottom"/>
          </w:tcPr>
          <w:p>
            <w:pPr>
              <w:spacing w:after="0"/>
              <w:rPr>
                <w:sz w:val="3"/>
                <w:szCs w:val="3"/>
                <w:color w:val="auto"/>
              </w:rPr>
            </w:pPr>
          </w:p>
        </w:tc>
        <w:tc>
          <w:tcPr>
            <w:tcW w:w="7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57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Sales and marketing</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10,075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8,706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31,892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27,856</w:t>
            </w:r>
          </w:p>
        </w:tc>
        <w:tc>
          <w:tcPr>
            <w:tcW w:w="0" w:type="dxa"/>
            <w:vAlign w:val="bottom"/>
          </w:tcPr>
          <w:p>
            <w:pPr>
              <w:spacing w:after="0"/>
              <w:rPr>
                <w:sz w:val="1"/>
                <w:szCs w:val="1"/>
                <w:color w:val="auto"/>
              </w:rPr>
            </w:pPr>
          </w:p>
        </w:tc>
      </w:tr>
      <w:tr>
        <w:trPr>
          <w:trHeight w:val="243"/>
        </w:trPr>
        <w:tc>
          <w:tcPr>
            <w:tcW w:w="5720" w:type="dxa"/>
            <w:vAlign w:val="bottom"/>
          </w:tcPr>
          <w:p>
            <w:pPr>
              <w:ind w:left="260"/>
              <w:spacing w:after="0"/>
              <w:rPr>
                <w:sz w:val="20"/>
                <w:szCs w:val="20"/>
                <w:color w:val="auto"/>
              </w:rPr>
            </w:pPr>
            <w:r>
              <w:rPr>
                <w:rFonts w:ascii="Arial" w:cs="Arial" w:eastAsia="Arial" w:hAnsi="Arial"/>
                <w:sz w:val="18"/>
                <w:szCs w:val="18"/>
                <w:color w:val="auto"/>
              </w:rPr>
              <w:t>General and administrative</w:t>
            </w:r>
          </w:p>
        </w:tc>
        <w:tc>
          <w:tcPr>
            <w:tcW w:w="24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12,076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10,091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35,549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28,842</w:t>
            </w: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7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Research and development</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3,554</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2,849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14,149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8,493</w:t>
            </w:r>
          </w:p>
        </w:tc>
        <w:tc>
          <w:tcPr>
            <w:tcW w:w="0" w:type="dxa"/>
            <w:vAlign w:val="bottom"/>
          </w:tcPr>
          <w:p>
            <w:pPr>
              <w:spacing w:after="0"/>
              <w:rPr>
                <w:sz w:val="1"/>
                <w:szCs w:val="1"/>
                <w:color w:val="auto"/>
              </w:rPr>
            </w:pPr>
          </w:p>
        </w:tc>
      </w:tr>
      <w:tr>
        <w:trPr>
          <w:trHeight w:val="237"/>
        </w:trPr>
        <w:tc>
          <w:tcPr>
            <w:tcW w:w="5720" w:type="dxa"/>
            <w:vAlign w:val="bottom"/>
          </w:tcPr>
          <w:p>
            <w:pPr>
              <w:ind w:left="480"/>
              <w:spacing w:after="0"/>
              <w:rPr>
                <w:sz w:val="20"/>
                <w:szCs w:val="20"/>
                <w:color w:val="auto"/>
              </w:rPr>
            </w:pPr>
            <w:r>
              <w:rPr>
                <w:rFonts w:ascii="Arial" w:cs="Arial" w:eastAsia="Arial" w:hAnsi="Arial"/>
                <w:sz w:val="18"/>
                <w:szCs w:val="18"/>
                <w:color w:val="auto"/>
              </w:rPr>
              <w:t>Total operating expenses</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25,705</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21,646</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81,590</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65,191</w:t>
            </w: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7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Gain on sales of assets</w:t>
            </w:r>
          </w:p>
        </w:tc>
        <w:tc>
          <w:tcPr>
            <w:tcW w:w="2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(560)</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(6,505)</w:t>
            </w:r>
          </w:p>
        </w:tc>
        <w:tc>
          <w:tcPr>
            <w:tcW w:w="0" w:type="dxa"/>
            <w:vAlign w:val="bottom"/>
          </w:tcPr>
          <w:p>
            <w:pPr>
              <w:spacing w:after="0"/>
              <w:rPr>
                <w:sz w:val="1"/>
                <w:szCs w:val="1"/>
                <w:color w:val="auto"/>
              </w:rPr>
            </w:pPr>
          </w:p>
        </w:tc>
      </w:tr>
      <w:tr>
        <w:trPr>
          <w:trHeight w:val="237"/>
        </w:trPr>
        <w:tc>
          <w:tcPr>
            <w:tcW w:w="5720" w:type="dxa"/>
            <w:vAlign w:val="bottom"/>
          </w:tcPr>
          <w:p>
            <w:pPr>
              <w:ind w:left="480"/>
              <w:spacing w:after="0"/>
              <w:rPr>
                <w:sz w:val="20"/>
                <w:szCs w:val="20"/>
                <w:color w:val="auto"/>
              </w:rPr>
            </w:pPr>
            <w:r>
              <w:rPr>
                <w:rFonts w:ascii="Arial" w:cs="Arial" w:eastAsia="Arial" w:hAnsi="Arial"/>
                <w:sz w:val="18"/>
                <w:szCs w:val="18"/>
                <w:color w:val="auto"/>
              </w:rPr>
              <w:t>Operating income</w:t>
            </w:r>
          </w:p>
        </w:tc>
        <w:tc>
          <w:tcPr>
            <w:tcW w:w="24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12,822</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12,595</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42,646</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44,447</w:t>
            </w: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expense</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4,442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6,792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14,147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20,799</w:t>
            </w:r>
          </w:p>
        </w:tc>
        <w:tc>
          <w:tcPr>
            <w:tcW w:w="0" w:type="dxa"/>
            <w:vAlign w:val="bottom"/>
          </w:tcPr>
          <w:p>
            <w:pPr>
              <w:spacing w:after="0"/>
              <w:rPr>
                <w:sz w:val="1"/>
                <w:szCs w:val="1"/>
                <w:color w:val="auto"/>
              </w:rPr>
            </w:pPr>
          </w:p>
        </w:tc>
      </w:tr>
      <w:tr>
        <w:trPr>
          <w:trHeight w:val="243"/>
        </w:trPr>
        <w:tc>
          <w:tcPr>
            <w:tcW w:w="5720" w:type="dxa"/>
            <w:vAlign w:val="bottom"/>
          </w:tcPr>
          <w:p>
            <w:pPr>
              <w:ind w:left="20"/>
              <w:spacing w:after="0"/>
              <w:rPr>
                <w:sz w:val="20"/>
                <w:szCs w:val="20"/>
                <w:color w:val="auto"/>
              </w:rPr>
            </w:pPr>
            <w:r>
              <w:rPr>
                <w:rFonts w:ascii="Arial" w:cs="Arial" w:eastAsia="Arial" w:hAnsi="Arial"/>
                <w:sz w:val="18"/>
                <w:szCs w:val="18"/>
                <w:color w:val="auto"/>
              </w:rPr>
              <w:t>Debt retirement costs</w:t>
            </w:r>
          </w:p>
        </w:tc>
        <w:tc>
          <w:tcPr>
            <w:tcW w:w="240" w:type="dxa"/>
            <w:vAlign w:val="bottom"/>
          </w:tcPr>
          <w:p>
            <w:pPr>
              <w:spacing w:after="0"/>
              <w:rPr>
                <w:sz w:val="21"/>
                <w:szCs w:val="21"/>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1,415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1,415</w:t>
            </w: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Loss on extinguishment of debt</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2,161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720" w:type="dxa"/>
            <w:vAlign w:val="bottom"/>
          </w:tcPr>
          <w:p>
            <w:pPr>
              <w:ind w:left="20"/>
              <w:spacing w:after="0"/>
              <w:rPr>
                <w:sz w:val="20"/>
                <w:szCs w:val="20"/>
                <w:color w:val="auto"/>
              </w:rPr>
            </w:pPr>
            <w:r>
              <w:rPr>
                <w:rFonts w:ascii="Arial" w:cs="Arial" w:eastAsia="Arial" w:hAnsi="Arial"/>
                <w:sz w:val="18"/>
                <w:szCs w:val="18"/>
                <w:color w:val="auto"/>
              </w:rPr>
              <w:t>Other (income) expense</w:t>
            </w: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(908)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148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(2,037)</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(317)</w:t>
            </w:r>
          </w:p>
        </w:tc>
        <w:tc>
          <w:tcPr>
            <w:tcW w:w="0" w:type="dxa"/>
            <w:vAlign w:val="bottom"/>
          </w:tcPr>
          <w:p>
            <w:pPr>
              <w:spacing w:after="0"/>
              <w:rPr>
                <w:sz w:val="1"/>
                <w:szCs w:val="1"/>
                <w:color w:val="auto"/>
              </w:rPr>
            </w:pPr>
          </w:p>
        </w:tc>
      </w:tr>
      <w:tr>
        <w:trPr>
          <w:trHeight w:val="27"/>
        </w:trPr>
        <w:tc>
          <w:tcPr>
            <w:tcW w:w="57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before income taxes</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9,288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4,240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28,375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22,550</w:t>
            </w:r>
          </w:p>
        </w:tc>
        <w:tc>
          <w:tcPr>
            <w:tcW w:w="0" w:type="dxa"/>
            <w:vAlign w:val="bottom"/>
          </w:tcPr>
          <w:p>
            <w:pPr>
              <w:spacing w:after="0"/>
              <w:rPr>
                <w:sz w:val="1"/>
                <w:szCs w:val="1"/>
                <w:color w:val="auto"/>
              </w:rPr>
            </w:pPr>
          </w:p>
        </w:tc>
      </w:tr>
      <w:tr>
        <w:trPr>
          <w:trHeight w:val="243"/>
        </w:trPr>
        <w:tc>
          <w:tcPr>
            <w:tcW w:w="5720" w:type="dxa"/>
            <w:vAlign w:val="bottom"/>
          </w:tcPr>
          <w:p>
            <w:pPr>
              <w:ind w:left="20"/>
              <w:spacing w:after="0"/>
              <w:rPr>
                <w:sz w:val="20"/>
                <w:szCs w:val="20"/>
                <w:color w:val="auto"/>
              </w:rPr>
            </w:pPr>
            <w:r>
              <w:rPr>
                <w:rFonts w:ascii="Arial" w:cs="Arial" w:eastAsia="Arial" w:hAnsi="Arial"/>
                <w:sz w:val="18"/>
                <w:szCs w:val="18"/>
                <w:color w:val="auto"/>
              </w:rPr>
              <w:t>Provision for income taxes</w:t>
            </w:r>
          </w:p>
        </w:tc>
        <w:tc>
          <w:tcPr>
            <w:tcW w:w="24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762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2,116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657</w:t>
            </w:r>
          </w:p>
        </w:tc>
        <w:tc>
          <w:tcPr>
            <w:tcW w:w="0" w:type="dxa"/>
            <w:vAlign w:val="bottom"/>
          </w:tcPr>
          <w:p>
            <w:pPr>
              <w:spacing w:after="0"/>
              <w:rPr>
                <w:sz w:val="1"/>
                <w:szCs w:val="1"/>
                <w:color w:val="auto"/>
              </w:rPr>
            </w:pPr>
          </w:p>
        </w:tc>
      </w:tr>
      <w:tr>
        <w:trPr>
          <w:trHeight w:val="27"/>
        </w:trPr>
        <w:tc>
          <w:tcPr>
            <w:tcW w:w="57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income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8,526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4,220</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26,259</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21,893</w:t>
            </w:r>
          </w:p>
        </w:tc>
        <w:tc>
          <w:tcPr>
            <w:tcW w:w="0" w:type="dxa"/>
            <w:vAlign w:val="bottom"/>
          </w:tcPr>
          <w:p>
            <w:pPr>
              <w:spacing w:after="0"/>
              <w:rPr>
                <w:sz w:val="1"/>
                <w:szCs w:val="1"/>
                <w:color w:val="auto"/>
              </w:rPr>
            </w:pPr>
          </w:p>
        </w:tc>
      </w:tr>
      <w:tr>
        <w:trPr>
          <w:trHeight w:val="20"/>
        </w:trPr>
        <w:tc>
          <w:tcPr>
            <w:tcW w:w="57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Net income per common share outstanding:</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72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572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78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8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7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0.23</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0.14</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0.71</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0.71</w:t>
            </w:r>
          </w:p>
        </w:tc>
        <w:tc>
          <w:tcPr>
            <w:tcW w:w="0" w:type="dxa"/>
            <w:vAlign w:val="bottom"/>
          </w:tcPr>
          <w:p>
            <w:pPr>
              <w:spacing w:after="0"/>
              <w:rPr>
                <w:sz w:val="1"/>
                <w:szCs w:val="1"/>
                <w:color w:val="auto"/>
              </w:rPr>
            </w:pPr>
          </w:p>
        </w:tc>
      </w:tr>
      <w:tr>
        <w:trPr>
          <w:trHeight w:val="20"/>
        </w:trPr>
        <w:tc>
          <w:tcPr>
            <w:tcW w:w="5720" w:type="dxa"/>
            <w:vAlign w:val="bottom"/>
            <w:tcBorders>
              <w:top w:val="single" w:sz="8" w:color="CCEEFF"/>
              <w:bottom w:val="single" w:sz="8" w:color="CCEEFF"/>
            </w:tcBorders>
            <w:vMerge w:val="restart"/>
          </w:tcPr>
          <w:p>
            <w:pPr>
              <w:ind w:left="380"/>
              <w:spacing w:after="0"/>
              <w:rPr>
                <w:sz w:val="20"/>
                <w:szCs w:val="20"/>
                <w:color w:val="auto"/>
              </w:rPr>
            </w:pPr>
            <w:r>
              <w:rPr>
                <w:rFonts w:ascii="Arial" w:cs="Arial" w:eastAsia="Arial" w:hAnsi="Arial"/>
                <w:sz w:val="18"/>
                <w:szCs w:val="18"/>
                <w:color w:val="auto"/>
              </w:rPr>
              <w:t>Diluted</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720" w:type="dxa"/>
            <w:vAlign w:val="bottom"/>
            <w:vMerge w:val="continue"/>
          </w:tcPr>
          <w:p>
            <w:pPr>
              <w:spacing w:after="0"/>
              <w:rPr>
                <w:sz w:val="19"/>
                <w:szCs w:val="19"/>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0.22</w:t>
            </w:r>
          </w:p>
        </w:tc>
        <w:tc>
          <w:tcPr>
            <w:tcW w:w="100" w:type="dxa"/>
            <w:vAlign w:val="bottom"/>
          </w:tcPr>
          <w:p>
            <w:pPr>
              <w:spacing w:after="0"/>
              <w:rPr>
                <w:sz w:val="19"/>
                <w:szCs w:val="19"/>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0.13</w:t>
            </w:r>
          </w:p>
        </w:tc>
        <w:tc>
          <w:tcPr>
            <w:tcW w:w="12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0.67</w:t>
            </w:r>
          </w:p>
        </w:tc>
        <w:tc>
          <w:tcPr>
            <w:tcW w:w="12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0.71</w:t>
            </w:r>
          </w:p>
        </w:tc>
        <w:tc>
          <w:tcPr>
            <w:tcW w:w="0" w:type="dxa"/>
            <w:vAlign w:val="bottom"/>
          </w:tcPr>
          <w:p>
            <w:pPr>
              <w:spacing w:after="0"/>
              <w:rPr>
                <w:sz w:val="1"/>
                <w:szCs w:val="1"/>
                <w:color w:val="auto"/>
              </w:rPr>
            </w:pPr>
          </w:p>
        </w:tc>
      </w:tr>
      <w:tr>
        <w:trPr>
          <w:trHeight w:val="67"/>
        </w:trPr>
        <w:tc>
          <w:tcPr>
            <w:tcW w:w="57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720" w:type="dxa"/>
            <w:vAlign w:val="bottom"/>
            <w:tcBorders>
              <w:bottom w:val="single" w:sz="8" w:color="CCEEFF"/>
            </w:tcBorders>
            <w:shd w:val="clear" w:color="auto" w:fill="CCEEFF"/>
          </w:tcPr>
          <w:p>
            <w:pPr>
              <w:ind w:left="20"/>
              <w:spacing w:after="0" w:line="196" w:lineRule="exact"/>
              <w:rPr>
                <w:sz w:val="20"/>
                <w:szCs w:val="20"/>
                <w:color w:val="auto"/>
              </w:rPr>
            </w:pPr>
            <w:r>
              <w:rPr>
                <w:rFonts w:ascii="Arial" w:cs="Arial" w:eastAsia="Arial" w:hAnsi="Arial"/>
                <w:sz w:val="18"/>
                <w:szCs w:val="18"/>
                <w:color w:val="auto"/>
              </w:rPr>
              <w:t>Weighted-average common shares outstanding:</w:t>
            </w:r>
          </w:p>
        </w:tc>
        <w:tc>
          <w:tcPr>
            <w:tcW w:w="2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720" w:type="dxa"/>
            <w:vAlign w:val="bottom"/>
          </w:tcPr>
          <w:p>
            <w:pPr>
              <w:ind w:left="380"/>
              <w:spacing w:after="0"/>
              <w:rPr>
                <w:sz w:val="20"/>
                <w:szCs w:val="20"/>
                <w:color w:val="auto"/>
              </w:rPr>
            </w:pPr>
            <w:r>
              <w:rPr>
                <w:rFonts w:ascii="Arial" w:cs="Arial" w:eastAsia="Arial" w:hAnsi="Arial"/>
                <w:sz w:val="18"/>
                <w:szCs w:val="18"/>
                <w:color w:val="auto"/>
              </w:rPr>
              <w:t>Basic</w:t>
            </w:r>
          </w:p>
        </w:tc>
        <w:tc>
          <w:tcPr>
            <w:tcW w:w="24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37,393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31,221</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37,174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11"/>
              <w:spacing w:after="0"/>
              <w:rPr>
                <w:sz w:val="20"/>
                <w:szCs w:val="20"/>
                <w:color w:val="auto"/>
              </w:rPr>
            </w:pPr>
            <w:r>
              <w:rPr>
                <w:rFonts w:ascii="Arial" w:cs="Arial" w:eastAsia="Arial" w:hAnsi="Arial"/>
                <w:sz w:val="18"/>
                <w:szCs w:val="18"/>
                <w:color w:val="auto"/>
              </w:rPr>
              <w:t>30,658</w:t>
            </w:r>
          </w:p>
        </w:tc>
        <w:tc>
          <w:tcPr>
            <w:tcW w:w="0" w:type="dxa"/>
            <w:vAlign w:val="bottom"/>
          </w:tcPr>
          <w:p>
            <w:pPr>
              <w:spacing w:after="0"/>
              <w:rPr>
                <w:sz w:val="1"/>
                <w:szCs w:val="1"/>
                <w:color w:val="auto"/>
              </w:rPr>
            </w:pPr>
          </w:p>
        </w:tc>
      </w:tr>
      <w:tr>
        <w:trPr>
          <w:trHeight w:val="67"/>
        </w:trPr>
        <w:tc>
          <w:tcPr>
            <w:tcW w:w="57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5720" w:type="dxa"/>
            <w:vAlign w:val="bottom"/>
            <w:tcBorders>
              <w:bottom w:val="single" w:sz="8" w:color="CCEEFF"/>
            </w:tcBorders>
            <w:shd w:val="clear" w:color="auto" w:fill="CCEEFF"/>
          </w:tcPr>
          <w:p>
            <w:pPr>
              <w:ind w:left="380"/>
              <w:spacing w:after="0" w:line="196" w:lineRule="exact"/>
              <w:rPr>
                <w:sz w:val="20"/>
                <w:szCs w:val="20"/>
                <w:color w:val="auto"/>
              </w:rPr>
            </w:pPr>
            <w:r>
              <w:rPr>
                <w:rFonts w:ascii="Arial" w:cs="Arial" w:eastAsia="Arial" w:hAnsi="Arial"/>
                <w:sz w:val="18"/>
                <w:szCs w:val="18"/>
                <w:color w:val="auto"/>
              </w:rPr>
              <w:t>Diluted</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39,121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32,402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38,971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31,049</w:t>
            </w:r>
          </w:p>
        </w:tc>
        <w:tc>
          <w:tcPr>
            <w:tcW w:w="0" w:type="dxa"/>
            <w:vAlign w:val="bottom"/>
          </w:tcPr>
          <w:p>
            <w:pPr>
              <w:spacing w:after="0"/>
              <w:rPr>
                <w:sz w:val="1"/>
                <w:szCs w:val="1"/>
                <w:color w:val="auto"/>
              </w:rPr>
            </w:pPr>
          </w:p>
        </w:tc>
      </w:tr>
      <w:tr>
        <w:trPr>
          <w:trHeight w:val="20"/>
        </w:trPr>
        <w:tc>
          <w:tcPr>
            <w:tcW w:w="57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2380"/>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82" w:lineRule="exact"/>
        <w:rPr>
          <w:sz w:val="20"/>
          <w:szCs w:val="20"/>
          <w:color w:val="auto"/>
        </w:rPr>
      </w:pPr>
    </w:p>
    <w:p>
      <w:pPr>
        <w:ind w:left="588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800"/>
          </w:cols>
          <w:pgMar w:left="240" w:top="121" w:right="85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480"/>
        <w:spacing w:after="0"/>
        <w:rPr>
          <w:sz w:val="20"/>
          <w:szCs w:val="20"/>
          <w:color w:val="auto"/>
        </w:rPr>
      </w:pPr>
      <w:r>
        <w:rPr>
          <w:rFonts w:ascii="Arial" w:cs="Arial" w:eastAsia="Arial" w:hAnsi="Arial"/>
          <w:sz w:val="18"/>
          <w:szCs w:val="18"/>
          <w:color w:val="auto"/>
        </w:rPr>
        <w:t>Net income</w:t>
      </w:r>
    </w:p>
    <w:p>
      <w:pPr>
        <w:spacing w:after="0" w:line="77" w:lineRule="exact"/>
        <w:rPr>
          <w:sz w:val="20"/>
          <w:szCs w:val="20"/>
          <w:color w:val="auto"/>
        </w:rPr>
      </w:pPr>
    </w:p>
    <w:p>
      <w:pPr>
        <w:ind w:left="480"/>
        <w:spacing w:after="0"/>
        <w:rPr>
          <w:sz w:val="20"/>
          <w:szCs w:val="20"/>
          <w:color w:val="auto"/>
        </w:rPr>
      </w:pPr>
      <w:r>
        <w:rPr>
          <w:rFonts w:ascii="Arial" w:cs="Arial" w:eastAsia="Arial" w:hAnsi="Arial"/>
          <w:sz w:val="16"/>
          <w:szCs w:val="16"/>
          <w:color w:val="auto"/>
        </w:rPr>
        <w:t>Other comprehensive (loss) income: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9" w:lineRule="exact"/>
        <w:rPr>
          <w:sz w:val="20"/>
          <w:szCs w:val="20"/>
          <w:color w:val="auto"/>
        </w:rPr>
      </w:pPr>
    </w:p>
    <w:p>
      <w:pPr>
        <w:jc w:val="center"/>
        <w:ind w:right="2840"/>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ind w:right="2840"/>
        <w:spacing w:after="0"/>
        <w:rPr>
          <w:sz w:val="20"/>
          <w:szCs w:val="20"/>
          <w:color w:val="auto"/>
        </w:rPr>
      </w:pPr>
      <w:r>
        <w:rPr>
          <w:rFonts w:ascii="Arial" w:cs="Arial" w:eastAsia="Arial" w:hAnsi="Arial"/>
          <w:sz w:val="15"/>
          <w:szCs w:val="15"/>
          <w:b w:val="1"/>
          <w:bCs w:val="1"/>
          <w:color w:val="auto"/>
        </w:rPr>
        <w:t>Condensed Consolidated Statements of Comprehensive Income</w:t>
      </w:r>
    </w:p>
    <w:p>
      <w:pPr>
        <w:spacing w:after="0" w:line="44" w:lineRule="exact"/>
        <w:rPr>
          <w:sz w:val="20"/>
          <w:szCs w:val="20"/>
          <w:color w:val="auto"/>
        </w:rPr>
      </w:pPr>
    </w:p>
    <w:p>
      <w:pPr>
        <w:jc w:val="center"/>
        <w:ind w:right="284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2840"/>
        <w:spacing w:after="0"/>
        <w:rPr>
          <w:sz w:val="20"/>
          <w:szCs w:val="20"/>
          <w:color w:val="auto"/>
        </w:rPr>
      </w:pPr>
      <w:r>
        <w:rPr>
          <w:rFonts w:ascii="Arial" w:cs="Arial" w:eastAsia="Arial" w:hAnsi="Arial"/>
          <w:sz w:val="18"/>
          <w:szCs w:val="18"/>
          <w:b w:val="1"/>
          <w:bCs w:val="1"/>
          <w:color w:val="auto"/>
        </w:rPr>
        <w:t>(in thousands)</w:t>
      </w:r>
    </w:p>
    <w:p>
      <w:pPr>
        <w:spacing w:after="0" w:line="366" w:lineRule="exact"/>
        <w:rPr>
          <w:sz w:val="20"/>
          <w:szCs w:val="20"/>
          <w:color w:val="auto"/>
        </w:rPr>
      </w:pPr>
    </w:p>
    <w:tbl>
      <w:tblPr>
        <w:tblLayout w:type="fixed"/>
        <w:tblInd w:w="3160" w:type="dxa"/>
        <w:tblCellMar>
          <w:top w:w="0" w:type="dxa"/>
          <w:left w:w="0" w:type="dxa"/>
          <w:bottom w:w="0" w:type="dxa"/>
          <w:right w:w="0" w:type="dxa"/>
        </w:tblCellMar>
      </w:tblPr>
      <w:tr>
        <w:trPr>
          <w:trHeight w:val="161"/>
        </w:trPr>
        <w:tc>
          <w:tcPr>
            <w:tcW w:w="240" w:type="dxa"/>
            <w:vAlign w:val="bottom"/>
          </w:tcPr>
          <w:p>
            <w:pPr>
              <w:spacing w:after="0"/>
              <w:rPr>
                <w:sz w:val="14"/>
                <w:szCs w:val="14"/>
                <w:color w:val="auto"/>
              </w:rPr>
            </w:pPr>
          </w:p>
        </w:tc>
        <w:tc>
          <w:tcPr>
            <w:tcW w:w="208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5"/>
              </w:rPr>
              <w:t>Three Months Ended</w:t>
            </w:r>
          </w:p>
        </w:tc>
        <w:tc>
          <w:tcPr>
            <w:tcW w:w="240" w:type="dxa"/>
            <w:vAlign w:val="bottom"/>
          </w:tcPr>
          <w:p>
            <w:pPr>
              <w:spacing w:after="0"/>
              <w:rPr>
                <w:sz w:val="14"/>
                <w:szCs w:val="14"/>
                <w:color w:val="auto"/>
              </w:rPr>
            </w:pPr>
          </w:p>
        </w:tc>
        <w:tc>
          <w:tcPr>
            <w:tcW w:w="1980" w:type="dxa"/>
            <w:vAlign w:val="bottom"/>
            <w:gridSpan w:val="4"/>
          </w:tcPr>
          <w:p>
            <w:pPr>
              <w:jc w:val="center"/>
              <w:ind w:right="139"/>
              <w:spacing w:after="0"/>
              <w:rPr>
                <w:sz w:val="20"/>
                <w:szCs w:val="20"/>
                <w:color w:val="auto"/>
              </w:rPr>
            </w:pPr>
            <w:r>
              <w:rPr>
                <w:rFonts w:ascii="Arial" w:cs="Arial" w:eastAsia="Arial" w:hAnsi="Arial"/>
                <w:sz w:val="14"/>
                <w:szCs w:val="14"/>
                <w:b w:val="1"/>
                <w:bCs w:val="1"/>
                <w:color w:val="auto"/>
                <w:w w:val="94"/>
              </w:rPr>
              <w:t>Nine Months Ended</w:t>
            </w:r>
          </w:p>
        </w:tc>
      </w:tr>
      <w:tr>
        <w:trPr>
          <w:trHeight w:val="192"/>
        </w:trPr>
        <w:tc>
          <w:tcPr>
            <w:tcW w:w="240" w:type="dxa"/>
            <w:vAlign w:val="bottom"/>
          </w:tcPr>
          <w:p>
            <w:pPr>
              <w:spacing w:after="0"/>
              <w:rPr>
                <w:sz w:val="16"/>
                <w:szCs w:val="16"/>
                <w:color w:val="auto"/>
              </w:rPr>
            </w:pPr>
          </w:p>
        </w:tc>
        <w:tc>
          <w:tcPr>
            <w:tcW w:w="208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1"/>
              </w:rPr>
              <w:t>September 30,</w:t>
            </w:r>
          </w:p>
        </w:tc>
        <w:tc>
          <w:tcPr>
            <w:tcW w:w="240" w:type="dxa"/>
            <w:vAlign w:val="bottom"/>
          </w:tcPr>
          <w:p>
            <w:pPr>
              <w:spacing w:after="0"/>
              <w:rPr>
                <w:sz w:val="16"/>
                <w:szCs w:val="16"/>
                <w:color w:val="auto"/>
              </w:rPr>
            </w:pPr>
          </w:p>
        </w:tc>
        <w:tc>
          <w:tcPr>
            <w:tcW w:w="1980" w:type="dxa"/>
            <w:vAlign w:val="bottom"/>
            <w:gridSpan w:val="4"/>
          </w:tcPr>
          <w:p>
            <w:pPr>
              <w:jc w:val="center"/>
              <w:ind w:right="139"/>
              <w:spacing w:after="0"/>
              <w:rPr>
                <w:sz w:val="20"/>
                <w:szCs w:val="20"/>
                <w:color w:val="auto"/>
              </w:rPr>
            </w:pPr>
            <w:r>
              <w:rPr>
                <w:rFonts w:ascii="Arial" w:cs="Arial" w:eastAsia="Arial" w:hAnsi="Arial"/>
                <w:sz w:val="14"/>
                <w:szCs w:val="14"/>
                <w:b w:val="1"/>
                <w:bCs w:val="1"/>
                <w:color w:val="auto"/>
                <w:w w:val="91"/>
              </w:rPr>
              <w:t>September 30,</w:t>
            </w:r>
          </w:p>
        </w:tc>
      </w:tr>
      <w:tr>
        <w:trPr>
          <w:trHeight w:val="264"/>
        </w:trPr>
        <w:tc>
          <w:tcPr>
            <w:tcW w:w="24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30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820" w:type="dxa"/>
            <w:vAlign w:val="bottom"/>
            <w:tcBorders>
              <w:top w:val="single" w:sz="8" w:color="auto"/>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820" w:type="dxa"/>
            <w:vAlign w:val="bottom"/>
            <w:tcBorders>
              <w:top w:val="single" w:sz="8" w:color="auto"/>
              <w:bottom w:val="single" w:sz="8" w:color="auto"/>
            </w:tcBorders>
          </w:tcPr>
          <w:p>
            <w:pPr>
              <w:jc w:val="right"/>
              <w:ind w:right="30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2016</w:t>
            </w:r>
          </w:p>
        </w:tc>
      </w:tr>
      <w:tr>
        <w:trPr>
          <w:trHeight w:val="243"/>
        </w:trPr>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4"/>
              <w:spacing w:after="0"/>
              <w:rPr>
                <w:sz w:val="20"/>
                <w:szCs w:val="20"/>
                <w:color w:val="auto"/>
              </w:rPr>
            </w:pPr>
            <w:r>
              <w:rPr>
                <w:rFonts w:ascii="Arial" w:cs="Arial" w:eastAsia="Arial" w:hAnsi="Arial"/>
                <w:sz w:val="18"/>
                <w:szCs w:val="18"/>
                <w:color w:val="auto"/>
              </w:rPr>
              <w:t>8,526</w:t>
            </w:r>
          </w:p>
        </w:tc>
        <w:tc>
          <w:tcPr>
            <w:tcW w:w="12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9"/>
              <w:spacing w:after="0"/>
              <w:rPr>
                <w:sz w:val="20"/>
                <w:szCs w:val="20"/>
                <w:color w:val="auto"/>
              </w:rPr>
            </w:pPr>
            <w:r>
              <w:rPr>
                <w:rFonts w:ascii="Arial" w:cs="Arial" w:eastAsia="Arial" w:hAnsi="Arial"/>
                <w:sz w:val="18"/>
                <w:szCs w:val="18"/>
                <w:color w:val="auto"/>
              </w:rPr>
              <w:t>4,220</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24"/>
              <w:spacing w:after="0"/>
              <w:rPr>
                <w:sz w:val="20"/>
                <w:szCs w:val="20"/>
                <w:color w:val="auto"/>
              </w:rPr>
            </w:pPr>
            <w:r>
              <w:rPr>
                <w:rFonts w:ascii="Arial" w:cs="Arial" w:eastAsia="Arial" w:hAnsi="Arial"/>
                <w:sz w:val="18"/>
                <w:szCs w:val="18"/>
                <w:color w:val="auto"/>
              </w:rPr>
              <w:t>26,259</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9"/>
              <w:spacing w:after="0"/>
              <w:rPr>
                <w:sz w:val="20"/>
                <w:szCs w:val="20"/>
                <w:color w:val="auto"/>
              </w:rPr>
            </w:pPr>
            <w:r>
              <w:rPr>
                <w:rFonts w:ascii="Arial" w:cs="Arial" w:eastAsia="Arial" w:hAnsi="Arial"/>
                <w:sz w:val="18"/>
                <w:szCs w:val="18"/>
                <w:color w:val="auto"/>
              </w:rPr>
              <w:t>21,893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-1793875</wp:posOffset>
            </wp:positionH>
            <wp:positionV relativeFrom="paragraph">
              <wp:posOffset>-162560</wp:posOffset>
            </wp:positionV>
            <wp:extent cx="6680835" cy="1803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680835" cy="180340"/>
                    </a:xfrm>
                    <a:prstGeom prst="rect">
                      <a:avLst/>
                    </a:prstGeom>
                    <a:noFill/>
                  </pic:spPr>
                </pic:pic>
              </a:graphicData>
            </a:graphic>
          </wp:anchor>
        </w:drawing>
      </w:r>
    </w:p>
    <w:p>
      <w:pPr>
        <w:spacing w:after="0" w:line="296" w:lineRule="exact"/>
        <w:rPr>
          <w:sz w:val="20"/>
          <w:szCs w:val="20"/>
          <w:color w:val="auto"/>
        </w:rPr>
      </w:pPr>
    </w:p>
    <w:p>
      <w:pPr>
        <w:sectPr>
          <w:pgSz w:w="11900" w:h="16838" w:orient="portrait"/>
          <w:cols w:equalWidth="0" w:num="2">
            <w:col w:w="3100" w:space="180"/>
            <w:col w:w="7700"/>
          </w:cols>
          <w:pgMar w:left="240" w:top="121" w:right="679" w:bottom="1440" w:gutter="0" w:footer="0" w:header="0"/>
        </w:sectPr>
      </w:pPr>
    </w:p>
    <w:tbl>
      <w:tblPr>
        <w:tblLayout w:type="fixed"/>
        <w:tblInd w:w="460" w:type="dxa"/>
        <w:tblCellMar>
          <w:top w:w="0" w:type="dxa"/>
          <w:left w:w="0" w:type="dxa"/>
          <w:bottom w:w="0" w:type="dxa"/>
          <w:right w:w="0" w:type="dxa"/>
        </w:tblCellMar>
      </w:tblPr>
      <w:tr>
        <w:trPr>
          <w:trHeight w:val="270"/>
        </w:trPr>
        <w:tc>
          <w:tcPr>
            <w:tcW w:w="598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1"/>
              </w:rPr>
              <w:t>Reclassification adjustment for gains on sales of assets included in net income</w:t>
            </w:r>
          </w:p>
        </w:tc>
        <w:tc>
          <w:tcPr>
            <w:tcW w:w="340" w:type="dxa"/>
            <w:vAlign w:val="bottom"/>
            <w:shd w:val="clear" w:color="auto" w:fill="CCEEFF"/>
          </w:tcPr>
          <w:p>
            <w:pPr>
              <w:spacing w:after="0"/>
              <w:rPr>
                <w:sz w:val="23"/>
                <w:szCs w:val="23"/>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435</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435</w:t>
            </w:r>
          </w:p>
        </w:tc>
      </w:tr>
      <w:tr>
        <w:trPr>
          <w:trHeight w:val="243"/>
        </w:trPr>
        <w:tc>
          <w:tcPr>
            <w:tcW w:w="5980" w:type="dxa"/>
            <w:vAlign w:val="bottom"/>
          </w:tcPr>
          <w:p>
            <w:pPr>
              <w:ind w:left="260"/>
              <w:spacing w:after="0"/>
              <w:rPr>
                <w:sz w:val="20"/>
                <w:szCs w:val="20"/>
                <w:color w:val="auto"/>
              </w:rPr>
            </w:pPr>
            <w:r>
              <w:rPr>
                <w:rFonts w:ascii="Arial" w:cs="Arial" w:eastAsia="Arial" w:hAnsi="Arial"/>
                <w:sz w:val="18"/>
                <w:szCs w:val="18"/>
                <w:color w:val="auto"/>
              </w:rPr>
              <w:t>Foreign currency translation</w:t>
            </w:r>
          </w:p>
        </w:tc>
        <w:tc>
          <w:tcPr>
            <w:tcW w:w="34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(115)</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Arial" w:cs="Arial" w:eastAsia="Arial" w:hAnsi="Arial"/>
                <w:sz w:val="18"/>
                <w:szCs w:val="18"/>
                <w:color w:val="auto"/>
              </w:rPr>
              <w:t>234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(139)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490</w:t>
            </w:r>
          </w:p>
        </w:tc>
      </w:tr>
      <w:tr>
        <w:trPr>
          <w:trHeight w:val="27"/>
        </w:trPr>
        <w:tc>
          <w:tcPr>
            <w:tcW w:w="59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64"/>
        </w:trPr>
        <w:tc>
          <w:tcPr>
            <w:tcW w:w="598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other comprehensive (loss) income</w:t>
            </w:r>
          </w:p>
        </w:tc>
        <w:tc>
          <w:tcPr>
            <w:tcW w:w="340" w:type="dxa"/>
            <w:vAlign w:val="bottom"/>
            <w:tcBorders>
              <w:bottom w:val="single" w:sz="8" w:color="CCEEFF"/>
            </w:tcBorders>
            <w:shd w:val="clear" w:color="auto" w:fill="CCEEFF"/>
          </w:tcPr>
          <w:p>
            <w:pPr>
              <w:spacing w:after="0"/>
              <w:rPr>
                <w:sz w:val="22"/>
                <w:szCs w:val="22"/>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669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925</w:t>
            </w:r>
          </w:p>
        </w:tc>
      </w:tr>
      <w:tr>
        <w:trPr>
          <w:trHeight w:val="237"/>
        </w:trPr>
        <w:tc>
          <w:tcPr>
            <w:tcW w:w="5980" w:type="dxa"/>
            <w:vAlign w:val="bottom"/>
          </w:tcPr>
          <w:p>
            <w:pPr>
              <w:ind w:left="20"/>
              <w:spacing w:after="0"/>
              <w:rPr>
                <w:sz w:val="20"/>
                <w:szCs w:val="20"/>
                <w:color w:val="auto"/>
              </w:rPr>
            </w:pPr>
            <w:r>
              <w:rPr>
                <w:rFonts w:ascii="Arial" w:cs="Arial" w:eastAsia="Arial" w:hAnsi="Arial"/>
                <w:sz w:val="18"/>
                <w:szCs w:val="18"/>
                <w:color w:val="auto"/>
              </w:rPr>
              <w:t>Total comprehensive income</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8,411</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4,889</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26,120</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22,818</w:t>
            </w:r>
          </w:p>
        </w:tc>
      </w:tr>
      <w:tr>
        <w:trPr>
          <w:trHeight w:val="27"/>
        </w:trPr>
        <w:tc>
          <w:tcPr>
            <w:tcW w:w="59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0"/>
        </w:trPr>
        <w:tc>
          <w:tcPr>
            <w:tcW w:w="59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2380"/>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82" w:lineRule="exact"/>
        <w:rPr>
          <w:sz w:val="20"/>
          <w:szCs w:val="20"/>
          <w:color w:val="auto"/>
        </w:rPr>
      </w:pPr>
    </w:p>
    <w:p>
      <w:pPr>
        <w:ind w:left="588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80"/>
          </w:cols>
          <w:pgMar w:left="240" w:top="121" w:right="679" w:bottom="1440" w:gutter="0" w:footer="0" w:header="0"/>
          <w:type w:val="continuous"/>
        </w:sectPr>
      </w:pPr>
    </w:p>
    <w:bookmarkStart w:id="6" w:name="page7"/>
    <w:bookmarkEnd w:id="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52"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(in thousands)</w:t>
      </w:r>
    </w:p>
    <w:p>
      <w:pPr>
        <w:spacing w:after="0" w:line="366"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8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0" w:type="dxa"/>
            <w:vAlign w:val="bottom"/>
            <w:gridSpan w:val="4"/>
          </w:tcPr>
          <w:p>
            <w:pPr>
              <w:jc w:val="right"/>
              <w:ind w:right="371"/>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86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jc w:val="right"/>
              <w:ind w:right="551"/>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864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5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311"/>
              <w:spacing w:after="0"/>
              <w:rPr>
                <w:sz w:val="20"/>
                <w:szCs w:val="20"/>
                <w:color w:val="auto"/>
              </w:rPr>
            </w:pPr>
            <w:r>
              <w:rPr>
                <w:rFonts w:ascii="Arial" w:cs="Arial" w:eastAsia="Arial" w:hAnsi="Arial"/>
                <w:sz w:val="14"/>
                <w:szCs w:val="14"/>
                <w:b w:val="1"/>
                <w:bCs w:val="1"/>
                <w:color w:val="auto"/>
              </w:rPr>
              <w:t>2016</w:t>
            </w:r>
          </w:p>
        </w:tc>
      </w:tr>
      <w:tr>
        <w:trPr>
          <w:trHeight w:val="250"/>
        </w:trPr>
        <w:tc>
          <w:tcPr>
            <w:tcW w:w="8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Operating activities</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r>
      <w:tr>
        <w:trPr>
          <w:trHeight w:val="243"/>
        </w:trPr>
        <w:tc>
          <w:tcPr>
            <w:tcW w:w="864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26,259</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11"/>
              <w:spacing w:after="0"/>
              <w:rPr>
                <w:sz w:val="20"/>
                <w:szCs w:val="20"/>
                <w:color w:val="auto"/>
              </w:rPr>
            </w:pPr>
            <w:r>
              <w:rPr>
                <w:rFonts w:ascii="Arial" w:cs="Arial" w:eastAsia="Arial" w:hAnsi="Arial"/>
                <w:sz w:val="18"/>
                <w:szCs w:val="18"/>
                <w:color w:val="auto"/>
              </w:rPr>
              <w:t>21,893</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8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Adjustments to reconcile net income to net cash flows from operating activities:</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18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15,019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color w:val="auto"/>
              </w:rPr>
              <w:t>12,664</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Amortization of debt related costs</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1,031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1,235</w:t>
            </w: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Provision for excess and obsolete inventory</w:t>
            </w:r>
          </w:p>
        </w:tc>
        <w:tc>
          <w:tcPr>
            <w:tcW w:w="18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1,002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color w:val="auto"/>
              </w:rPr>
              <w:t>982</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Stock-based compensation</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3,764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1,869</w:t>
            </w: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Gain on sales of assets</w:t>
            </w:r>
          </w:p>
        </w:tc>
        <w:tc>
          <w:tcPr>
            <w:tcW w:w="180" w:type="dxa"/>
            <w:vAlign w:val="bottom"/>
          </w:tcPr>
          <w:p>
            <w:pPr>
              <w:spacing w:after="0"/>
              <w:rPr>
                <w:sz w:val="21"/>
                <w:szCs w:val="21"/>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(6,505)</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Loss on extinguishment of debt and debt retirement costs</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2,161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1,415</w:t>
            </w: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Other</w:t>
            </w:r>
          </w:p>
        </w:tc>
        <w:tc>
          <w:tcPr>
            <w:tcW w:w="18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1,404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(254)</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8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Increases (decreases) in cash from operating assets and liabilities:</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Accounts receivable</w:t>
            </w:r>
          </w:p>
        </w:tc>
        <w:tc>
          <w:tcPr>
            <w:tcW w:w="18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(4,609)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color w:val="auto"/>
              </w:rPr>
              <w:t>1,071</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Inventory</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(6,361)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(1,658)</w:t>
            </w: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Other current assets</w:t>
            </w:r>
          </w:p>
        </w:tc>
        <w:tc>
          <w:tcPr>
            <w:tcW w:w="18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(1,032)</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payable</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2,684</w:t>
            </w: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Accrued expenses and other liabilities</w:t>
            </w:r>
          </w:p>
        </w:tc>
        <w:tc>
          <w:tcPr>
            <w:tcW w:w="18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2,237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color w:val="auto"/>
              </w:rPr>
              <w:t>2,497</w:t>
            </w:r>
          </w:p>
        </w:tc>
      </w:tr>
      <w:tr>
        <w:trPr>
          <w:trHeight w:val="27"/>
        </w:trPr>
        <w:tc>
          <w:tcPr>
            <w:tcW w:w="86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64"/>
        </w:trPr>
        <w:tc>
          <w:tcPr>
            <w:tcW w:w="86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Net cash provided by operating activities</w:t>
            </w:r>
          </w:p>
        </w:tc>
        <w:tc>
          <w:tcPr>
            <w:tcW w:w="18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41,691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36,861</w:t>
            </w:r>
          </w:p>
        </w:tc>
      </w:tr>
      <w:tr>
        <w:trPr>
          <w:trHeight w:val="223"/>
        </w:trPr>
        <w:tc>
          <w:tcPr>
            <w:tcW w:w="8640" w:type="dxa"/>
            <w:vAlign w:val="bottom"/>
          </w:tcPr>
          <w:p>
            <w:pPr>
              <w:ind w:left="40"/>
              <w:spacing w:after="0"/>
              <w:rPr>
                <w:sz w:val="20"/>
                <w:szCs w:val="20"/>
                <w:color w:val="auto"/>
              </w:rPr>
            </w:pPr>
            <w:r>
              <w:rPr>
                <w:rFonts w:ascii="Arial" w:cs="Arial" w:eastAsia="Arial" w:hAnsi="Arial"/>
                <w:sz w:val="18"/>
                <w:szCs w:val="18"/>
                <w:b w:val="1"/>
                <w:bCs w:val="1"/>
                <w:color w:val="auto"/>
              </w:rPr>
              <w:t>Investing activities</w:t>
            </w:r>
          </w:p>
        </w:tc>
        <w:tc>
          <w:tcPr>
            <w:tcW w:w="18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r>
      <w:tr>
        <w:trPr>
          <w:trHeight w:val="41"/>
        </w:trPr>
        <w:tc>
          <w:tcPr>
            <w:tcW w:w="8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840" w:type="dxa"/>
            <w:vAlign w:val="bottom"/>
          </w:tcPr>
          <w:p>
            <w:pPr>
              <w:spacing w:after="0"/>
              <w:rPr>
                <w:sz w:val="3"/>
                <w:szCs w:val="3"/>
                <w:color w:val="auto"/>
              </w:rPr>
            </w:pPr>
          </w:p>
        </w:tc>
      </w:tr>
      <w:tr>
        <w:trPr>
          <w:trHeight w:val="25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sales of assets</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1,234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10,541</w:t>
            </w: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Capital expenditures</w:t>
            </w:r>
          </w:p>
        </w:tc>
        <w:tc>
          <w:tcPr>
            <w:tcW w:w="18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(11,589)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(4,976)</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1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74</w:t>
            </w:r>
          </w:p>
        </w:tc>
      </w:tr>
      <w:tr>
        <w:trPr>
          <w:trHeight w:val="237"/>
        </w:trPr>
        <w:tc>
          <w:tcPr>
            <w:tcW w:w="8640" w:type="dxa"/>
            <w:vAlign w:val="bottom"/>
          </w:tcPr>
          <w:p>
            <w:pPr>
              <w:ind w:left="500"/>
              <w:spacing w:after="0"/>
              <w:rPr>
                <w:sz w:val="20"/>
                <w:szCs w:val="20"/>
                <w:color w:val="auto"/>
              </w:rPr>
            </w:pPr>
            <w:r>
              <w:rPr>
                <w:rFonts w:ascii="Arial" w:cs="Arial" w:eastAsia="Arial" w:hAnsi="Arial"/>
                <w:sz w:val="18"/>
                <w:szCs w:val="18"/>
                <w:color w:val="auto"/>
              </w:rPr>
              <w:t>Net cash (used in) provided by investing activities</w:t>
            </w:r>
          </w:p>
        </w:tc>
        <w:tc>
          <w:tcPr>
            <w:tcW w:w="18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(10,355)</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5,639</w:t>
            </w:r>
          </w:p>
        </w:tc>
      </w:tr>
      <w:tr>
        <w:trPr>
          <w:trHeight w:val="27"/>
        </w:trPr>
        <w:tc>
          <w:tcPr>
            <w:tcW w:w="86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44"/>
        </w:trPr>
        <w:tc>
          <w:tcPr>
            <w:tcW w:w="8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Financing activities</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spacing w:after="0"/>
              <w:rPr>
                <w:sz w:val="21"/>
                <w:szCs w:val="21"/>
                <w:color w:val="auto"/>
              </w:rPr>
            </w:pP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Payments on long-term debt</w:t>
            </w:r>
          </w:p>
        </w:tc>
        <w:tc>
          <w:tcPr>
            <w:tcW w:w="18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5"/>
              </w:rPr>
              <w:t>(285,979)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(57,790)</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issuance of long-term debt</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274,313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Proceeds from issuance of common stock</w:t>
            </w:r>
          </w:p>
        </w:tc>
        <w:tc>
          <w:tcPr>
            <w:tcW w:w="18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187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color w:val="auto"/>
              </w:rPr>
              <w:t>41,600</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Payments for public offering costs</w:t>
            </w: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(1,266)</w:t>
            </w: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Proceeds from stock option exercises</w:t>
            </w:r>
          </w:p>
        </w:tc>
        <w:tc>
          <w:tcPr>
            <w:tcW w:w="18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1,210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color w:val="auto"/>
              </w:rPr>
              <w:t>61</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Payments for minimum statutory tax withholding related to net share settlement of equity awards</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(2,681)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(552)</w:t>
            </w:r>
          </w:p>
        </w:tc>
      </w:tr>
      <w:tr>
        <w:trPr>
          <w:trHeight w:val="243"/>
        </w:trPr>
        <w:tc>
          <w:tcPr>
            <w:tcW w:w="8640" w:type="dxa"/>
            <w:vAlign w:val="bottom"/>
          </w:tcPr>
          <w:p>
            <w:pPr>
              <w:ind w:left="280"/>
              <w:spacing w:after="0"/>
              <w:rPr>
                <w:sz w:val="20"/>
                <w:szCs w:val="20"/>
                <w:color w:val="auto"/>
              </w:rPr>
            </w:pPr>
            <w:r>
              <w:rPr>
                <w:rFonts w:ascii="Arial" w:cs="Arial" w:eastAsia="Arial" w:hAnsi="Arial"/>
                <w:sz w:val="18"/>
                <w:szCs w:val="18"/>
                <w:color w:val="auto"/>
              </w:rPr>
              <w:t>Deferred financing costs</w:t>
            </w:r>
          </w:p>
        </w:tc>
        <w:tc>
          <w:tcPr>
            <w:tcW w:w="18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(1,576)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8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18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8640" w:type="dxa"/>
            <w:vAlign w:val="bottom"/>
          </w:tcPr>
          <w:p>
            <w:pPr>
              <w:ind w:left="500"/>
              <w:spacing w:after="0"/>
              <w:rPr>
                <w:sz w:val="20"/>
                <w:szCs w:val="20"/>
                <w:color w:val="auto"/>
              </w:rPr>
            </w:pPr>
            <w:r>
              <w:rPr>
                <w:rFonts w:ascii="Arial" w:cs="Arial" w:eastAsia="Arial" w:hAnsi="Arial"/>
                <w:sz w:val="18"/>
                <w:szCs w:val="18"/>
                <w:color w:val="auto"/>
              </w:rPr>
              <w:t>Net cash used in financing activities</w:t>
            </w:r>
          </w:p>
        </w:tc>
        <w:tc>
          <w:tcPr>
            <w:tcW w:w="18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(14,600)</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(17,958)</w:t>
            </w:r>
          </w:p>
        </w:tc>
      </w:tr>
      <w:tr>
        <w:trPr>
          <w:trHeight w:val="27"/>
        </w:trPr>
        <w:tc>
          <w:tcPr>
            <w:tcW w:w="86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44"/>
        </w:trPr>
        <w:tc>
          <w:tcPr>
            <w:tcW w:w="8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foreign exchange rates on cash and cash equivalents</w:t>
            </w: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57</w:t>
            </w:r>
          </w:p>
        </w:tc>
      </w:tr>
      <w:tr>
        <w:trPr>
          <w:trHeight w:val="243"/>
        </w:trPr>
        <w:tc>
          <w:tcPr>
            <w:tcW w:w="8640" w:type="dxa"/>
            <w:vAlign w:val="bottom"/>
          </w:tcPr>
          <w:p>
            <w:pPr>
              <w:ind w:left="40"/>
              <w:spacing w:after="0"/>
              <w:rPr>
                <w:sz w:val="20"/>
                <w:szCs w:val="20"/>
                <w:color w:val="auto"/>
              </w:rPr>
            </w:pPr>
            <w:r>
              <w:rPr>
                <w:rFonts w:ascii="Arial" w:cs="Arial" w:eastAsia="Arial" w:hAnsi="Arial"/>
                <w:sz w:val="18"/>
                <w:szCs w:val="18"/>
                <w:color w:val="auto"/>
              </w:rPr>
              <w:t>Net increase in cash and cash equivalents</w:t>
            </w:r>
          </w:p>
        </w:tc>
        <w:tc>
          <w:tcPr>
            <w:tcW w:w="180" w:type="dxa"/>
            <w:vAlign w:val="bottom"/>
          </w:tcPr>
          <w:p>
            <w:pPr>
              <w:spacing w:after="0"/>
              <w:rPr>
                <w:sz w:val="21"/>
                <w:szCs w:val="21"/>
                <w:color w:val="auto"/>
              </w:rPr>
            </w:pPr>
          </w:p>
        </w:tc>
        <w:tc>
          <w:tcPr>
            <w:tcW w:w="800" w:type="dxa"/>
            <w:vAlign w:val="bottom"/>
          </w:tcPr>
          <w:p>
            <w:pPr>
              <w:jc w:val="right"/>
              <w:ind w:right="12"/>
              <w:spacing w:after="0"/>
              <w:rPr>
                <w:sz w:val="20"/>
                <w:szCs w:val="20"/>
                <w:color w:val="auto"/>
              </w:rPr>
            </w:pPr>
            <w:r>
              <w:rPr>
                <w:rFonts w:ascii="Arial" w:cs="Arial" w:eastAsia="Arial" w:hAnsi="Arial"/>
                <w:sz w:val="18"/>
                <w:szCs w:val="18"/>
                <w:color w:val="auto"/>
              </w:rPr>
              <w:t>16,899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tcPr>
          <w:p>
            <w:pPr>
              <w:jc w:val="right"/>
              <w:ind w:right="11"/>
              <w:spacing w:after="0"/>
              <w:rPr>
                <w:sz w:val="20"/>
                <w:szCs w:val="20"/>
                <w:color w:val="auto"/>
              </w:rPr>
            </w:pPr>
            <w:r>
              <w:rPr>
                <w:rFonts w:ascii="Arial" w:cs="Arial" w:eastAsia="Arial" w:hAnsi="Arial"/>
                <w:sz w:val="18"/>
                <w:szCs w:val="18"/>
                <w:color w:val="auto"/>
              </w:rPr>
              <w:t>24,599</w:t>
            </w:r>
          </w:p>
        </w:tc>
      </w:tr>
      <w:tr>
        <w:trPr>
          <w:trHeight w:val="27"/>
        </w:trPr>
        <w:tc>
          <w:tcPr>
            <w:tcW w:w="8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8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beginning of period</w:t>
            </w:r>
          </w:p>
        </w:tc>
        <w:tc>
          <w:tcPr>
            <w:tcW w:w="18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51,178</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28,596</w:t>
            </w:r>
          </w:p>
        </w:tc>
      </w:tr>
      <w:tr>
        <w:trPr>
          <w:trHeight w:val="237"/>
        </w:trPr>
        <w:tc>
          <w:tcPr>
            <w:tcW w:w="8640" w:type="dxa"/>
            <w:vAlign w:val="bottom"/>
          </w:tcPr>
          <w:p>
            <w:pPr>
              <w:ind w:left="40"/>
              <w:spacing w:after="0"/>
              <w:rPr>
                <w:sz w:val="20"/>
                <w:szCs w:val="20"/>
                <w:color w:val="auto"/>
              </w:rPr>
            </w:pPr>
            <w:r>
              <w:rPr>
                <w:rFonts w:ascii="Arial" w:cs="Arial" w:eastAsia="Arial" w:hAnsi="Arial"/>
                <w:sz w:val="18"/>
                <w:szCs w:val="18"/>
                <w:color w:val="auto"/>
              </w:rPr>
              <w:t>Cash and cash equivalents, end of period</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68,077</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53,195</w:t>
            </w:r>
          </w:p>
        </w:tc>
      </w:tr>
      <w:tr>
        <w:trPr>
          <w:trHeight w:val="27"/>
        </w:trPr>
        <w:tc>
          <w:tcPr>
            <w:tcW w:w="86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0"/>
        </w:trPr>
        <w:tc>
          <w:tcPr>
            <w:tcW w:w="86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2380"/>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82" w:lineRule="exact"/>
        <w:rPr>
          <w:sz w:val="20"/>
          <w:szCs w:val="20"/>
          <w:color w:val="auto"/>
        </w:rPr>
      </w:pPr>
    </w:p>
    <w:p>
      <w:pPr>
        <w:ind w:left="588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120"/>
          </w:cols>
          <w:pgMar w:left="240" w:top="121" w:right="5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Holdings,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Regarding Company References and Trademarks</w:t>
      </w:r>
    </w:p>
    <w:p>
      <w:pPr>
        <w:spacing w:after="0" w:line="121" w:lineRule="exact"/>
        <w:rPr>
          <w:sz w:val="20"/>
          <w:szCs w:val="20"/>
          <w:color w:val="auto"/>
        </w:rPr>
      </w:pPr>
    </w:p>
    <w:p>
      <w:pPr>
        <w:ind w:right="140" w:firstLine="405"/>
        <w:spacing w:after="0" w:line="235" w:lineRule="auto"/>
        <w:rPr>
          <w:sz w:val="20"/>
          <w:szCs w:val="20"/>
          <w:color w:val="auto"/>
        </w:rPr>
      </w:pPr>
      <w:r>
        <w:rPr>
          <w:rFonts w:ascii="Arial" w:cs="Arial" w:eastAsia="Arial" w:hAnsi="Arial"/>
          <w:sz w:val="18"/>
          <w:szCs w:val="18"/>
          <w:color w:val="auto"/>
        </w:rPr>
        <w:t xml:space="preserve">Unless the context otherwise requires, references to the “Company” and “Lantheus” refer to Lantheus Holdings, Inc. and its direct and indirect wholly-owned subsidiaries, references to “Holdings” refer to Lantheus Holdings, Inc. and not to any of its subsidiaries, and references to “LMI” refer to Lantheus Medical Imaging, Inc., the direct subsidiary of Holdings. Solely for convenience, the Company refers to trademarks, service marks and trade names without the ™, </w:t>
      </w:r>
      <w:r>
        <w:rPr>
          <w:rFonts w:ascii="Arial" w:cs="Arial" w:eastAsia="Arial" w:hAnsi="Arial"/>
          <w:sz w:val="25"/>
          <w:szCs w:val="25"/>
          <w:color w:val="auto"/>
          <w:vertAlign w:val="superscript"/>
        </w:rPr>
        <w:t>SM</w:t>
      </w:r>
      <w:r>
        <w:rPr>
          <w:rFonts w:ascii="Arial" w:cs="Arial" w:eastAsia="Arial" w:hAnsi="Arial"/>
          <w:sz w:val="18"/>
          <w:szCs w:val="18"/>
          <w:color w:val="auto"/>
        </w:rPr>
        <w:t xml:space="preserve"> and </w:t>
      </w:r>
      <w:r>
        <w:rPr>
          <w:rFonts w:ascii="Arial" w:cs="Arial" w:eastAsia="Arial" w:hAnsi="Arial"/>
          <w:sz w:val="25"/>
          <w:szCs w:val="25"/>
          <w:color w:val="auto"/>
          <w:vertAlign w:val="superscript"/>
        </w:rPr>
        <w:t>®</w:t>
      </w:r>
      <w:r>
        <w:rPr>
          <w:rFonts w:ascii="Arial" w:cs="Arial" w:eastAsia="Arial" w:hAnsi="Arial"/>
          <w:sz w:val="18"/>
          <w:szCs w:val="18"/>
          <w:color w:val="auto"/>
        </w:rPr>
        <w:t xml:space="preserve"> symbols. Those references are not intended to indicate, in any way, that the Company will not assert, to the fullest extent permitted under applicable law, its rights to its trademarks, service marks and trade names.</w:t>
      </w:r>
    </w:p>
    <w:p>
      <w:pPr>
        <w:spacing w:after="0" w:line="3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121" w:lineRule="exact"/>
        <w:rPr>
          <w:sz w:val="20"/>
          <w:szCs w:val="20"/>
          <w:color w:val="auto"/>
        </w:rPr>
      </w:pPr>
    </w:p>
    <w:p>
      <w:pPr>
        <w:ind w:firstLine="405"/>
        <w:spacing w:after="0" w:line="272" w:lineRule="auto"/>
        <w:rPr>
          <w:sz w:val="20"/>
          <w:szCs w:val="20"/>
          <w:color w:val="auto"/>
        </w:rPr>
      </w:pPr>
      <w:r>
        <w:rPr>
          <w:rFonts w:ascii="Arial" w:cs="Arial" w:eastAsia="Arial" w:hAnsi="Arial"/>
          <w:sz w:val="17"/>
          <w:szCs w:val="17"/>
          <w:color w:val="auto"/>
        </w:rPr>
        <w:t>The accompanying unaudited condensed consolidated financial statements include the accounts of Lantheus Holdings, Inc. and its direct and indirect wholly-owned subsidiaries and have been prepared in accordance with generally accepted accounting principles for interim financial information and with the instructions to Form 10-Q and Article 10 of Regulation S-X. Accordingly, these condensed consolidated financial statements do not include all of the information and notes required by generally accepted accounting principles in the United States of America (“U.S. GAAP”) for complete financial statements. In the opinion of management, all adjustments (consisting of normal and recurring adjustments) considered necessary for a fair statement have been included. The results of operations for the three and nine months ended September 30, 2017 are not necessarily indicative of the results that may be expected for the year ended December 31, 2017 or any future period.</w:t>
      </w:r>
    </w:p>
    <w:p>
      <w:pPr>
        <w:spacing w:after="0" w:line="191" w:lineRule="exact"/>
        <w:rPr>
          <w:sz w:val="20"/>
          <w:szCs w:val="20"/>
          <w:color w:val="auto"/>
        </w:rPr>
      </w:pPr>
    </w:p>
    <w:p>
      <w:pPr>
        <w:ind w:right="280" w:firstLine="405"/>
        <w:spacing w:after="0" w:line="297" w:lineRule="auto"/>
        <w:rPr>
          <w:sz w:val="20"/>
          <w:szCs w:val="20"/>
          <w:color w:val="auto"/>
        </w:rPr>
      </w:pPr>
      <w:r>
        <w:rPr>
          <w:rFonts w:ascii="Arial" w:cs="Arial" w:eastAsia="Arial" w:hAnsi="Arial"/>
          <w:sz w:val="16"/>
          <w:szCs w:val="16"/>
          <w:color w:val="auto"/>
        </w:rPr>
        <w:t>The condensed consolidated balance sheet at December 31, 2016 has been derived from the audited consolidated financial statements at that date but does not include all of the information and notes required by U.S. GAAP for complete financial statements. These condensed consolidated financial statements and accompanying notes should be read in conjunction with the consolidated financial statements and notes thereto included in Item 8 of the Company’s most recent Annual Report on Form 10-K for the year ended December 31, 2016 filed with the Securities Exchange Commission (“SEC”) on February 23, 2017. Certain immaterial amounts in the prior period have been reclassified to conform to the current period financial statement presentation.</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Manufacturing Concentrations</w:t>
      </w:r>
    </w:p>
    <w:p>
      <w:pPr>
        <w:spacing w:after="0" w:line="117" w:lineRule="exact"/>
        <w:rPr>
          <w:sz w:val="20"/>
          <w:szCs w:val="20"/>
          <w:color w:val="auto"/>
        </w:rPr>
      </w:pPr>
    </w:p>
    <w:p>
      <w:pPr>
        <w:jc w:val="both"/>
        <w:ind w:right="320" w:firstLine="432"/>
        <w:spacing w:after="0" w:line="297" w:lineRule="auto"/>
        <w:rPr>
          <w:sz w:val="20"/>
          <w:szCs w:val="20"/>
          <w:color w:val="auto"/>
        </w:rPr>
      </w:pPr>
      <w:r>
        <w:rPr>
          <w:rFonts w:ascii="Arial" w:cs="Arial" w:eastAsia="Arial" w:hAnsi="Arial"/>
          <w:sz w:val="16"/>
          <w:szCs w:val="16"/>
          <w:color w:val="auto"/>
        </w:rPr>
        <w:t>The Company currently relies on Jubilant HollisterStier (“JHS”) as its sole source manufacturer of DEFINITY, Neurolite, Cardiolite and evacuation vials for TechneLite. The Company has on-going development and technology transfer activities for a next generation DEFINITY product with Samsung BioLogics (“SBL”) located in Songdo, South Korea, approximately 20 miles southwest of Seoul, but can give no assurances as to when those technology transfer activities will be completed and when the Company will begin to receive supply of a next generation DEFINITY product from SBL. In addition, those activities could be adversely affected by on-going political and military tensions on the Korean peninsula.</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Collaboration and License Agreement with GE Healthcare Limited</w:t>
      </w:r>
    </w:p>
    <w:p>
      <w:pPr>
        <w:spacing w:after="0" w:line="117"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On April 25, 2017, the Company announced that it entered into a definitive, exclusive Collaboration and License Agreement (the “License Agreement”) with GE Healthcare Limited (“GE Healthcare”) for the continued Phase III development and worldwide commercialization of flurpiridaz F 18, an investigational positron emission tomography myocardial perfusion imaging agent that may improve the diagnosis of coronary artery disease. Under the License Agreement, GE Healthcare will complete the worldwide development of flurpiridaz F 18, pursue worldwide regulatory approvals and, if successful, lead a worldwide launch and commercialization of the agent, with LMI collaborating on both development and commercialization through a joint steering committee. LMI has an option to co-promote the agent in the U.S. GE Healthcare’s development plan will initially focus on obtaining regulatory approval for flurpiridaz F 18 in the U.S., Japan, Europe and Canada.</w:t>
      </w:r>
    </w:p>
    <w:p>
      <w:pPr>
        <w:spacing w:after="0" w:line="200" w:lineRule="exact"/>
        <w:rPr>
          <w:sz w:val="20"/>
          <w:szCs w:val="20"/>
          <w:color w:val="auto"/>
        </w:rPr>
      </w:pPr>
    </w:p>
    <w:p>
      <w:pPr>
        <w:spacing w:after="0" w:line="246"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121"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6" w:lineRule="exact"/>
        <w:rPr>
          <w:sz w:val="20"/>
          <w:szCs w:val="20"/>
          <w:color w:val="auto"/>
        </w:rPr>
      </w:pPr>
    </w:p>
    <w:p>
      <w:pPr>
        <w:ind w:firstLine="405"/>
        <w:spacing w:after="0" w:line="270" w:lineRule="auto"/>
        <w:rPr>
          <w:sz w:val="20"/>
          <w:szCs w:val="20"/>
          <w:color w:val="auto"/>
        </w:rPr>
      </w:pPr>
      <w:r>
        <w:rPr>
          <w:rFonts w:ascii="Arial" w:cs="Arial" w:eastAsia="Arial" w:hAnsi="Arial"/>
          <w:sz w:val="17"/>
          <w:szCs w:val="17"/>
          <w:color w:val="auto"/>
        </w:rPr>
        <w:t>Under the terms of the License Agreement, the Company received an up-front payment of $5.0 million. In addition, the Company is eligible to receive, from GE Healthcare, up to $60 million in regulatory and sales-based milestones and tiered double-digit royalties on U.S. sales and mid-single digit royalties on sales outside the U.S. Because the Company concluded there was only one significant deliverable under the License Agreement, consisting of the license of the product which occurred upon the signing of the License Agreement, the Company recognized $5.0 million associated with entering into the license as revenue during the nine months ended September 30, 2017. In addition, because the Company concluded that the regulatory and sales-based milestones are solely dependent on GE Healthcare’s performance and there are no continuing performance obligations from the Company, all development and sales milestones under the License Agreement are considered non-substantive. As of September 30, 2017, the Company has not recognized revenue for those milestones under the License Agreement and will recognize such revenue in the periods in which the milestones are achieved. Similarly, the Company will recognize royalty revenues in the periods of the sale of the related products, provided that the reported sales are reliably measurable, collectability is reasonably assured and the Company has no further performance obligations.</w:t>
      </w:r>
    </w:p>
    <w:p>
      <w:pPr>
        <w:spacing w:after="0" w:line="3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17" w:lineRule="exact"/>
        <w:rPr>
          <w:sz w:val="20"/>
          <w:szCs w:val="20"/>
          <w:color w:val="auto"/>
        </w:rPr>
      </w:pPr>
    </w:p>
    <w:p>
      <w:pPr>
        <w:ind w:right="640" w:firstLine="432"/>
        <w:spacing w:after="0" w:line="277" w:lineRule="auto"/>
        <w:rPr>
          <w:sz w:val="20"/>
          <w:szCs w:val="20"/>
          <w:color w:val="auto"/>
        </w:rPr>
      </w:pPr>
      <w:r>
        <w:rPr>
          <w:rFonts w:ascii="Arial" w:cs="Arial" w:eastAsia="Arial" w:hAnsi="Arial"/>
          <w:sz w:val="18"/>
          <w:szCs w:val="18"/>
          <w:color w:val="auto"/>
        </w:rPr>
        <w:t>The following table provides a description of recent accounting pronouncements that may have a material effect on the Company’s condensed consolidated financial statements:</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315"/>
        </w:trPr>
        <w:tc>
          <w:tcPr>
            <w:tcW w:w="20" w:type="dxa"/>
            <w:vAlign w:val="bottom"/>
            <w:tcBorders>
              <w:top w:val="single" w:sz="8" w:color="CCCCCC"/>
            </w:tcBorders>
            <w:shd w:val="clear" w:color="auto" w:fill="CCCCCC"/>
          </w:tcPr>
          <w:p>
            <w:pPr>
              <w:spacing w:after="0"/>
              <w:rPr>
                <w:sz w:val="24"/>
                <w:szCs w:val="24"/>
                <w:color w:val="auto"/>
              </w:rPr>
            </w:pPr>
          </w:p>
        </w:tc>
        <w:tc>
          <w:tcPr>
            <w:tcW w:w="1680" w:type="dxa"/>
            <w:vAlign w:val="bottom"/>
            <w:tcBorders>
              <w:top w:val="single" w:sz="8" w:color="CCCCCC"/>
            </w:tcBorders>
            <w:vMerge w:val="restart"/>
          </w:tcPr>
          <w:p>
            <w:pPr>
              <w:ind w:left="560"/>
              <w:spacing w:after="0"/>
              <w:rPr>
                <w:sz w:val="20"/>
                <w:szCs w:val="20"/>
                <w:color w:val="auto"/>
              </w:rPr>
            </w:pPr>
            <w:r>
              <w:rPr>
                <w:rFonts w:ascii="Arial" w:cs="Arial" w:eastAsia="Arial" w:hAnsi="Arial"/>
                <w:sz w:val="14"/>
                <w:szCs w:val="14"/>
                <w:b w:val="1"/>
                <w:bCs w:val="1"/>
                <w:color w:val="auto"/>
              </w:rPr>
              <w:t>Standard</w:t>
            </w:r>
          </w:p>
        </w:tc>
        <w:tc>
          <w:tcPr>
            <w:tcW w:w="20" w:type="dxa"/>
            <w:vAlign w:val="bottom"/>
            <w:tcBorders>
              <w:top w:val="single" w:sz="8" w:color="CCCCCC"/>
            </w:tcBorders>
            <w:shd w:val="clear" w:color="auto" w:fill="CCCCCC"/>
          </w:tcPr>
          <w:p>
            <w:pPr>
              <w:spacing w:after="0"/>
              <w:rPr>
                <w:sz w:val="24"/>
                <w:szCs w:val="24"/>
                <w:color w:val="auto"/>
              </w:rPr>
            </w:pPr>
          </w:p>
        </w:tc>
        <w:tc>
          <w:tcPr>
            <w:tcW w:w="4280" w:type="dxa"/>
            <w:vAlign w:val="bottom"/>
            <w:tcBorders>
              <w:top w:val="single" w:sz="8" w:color="CCCCCC"/>
            </w:tcBorders>
            <w:vMerge w:val="restart"/>
          </w:tcPr>
          <w:p>
            <w:pPr>
              <w:ind w:left="1840"/>
              <w:spacing w:after="0"/>
              <w:rPr>
                <w:sz w:val="20"/>
                <w:szCs w:val="20"/>
                <w:color w:val="auto"/>
              </w:rPr>
            </w:pPr>
            <w:r>
              <w:rPr>
                <w:rFonts w:ascii="Arial" w:cs="Arial" w:eastAsia="Arial" w:hAnsi="Arial"/>
                <w:sz w:val="14"/>
                <w:szCs w:val="14"/>
                <w:b w:val="1"/>
                <w:bCs w:val="1"/>
                <w:color w:val="auto"/>
              </w:rPr>
              <w:t>Description</w:t>
            </w:r>
          </w:p>
        </w:tc>
        <w:tc>
          <w:tcPr>
            <w:tcW w:w="20" w:type="dxa"/>
            <w:vAlign w:val="bottom"/>
            <w:tcBorders>
              <w:top w:val="single" w:sz="8" w:color="CCCCCC"/>
            </w:tcBorders>
            <w:shd w:val="clear" w:color="auto" w:fill="CCCCCC"/>
          </w:tcPr>
          <w:p>
            <w:pPr>
              <w:spacing w:after="0"/>
              <w:rPr>
                <w:sz w:val="24"/>
                <w:szCs w:val="24"/>
                <w:color w:val="auto"/>
              </w:rPr>
            </w:pPr>
          </w:p>
        </w:tc>
        <w:tc>
          <w:tcPr>
            <w:tcW w:w="1640" w:type="dxa"/>
            <w:vAlign w:val="bottom"/>
            <w:tcBorders>
              <w:top w:val="single" w:sz="8" w:color="CCCCCC"/>
            </w:tcBorders>
          </w:tcPr>
          <w:p>
            <w:pPr>
              <w:jc w:val="center"/>
              <w:ind w:left="28"/>
              <w:spacing w:after="0"/>
              <w:rPr>
                <w:sz w:val="20"/>
                <w:szCs w:val="20"/>
                <w:color w:val="auto"/>
              </w:rPr>
            </w:pPr>
            <w:r>
              <w:rPr>
                <w:rFonts w:ascii="Arial" w:cs="Arial" w:eastAsia="Arial" w:hAnsi="Arial"/>
                <w:sz w:val="14"/>
                <w:szCs w:val="14"/>
                <w:b w:val="1"/>
                <w:bCs w:val="1"/>
                <w:color w:val="auto"/>
                <w:w w:val="92"/>
              </w:rPr>
              <w:t>Effective Date</w:t>
            </w:r>
          </w:p>
        </w:tc>
        <w:tc>
          <w:tcPr>
            <w:tcW w:w="20" w:type="dxa"/>
            <w:vAlign w:val="bottom"/>
            <w:tcBorders>
              <w:top w:val="single" w:sz="8" w:color="CCCCCC"/>
            </w:tcBorders>
            <w:shd w:val="clear" w:color="auto" w:fill="CCCCCC"/>
          </w:tcPr>
          <w:p>
            <w:pPr>
              <w:spacing w:after="0"/>
              <w:rPr>
                <w:sz w:val="24"/>
                <w:szCs w:val="24"/>
                <w:color w:val="auto"/>
              </w:rPr>
            </w:pPr>
          </w:p>
        </w:tc>
        <w:tc>
          <w:tcPr>
            <w:tcW w:w="3140" w:type="dxa"/>
            <w:vAlign w:val="bottom"/>
            <w:tcBorders>
              <w:top w:val="single" w:sz="8" w:color="CCCCCC"/>
            </w:tcBorders>
          </w:tcPr>
          <w:p>
            <w:pPr>
              <w:ind w:left="440"/>
              <w:spacing w:after="0"/>
              <w:rPr>
                <w:sz w:val="20"/>
                <w:szCs w:val="20"/>
                <w:color w:val="auto"/>
              </w:rPr>
            </w:pPr>
            <w:r>
              <w:rPr>
                <w:rFonts w:ascii="Arial" w:cs="Arial" w:eastAsia="Arial" w:hAnsi="Arial"/>
                <w:sz w:val="14"/>
                <w:szCs w:val="14"/>
                <w:b w:val="1"/>
                <w:bCs w:val="1"/>
                <w:color w:val="auto"/>
              </w:rPr>
              <w:t>Effect on the Condensed Consolidated</w:t>
            </w:r>
          </w:p>
        </w:tc>
        <w:tc>
          <w:tcPr>
            <w:tcW w:w="20" w:type="dxa"/>
            <w:vAlign w:val="bottom"/>
            <w:tcBorders>
              <w:top w:val="single" w:sz="8" w:color="CCCCCC"/>
            </w:tcBorders>
            <w:shd w:val="clear" w:color="auto" w:fill="CCCCCC"/>
          </w:tcPr>
          <w:p>
            <w:pPr>
              <w:spacing w:after="0"/>
              <w:rPr>
                <w:sz w:val="24"/>
                <w:szCs w:val="24"/>
                <w:color w:val="auto"/>
              </w:rPr>
            </w:pPr>
          </w:p>
        </w:tc>
        <w:tc>
          <w:tcPr>
            <w:tcW w:w="0" w:type="dxa"/>
            <w:vAlign w:val="bottom"/>
          </w:tcPr>
          <w:p>
            <w:pPr>
              <w:spacing w:after="0"/>
              <w:rPr>
                <w:sz w:val="1"/>
                <w:szCs w:val="1"/>
                <w:color w:val="auto"/>
              </w:rPr>
            </w:pPr>
          </w:p>
        </w:tc>
      </w:tr>
      <w:tr>
        <w:trPr>
          <w:trHeight w:val="105"/>
        </w:trPr>
        <w:tc>
          <w:tcPr>
            <w:tcW w:w="20" w:type="dxa"/>
            <w:vAlign w:val="bottom"/>
            <w:shd w:val="clear" w:color="auto" w:fill="CCCCCC"/>
          </w:tcPr>
          <w:p>
            <w:pPr>
              <w:spacing w:after="0"/>
              <w:rPr>
                <w:sz w:val="9"/>
                <w:szCs w:val="9"/>
                <w:color w:val="auto"/>
              </w:rPr>
            </w:pPr>
          </w:p>
        </w:tc>
        <w:tc>
          <w:tcPr>
            <w:tcW w:w="1680" w:type="dxa"/>
            <w:vAlign w:val="bottom"/>
            <w:vMerge w:val="continue"/>
          </w:tcPr>
          <w:p>
            <w:pPr>
              <w:spacing w:after="0"/>
              <w:rPr>
                <w:sz w:val="9"/>
                <w:szCs w:val="9"/>
                <w:color w:val="auto"/>
              </w:rPr>
            </w:pPr>
          </w:p>
        </w:tc>
        <w:tc>
          <w:tcPr>
            <w:tcW w:w="20" w:type="dxa"/>
            <w:vAlign w:val="bottom"/>
            <w:shd w:val="clear" w:color="auto" w:fill="CCCCCC"/>
          </w:tcPr>
          <w:p>
            <w:pPr>
              <w:spacing w:after="0"/>
              <w:rPr>
                <w:sz w:val="9"/>
                <w:szCs w:val="9"/>
                <w:color w:val="auto"/>
              </w:rPr>
            </w:pPr>
          </w:p>
        </w:tc>
        <w:tc>
          <w:tcPr>
            <w:tcW w:w="4280" w:type="dxa"/>
            <w:vAlign w:val="bottom"/>
            <w:vMerge w:val="continue"/>
          </w:tcPr>
          <w:p>
            <w:pPr>
              <w:spacing w:after="0"/>
              <w:rPr>
                <w:sz w:val="9"/>
                <w:szCs w:val="9"/>
                <w:color w:val="auto"/>
              </w:rPr>
            </w:pPr>
          </w:p>
        </w:tc>
        <w:tc>
          <w:tcPr>
            <w:tcW w:w="20" w:type="dxa"/>
            <w:vAlign w:val="bottom"/>
            <w:shd w:val="clear" w:color="auto" w:fill="CCCCCC"/>
          </w:tcPr>
          <w:p>
            <w:pPr>
              <w:spacing w:after="0"/>
              <w:rPr>
                <w:sz w:val="9"/>
                <w:szCs w:val="9"/>
                <w:color w:val="auto"/>
              </w:rPr>
            </w:pPr>
          </w:p>
        </w:tc>
        <w:tc>
          <w:tcPr>
            <w:tcW w:w="1640" w:type="dxa"/>
            <w:vAlign w:val="bottom"/>
            <w:vMerge w:val="restart"/>
          </w:tcPr>
          <w:p>
            <w:pPr>
              <w:jc w:val="center"/>
              <w:ind w:left="28"/>
              <w:spacing w:after="0"/>
              <w:rPr>
                <w:sz w:val="20"/>
                <w:szCs w:val="20"/>
                <w:color w:val="auto"/>
              </w:rPr>
            </w:pPr>
            <w:r>
              <w:rPr>
                <w:rFonts w:ascii="Arial" w:cs="Arial" w:eastAsia="Arial" w:hAnsi="Arial"/>
                <w:sz w:val="14"/>
                <w:szCs w:val="14"/>
                <w:b w:val="1"/>
                <w:bCs w:val="1"/>
                <w:color w:val="auto"/>
                <w:w w:val="94"/>
              </w:rPr>
              <w:t>for Company</w:t>
            </w:r>
          </w:p>
        </w:tc>
        <w:tc>
          <w:tcPr>
            <w:tcW w:w="20" w:type="dxa"/>
            <w:vAlign w:val="bottom"/>
            <w:shd w:val="clear" w:color="auto" w:fill="CCCCCC"/>
          </w:tcPr>
          <w:p>
            <w:pPr>
              <w:spacing w:after="0"/>
              <w:rPr>
                <w:sz w:val="9"/>
                <w:szCs w:val="9"/>
                <w:color w:val="auto"/>
              </w:rPr>
            </w:pPr>
          </w:p>
        </w:tc>
        <w:tc>
          <w:tcPr>
            <w:tcW w:w="3140" w:type="dxa"/>
            <w:vAlign w:val="bottom"/>
            <w:vMerge w:val="restart"/>
          </w:tcPr>
          <w:p>
            <w:pPr>
              <w:ind w:left="980"/>
              <w:spacing w:after="0"/>
              <w:rPr>
                <w:sz w:val="20"/>
                <w:szCs w:val="20"/>
                <w:color w:val="auto"/>
              </w:rPr>
            </w:pPr>
            <w:r>
              <w:rPr>
                <w:rFonts w:ascii="Arial" w:cs="Arial" w:eastAsia="Arial" w:hAnsi="Arial"/>
                <w:sz w:val="14"/>
                <w:szCs w:val="14"/>
                <w:b w:val="1"/>
                <w:bCs w:val="1"/>
                <w:color w:val="auto"/>
              </w:rPr>
              <w:t>Financial Statements</w:t>
            </w:r>
          </w:p>
        </w:tc>
        <w:tc>
          <w:tcPr>
            <w:tcW w:w="20" w:type="dxa"/>
            <w:vAlign w:val="bottom"/>
            <w:shd w:val="clear" w:color="auto" w:fill="CCCCCC"/>
          </w:tcPr>
          <w:p>
            <w:pPr>
              <w:spacing w:after="0"/>
              <w:rPr>
                <w:sz w:val="9"/>
                <w:szCs w:val="9"/>
                <w:color w:val="auto"/>
              </w:rPr>
            </w:pPr>
          </w:p>
        </w:tc>
        <w:tc>
          <w:tcPr>
            <w:tcW w:w="0" w:type="dxa"/>
            <w:vAlign w:val="bottom"/>
          </w:tcPr>
          <w:p>
            <w:pPr>
              <w:spacing w:after="0"/>
              <w:rPr>
                <w:sz w:val="1"/>
                <w:szCs w:val="1"/>
                <w:color w:val="auto"/>
              </w:rPr>
            </w:pPr>
          </w:p>
        </w:tc>
      </w:tr>
      <w:tr>
        <w:trPr>
          <w:trHeight w:val="81"/>
        </w:trPr>
        <w:tc>
          <w:tcPr>
            <w:tcW w:w="20" w:type="dxa"/>
            <w:vAlign w:val="bottom"/>
            <w:shd w:val="clear" w:color="auto" w:fill="CCCCCC"/>
          </w:tcPr>
          <w:p>
            <w:pPr>
              <w:spacing w:after="0"/>
              <w:rPr>
                <w:sz w:val="7"/>
                <w:szCs w:val="7"/>
                <w:color w:val="auto"/>
              </w:rPr>
            </w:pPr>
          </w:p>
        </w:tc>
        <w:tc>
          <w:tcPr>
            <w:tcW w:w="1680" w:type="dxa"/>
            <w:vAlign w:val="bottom"/>
          </w:tcPr>
          <w:p>
            <w:pPr>
              <w:spacing w:after="0"/>
              <w:rPr>
                <w:sz w:val="7"/>
                <w:szCs w:val="7"/>
                <w:color w:val="auto"/>
              </w:rPr>
            </w:pPr>
          </w:p>
        </w:tc>
        <w:tc>
          <w:tcPr>
            <w:tcW w:w="20" w:type="dxa"/>
            <w:vAlign w:val="bottom"/>
            <w:shd w:val="clear" w:color="auto" w:fill="CCCCCC"/>
          </w:tcPr>
          <w:p>
            <w:pPr>
              <w:spacing w:after="0"/>
              <w:rPr>
                <w:sz w:val="7"/>
                <w:szCs w:val="7"/>
                <w:color w:val="auto"/>
              </w:rPr>
            </w:pPr>
          </w:p>
        </w:tc>
        <w:tc>
          <w:tcPr>
            <w:tcW w:w="4280" w:type="dxa"/>
            <w:vAlign w:val="bottom"/>
          </w:tcPr>
          <w:p>
            <w:pPr>
              <w:spacing w:after="0"/>
              <w:rPr>
                <w:sz w:val="7"/>
                <w:szCs w:val="7"/>
                <w:color w:val="auto"/>
              </w:rPr>
            </w:pPr>
          </w:p>
        </w:tc>
        <w:tc>
          <w:tcPr>
            <w:tcW w:w="20" w:type="dxa"/>
            <w:vAlign w:val="bottom"/>
            <w:shd w:val="clear" w:color="auto" w:fill="CCCCCC"/>
          </w:tcPr>
          <w:p>
            <w:pPr>
              <w:spacing w:after="0"/>
              <w:rPr>
                <w:sz w:val="7"/>
                <w:szCs w:val="7"/>
                <w:color w:val="auto"/>
              </w:rPr>
            </w:pPr>
          </w:p>
        </w:tc>
        <w:tc>
          <w:tcPr>
            <w:tcW w:w="1640" w:type="dxa"/>
            <w:vAlign w:val="bottom"/>
            <w:vMerge w:val="continue"/>
          </w:tcPr>
          <w:p>
            <w:pPr>
              <w:spacing w:after="0"/>
              <w:rPr>
                <w:sz w:val="7"/>
                <w:szCs w:val="7"/>
                <w:color w:val="auto"/>
              </w:rPr>
            </w:pPr>
          </w:p>
        </w:tc>
        <w:tc>
          <w:tcPr>
            <w:tcW w:w="20" w:type="dxa"/>
            <w:vAlign w:val="bottom"/>
            <w:shd w:val="clear" w:color="auto" w:fill="CCCCCC"/>
          </w:tcPr>
          <w:p>
            <w:pPr>
              <w:spacing w:after="0"/>
              <w:rPr>
                <w:sz w:val="7"/>
                <w:szCs w:val="7"/>
                <w:color w:val="auto"/>
              </w:rPr>
            </w:pPr>
          </w:p>
        </w:tc>
        <w:tc>
          <w:tcPr>
            <w:tcW w:w="3140" w:type="dxa"/>
            <w:vAlign w:val="bottom"/>
            <w:vMerge w:val="continue"/>
          </w:tcPr>
          <w:p>
            <w:pPr>
              <w:spacing w:after="0"/>
              <w:rPr>
                <w:sz w:val="7"/>
                <w:szCs w:val="7"/>
                <w:color w:val="auto"/>
              </w:rPr>
            </w:pPr>
          </w:p>
        </w:tc>
        <w:tc>
          <w:tcPr>
            <w:tcW w:w="20" w:type="dxa"/>
            <w:vAlign w:val="bottom"/>
            <w:shd w:val="clear" w:color="auto" w:fill="CCCCCC"/>
          </w:tcPr>
          <w:p>
            <w:pPr>
              <w:spacing w:after="0"/>
              <w:rPr>
                <w:sz w:val="7"/>
                <w:szCs w:val="7"/>
                <w:color w:val="auto"/>
              </w:rPr>
            </w:pPr>
          </w:p>
        </w:tc>
        <w:tc>
          <w:tcPr>
            <w:tcW w:w="0" w:type="dxa"/>
            <w:vAlign w:val="bottom"/>
          </w:tcPr>
          <w:p>
            <w:pPr>
              <w:spacing w:after="0"/>
              <w:rPr>
                <w:sz w:val="1"/>
                <w:szCs w:val="1"/>
                <w:color w:val="auto"/>
              </w:rPr>
            </w:pPr>
          </w:p>
        </w:tc>
      </w:tr>
      <w:tr>
        <w:trPr>
          <w:trHeight w:val="168"/>
        </w:trPr>
        <w:tc>
          <w:tcPr>
            <w:tcW w:w="20" w:type="dxa"/>
            <w:vAlign w:val="bottom"/>
            <w:tcBorders>
              <w:bottom w:val="single" w:sz="8" w:color="7F7F7F"/>
            </w:tcBorders>
            <w:shd w:val="clear" w:color="auto" w:fill="CCCCCC"/>
          </w:tcPr>
          <w:p>
            <w:pPr>
              <w:spacing w:after="0"/>
              <w:rPr>
                <w:sz w:val="14"/>
                <w:szCs w:val="14"/>
                <w:color w:val="auto"/>
              </w:rPr>
            </w:pPr>
          </w:p>
        </w:tc>
        <w:tc>
          <w:tcPr>
            <w:tcW w:w="1680" w:type="dxa"/>
            <w:vAlign w:val="bottom"/>
            <w:tcBorders>
              <w:bottom w:val="single" w:sz="8" w:color="7F7F7F"/>
            </w:tcBorders>
          </w:tcPr>
          <w:p>
            <w:pPr>
              <w:spacing w:after="0"/>
              <w:rPr>
                <w:sz w:val="14"/>
                <w:szCs w:val="14"/>
                <w:color w:val="auto"/>
              </w:rPr>
            </w:pPr>
          </w:p>
        </w:tc>
        <w:tc>
          <w:tcPr>
            <w:tcW w:w="20" w:type="dxa"/>
            <w:vAlign w:val="bottom"/>
            <w:tcBorders>
              <w:bottom w:val="single" w:sz="8" w:color="7F7F7F"/>
            </w:tcBorders>
            <w:shd w:val="clear" w:color="auto" w:fill="CCCCCC"/>
          </w:tcPr>
          <w:p>
            <w:pPr>
              <w:spacing w:after="0"/>
              <w:rPr>
                <w:sz w:val="14"/>
                <w:szCs w:val="14"/>
                <w:color w:val="auto"/>
              </w:rPr>
            </w:pPr>
          </w:p>
        </w:tc>
        <w:tc>
          <w:tcPr>
            <w:tcW w:w="4280" w:type="dxa"/>
            <w:vAlign w:val="bottom"/>
            <w:tcBorders>
              <w:bottom w:val="single" w:sz="8" w:color="7F7F7F"/>
            </w:tcBorders>
          </w:tcPr>
          <w:p>
            <w:pPr>
              <w:spacing w:after="0"/>
              <w:rPr>
                <w:sz w:val="14"/>
                <w:szCs w:val="14"/>
                <w:color w:val="auto"/>
              </w:rPr>
            </w:pPr>
          </w:p>
        </w:tc>
        <w:tc>
          <w:tcPr>
            <w:tcW w:w="20" w:type="dxa"/>
            <w:vAlign w:val="bottom"/>
            <w:tcBorders>
              <w:bottom w:val="single" w:sz="8" w:color="7F7F7F"/>
            </w:tcBorders>
            <w:shd w:val="clear" w:color="auto" w:fill="CCCCCC"/>
          </w:tcPr>
          <w:p>
            <w:pPr>
              <w:spacing w:after="0"/>
              <w:rPr>
                <w:sz w:val="14"/>
                <w:szCs w:val="14"/>
                <w:color w:val="auto"/>
              </w:rPr>
            </w:pPr>
          </w:p>
        </w:tc>
        <w:tc>
          <w:tcPr>
            <w:tcW w:w="1640" w:type="dxa"/>
            <w:vAlign w:val="bottom"/>
            <w:tcBorders>
              <w:bottom w:val="single" w:sz="8" w:color="7F7F7F"/>
            </w:tcBorders>
          </w:tcPr>
          <w:p>
            <w:pPr>
              <w:spacing w:after="0"/>
              <w:rPr>
                <w:sz w:val="14"/>
                <w:szCs w:val="14"/>
                <w:color w:val="auto"/>
              </w:rPr>
            </w:pPr>
          </w:p>
        </w:tc>
        <w:tc>
          <w:tcPr>
            <w:tcW w:w="20" w:type="dxa"/>
            <w:vAlign w:val="bottom"/>
            <w:tcBorders>
              <w:bottom w:val="single" w:sz="8" w:color="7F7F7F"/>
            </w:tcBorders>
            <w:shd w:val="clear" w:color="auto" w:fill="CCCCCC"/>
          </w:tcPr>
          <w:p>
            <w:pPr>
              <w:spacing w:after="0"/>
              <w:rPr>
                <w:sz w:val="14"/>
                <w:szCs w:val="14"/>
                <w:color w:val="auto"/>
              </w:rPr>
            </w:pPr>
          </w:p>
        </w:tc>
        <w:tc>
          <w:tcPr>
            <w:tcW w:w="3140" w:type="dxa"/>
            <w:vAlign w:val="bottom"/>
            <w:tcBorders>
              <w:bottom w:val="single" w:sz="8" w:color="7F7F7F"/>
            </w:tcBorders>
          </w:tcPr>
          <w:p>
            <w:pPr>
              <w:spacing w:after="0"/>
              <w:rPr>
                <w:sz w:val="14"/>
                <w:szCs w:val="14"/>
                <w:color w:val="auto"/>
              </w:rPr>
            </w:pPr>
          </w:p>
        </w:tc>
        <w:tc>
          <w:tcPr>
            <w:tcW w:w="20" w:type="dxa"/>
            <w:vAlign w:val="bottom"/>
            <w:tcBorders>
              <w:bottom w:val="single" w:sz="8" w:color="7F7F7F"/>
            </w:tcBorders>
            <w:shd w:val="clear" w:color="auto" w:fill="CCCCCC"/>
          </w:tcPr>
          <w:p>
            <w:pPr>
              <w:spacing w:after="0"/>
              <w:rPr>
                <w:sz w:val="14"/>
                <w:szCs w:val="14"/>
                <w:color w:val="auto"/>
              </w:rPr>
            </w:pPr>
          </w:p>
        </w:tc>
        <w:tc>
          <w:tcPr>
            <w:tcW w:w="0" w:type="dxa"/>
            <w:vAlign w:val="bottom"/>
          </w:tcPr>
          <w:p>
            <w:pPr>
              <w:spacing w:after="0"/>
              <w:rPr>
                <w:sz w:val="1"/>
                <w:szCs w:val="1"/>
                <w:color w:val="auto"/>
              </w:rPr>
            </w:pPr>
          </w:p>
        </w:tc>
      </w:tr>
      <w:tr>
        <w:trPr>
          <w:trHeight w:val="197"/>
        </w:trPr>
        <w:tc>
          <w:tcPr>
            <w:tcW w:w="20" w:type="dxa"/>
            <w:vAlign w:val="bottom"/>
            <w:tcBorders>
              <w:bottom w:val="single" w:sz="8" w:color="CCCCCC"/>
            </w:tcBorders>
            <w:shd w:val="clear" w:color="auto" w:fill="CCCCCC"/>
          </w:tcPr>
          <w:p>
            <w:pPr>
              <w:spacing w:after="0"/>
              <w:rPr>
                <w:sz w:val="17"/>
                <w:szCs w:val="17"/>
                <w:color w:val="auto"/>
              </w:rPr>
            </w:pPr>
          </w:p>
        </w:tc>
        <w:tc>
          <w:tcPr>
            <w:tcW w:w="5980" w:type="dxa"/>
            <w:vAlign w:val="bottom"/>
            <w:tcBorders>
              <w:bottom w:val="single" w:sz="8" w:color="CCCCCC"/>
            </w:tcBorders>
            <w:gridSpan w:val="3"/>
          </w:tcPr>
          <w:p>
            <w:pPr>
              <w:ind w:left="20"/>
              <w:spacing w:after="0"/>
              <w:rPr>
                <w:sz w:val="20"/>
                <w:szCs w:val="20"/>
                <w:color w:val="auto"/>
              </w:rPr>
            </w:pPr>
            <w:r>
              <w:rPr>
                <w:rFonts w:ascii="Arial" w:cs="Arial" w:eastAsia="Arial" w:hAnsi="Arial"/>
                <w:sz w:val="14"/>
                <w:szCs w:val="14"/>
                <w:b w:val="1"/>
                <w:bCs w:val="1"/>
                <w:color w:val="auto"/>
              </w:rPr>
              <w:t>Recently Issued Accounting Standards Not Yet Adopted</w:t>
            </w:r>
          </w:p>
        </w:tc>
        <w:tc>
          <w:tcPr>
            <w:tcW w:w="20" w:type="dxa"/>
            <w:vAlign w:val="bottom"/>
            <w:tcBorders>
              <w:bottom w:val="single" w:sz="8" w:color="CCCCCC"/>
            </w:tcBorders>
          </w:tcPr>
          <w:p>
            <w:pPr>
              <w:spacing w:after="0"/>
              <w:rPr>
                <w:sz w:val="17"/>
                <w:szCs w:val="17"/>
                <w:color w:val="auto"/>
              </w:rPr>
            </w:pPr>
          </w:p>
        </w:tc>
        <w:tc>
          <w:tcPr>
            <w:tcW w:w="1640" w:type="dxa"/>
            <w:vAlign w:val="bottom"/>
            <w:tcBorders>
              <w:bottom w:val="single" w:sz="8" w:color="CCCCCC"/>
            </w:tcBorders>
          </w:tcPr>
          <w:p>
            <w:pPr>
              <w:spacing w:after="0"/>
              <w:rPr>
                <w:sz w:val="17"/>
                <w:szCs w:val="17"/>
                <w:color w:val="auto"/>
              </w:rPr>
            </w:pPr>
          </w:p>
        </w:tc>
        <w:tc>
          <w:tcPr>
            <w:tcW w:w="20" w:type="dxa"/>
            <w:vAlign w:val="bottom"/>
            <w:tcBorders>
              <w:bottom w:val="single" w:sz="8" w:color="CCCCCC"/>
            </w:tcBorders>
          </w:tcPr>
          <w:p>
            <w:pPr>
              <w:spacing w:after="0"/>
              <w:rPr>
                <w:sz w:val="17"/>
                <w:szCs w:val="17"/>
                <w:color w:val="auto"/>
              </w:rPr>
            </w:pPr>
          </w:p>
        </w:tc>
        <w:tc>
          <w:tcPr>
            <w:tcW w:w="3140" w:type="dxa"/>
            <w:vAlign w:val="bottom"/>
            <w:tcBorders>
              <w:bottom w:val="single" w:sz="8" w:color="CCCCCC"/>
            </w:tcBorders>
          </w:tcPr>
          <w:p>
            <w:pPr>
              <w:spacing w:after="0"/>
              <w:rPr>
                <w:sz w:val="17"/>
                <w:szCs w:val="17"/>
                <w:color w:val="auto"/>
              </w:rPr>
            </w:pPr>
          </w:p>
        </w:tc>
        <w:tc>
          <w:tcPr>
            <w:tcW w:w="20" w:type="dxa"/>
            <w:vAlign w:val="bottom"/>
            <w:tcBorders>
              <w:bottom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0" w:type="dxa"/>
            <w:vAlign w:val="bottom"/>
            <w:shd w:val="clear" w:color="auto" w:fill="ACACAC"/>
          </w:tcPr>
          <w:p>
            <w:pPr>
              <w:spacing w:after="0"/>
              <w:rPr>
                <w:sz w:val="17"/>
                <w:szCs w:val="17"/>
                <w:color w:val="auto"/>
              </w:rPr>
            </w:pPr>
          </w:p>
        </w:tc>
        <w:tc>
          <w:tcPr>
            <w:tcW w:w="1680" w:type="dxa"/>
            <w:vAlign w:val="bottom"/>
            <w:vMerge w:val="restart"/>
          </w:tcPr>
          <w:p>
            <w:pPr>
              <w:ind w:left="20"/>
              <w:spacing w:after="0"/>
              <w:rPr>
                <w:sz w:val="20"/>
                <w:szCs w:val="20"/>
                <w:color w:val="auto"/>
              </w:rPr>
            </w:pPr>
            <w:r>
              <w:rPr>
                <w:rFonts w:ascii="Arial" w:cs="Arial" w:eastAsia="Arial" w:hAnsi="Arial"/>
                <w:sz w:val="14"/>
                <w:szCs w:val="14"/>
                <w:color w:val="auto"/>
              </w:rPr>
              <w:t>ASU 2017-09,</w:t>
            </w:r>
          </w:p>
        </w:tc>
        <w:tc>
          <w:tcPr>
            <w:tcW w:w="20" w:type="dxa"/>
            <w:vAlign w:val="bottom"/>
            <w:shd w:val="clear" w:color="auto" w:fill="CCCCCC"/>
          </w:tcPr>
          <w:p>
            <w:pPr>
              <w:spacing w:after="0"/>
              <w:rPr>
                <w:sz w:val="17"/>
                <w:szCs w:val="17"/>
                <w:color w:val="auto"/>
              </w:rPr>
            </w:pPr>
          </w:p>
        </w:tc>
        <w:tc>
          <w:tcPr>
            <w:tcW w:w="4280" w:type="dxa"/>
            <w:vAlign w:val="bottom"/>
            <w:vMerge w:val="restart"/>
          </w:tcPr>
          <w:p>
            <w:pPr>
              <w:ind w:left="160"/>
              <w:spacing w:after="0"/>
              <w:rPr>
                <w:sz w:val="20"/>
                <w:szCs w:val="20"/>
                <w:color w:val="auto"/>
              </w:rPr>
            </w:pPr>
            <w:r>
              <w:rPr>
                <w:rFonts w:ascii="Arial" w:cs="Arial" w:eastAsia="Arial" w:hAnsi="Arial"/>
                <w:sz w:val="14"/>
                <w:szCs w:val="14"/>
                <w:color w:val="auto"/>
              </w:rPr>
              <w:t>This ASU clarifies when to account for a change to the terms or</w:t>
            </w:r>
          </w:p>
        </w:tc>
        <w:tc>
          <w:tcPr>
            <w:tcW w:w="20" w:type="dxa"/>
            <w:vAlign w:val="bottom"/>
            <w:shd w:val="clear" w:color="auto" w:fill="CCCCCC"/>
          </w:tcPr>
          <w:p>
            <w:pPr>
              <w:spacing w:after="0"/>
              <w:rPr>
                <w:sz w:val="17"/>
                <w:szCs w:val="17"/>
                <w:color w:val="auto"/>
              </w:rPr>
            </w:pPr>
          </w:p>
        </w:tc>
        <w:tc>
          <w:tcPr>
            <w:tcW w:w="1640" w:type="dxa"/>
            <w:vAlign w:val="bottom"/>
            <w:vMerge w:val="restart"/>
          </w:tcPr>
          <w:p>
            <w:pPr>
              <w:jc w:val="center"/>
              <w:ind w:left="48"/>
              <w:spacing w:after="0"/>
              <w:rPr>
                <w:sz w:val="20"/>
                <w:szCs w:val="20"/>
                <w:color w:val="auto"/>
              </w:rPr>
            </w:pPr>
            <w:r>
              <w:rPr>
                <w:rFonts w:ascii="Arial" w:cs="Arial" w:eastAsia="Arial" w:hAnsi="Arial"/>
                <w:sz w:val="14"/>
                <w:szCs w:val="14"/>
                <w:color w:val="auto"/>
                <w:w w:val="91"/>
              </w:rPr>
              <w:t>January 1, 2018</w:t>
            </w:r>
          </w:p>
        </w:tc>
        <w:tc>
          <w:tcPr>
            <w:tcW w:w="20" w:type="dxa"/>
            <w:vAlign w:val="bottom"/>
            <w:shd w:val="clear" w:color="auto" w:fill="CCCCCC"/>
          </w:tcPr>
          <w:p>
            <w:pPr>
              <w:spacing w:after="0"/>
              <w:rPr>
                <w:sz w:val="17"/>
                <w:szCs w:val="17"/>
                <w:color w:val="auto"/>
              </w:rPr>
            </w:pPr>
          </w:p>
        </w:tc>
        <w:tc>
          <w:tcPr>
            <w:tcW w:w="3140" w:type="dxa"/>
            <w:vAlign w:val="bottom"/>
            <w:vMerge w:val="restart"/>
          </w:tcPr>
          <w:p>
            <w:pPr>
              <w:ind w:left="140"/>
              <w:spacing w:after="0"/>
              <w:rPr>
                <w:sz w:val="20"/>
                <w:szCs w:val="20"/>
                <w:color w:val="auto"/>
              </w:rPr>
            </w:pPr>
            <w:r>
              <w:rPr>
                <w:rFonts w:ascii="Arial" w:cs="Arial" w:eastAsia="Arial" w:hAnsi="Arial"/>
                <w:sz w:val="14"/>
                <w:szCs w:val="14"/>
                <w:color w:val="auto"/>
                <w:w w:val="94"/>
              </w:rPr>
              <w:t>The Company does not expect that the adoption of</w:t>
            </w:r>
          </w:p>
        </w:tc>
        <w:tc>
          <w:tcPr>
            <w:tcW w:w="20" w:type="dxa"/>
            <w:vAlign w:val="bottom"/>
            <w:shd w:val="clear" w:color="auto" w:fill="ACACAC"/>
          </w:tcPr>
          <w:p>
            <w:pPr>
              <w:spacing w:after="0"/>
              <w:rPr>
                <w:sz w:val="17"/>
                <w:szCs w:val="17"/>
                <w:color w:val="auto"/>
              </w:rPr>
            </w:pPr>
          </w:p>
        </w:tc>
        <w:tc>
          <w:tcPr>
            <w:tcW w:w="0" w:type="dxa"/>
            <w:vAlign w:val="bottom"/>
          </w:tcPr>
          <w:p>
            <w:pPr>
              <w:spacing w:after="0"/>
              <w:rPr>
                <w:sz w:val="1"/>
                <w:szCs w:val="1"/>
                <w:color w:val="auto"/>
              </w:rPr>
            </w:pPr>
          </w:p>
        </w:tc>
      </w:tr>
      <w:tr>
        <w:trPr>
          <w:trHeight w:val="157"/>
        </w:trPr>
        <w:tc>
          <w:tcPr>
            <w:tcW w:w="20" w:type="dxa"/>
            <w:vAlign w:val="bottom"/>
            <w:shd w:val="clear" w:color="auto" w:fill="CCCCCC"/>
          </w:tcPr>
          <w:p>
            <w:pPr>
              <w:spacing w:after="0"/>
              <w:rPr>
                <w:sz w:val="13"/>
                <w:szCs w:val="13"/>
                <w:color w:val="auto"/>
              </w:rPr>
            </w:pPr>
          </w:p>
        </w:tc>
        <w:tc>
          <w:tcPr>
            <w:tcW w:w="1680" w:type="dxa"/>
            <w:vAlign w:val="bottom"/>
            <w:vMerge w:val="continue"/>
          </w:tcPr>
          <w:p>
            <w:pPr>
              <w:spacing w:after="0"/>
              <w:rPr>
                <w:sz w:val="13"/>
                <w:szCs w:val="13"/>
                <w:color w:val="auto"/>
              </w:rPr>
            </w:pPr>
          </w:p>
        </w:tc>
        <w:tc>
          <w:tcPr>
            <w:tcW w:w="20" w:type="dxa"/>
            <w:vAlign w:val="bottom"/>
            <w:shd w:val="clear" w:color="auto" w:fill="CCCCCC"/>
          </w:tcPr>
          <w:p>
            <w:pPr>
              <w:spacing w:after="0"/>
              <w:rPr>
                <w:sz w:val="13"/>
                <w:szCs w:val="13"/>
                <w:color w:val="auto"/>
              </w:rPr>
            </w:pPr>
          </w:p>
        </w:tc>
        <w:tc>
          <w:tcPr>
            <w:tcW w:w="4280" w:type="dxa"/>
            <w:vAlign w:val="bottom"/>
            <w:vMerge w:val="continue"/>
          </w:tcPr>
          <w:p>
            <w:pPr>
              <w:spacing w:after="0"/>
              <w:rPr>
                <w:sz w:val="13"/>
                <w:szCs w:val="13"/>
                <w:color w:val="auto"/>
              </w:rPr>
            </w:pPr>
          </w:p>
        </w:tc>
        <w:tc>
          <w:tcPr>
            <w:tcW w:w="20" w:type="dxa"/>
            <w:vAlign w:val="bottom"/>
            <w:shd w:val="clear" w:color="auto" w:fill="CCCCCC"/>
          </w:tcPr>
          <w:p>
            <w:pPr>
              <w:spacing w:after="0"/>
              <w:rPr>
                <w:sz w:val="13"/>
                <w:szCs w:val="13"/>
                <w:color w:val="auto"/>
              </w:rPr>
            </w:pPr>
          </w:p>
        </w:tc>
        <w:tc>
          <w:tcPr>
            <w:tcW w:w="1640" w:type="dxa"/>
            <w:vAlign w:val="bottom"/>
            <w:vMerge w:val="continue"/>
          </w:tcPr>
          <w:p>
            <w:pPr>
              <w:spacing w:after="0"/>
              <w:rPr>
                <w:sz w:val="13"/>
                <w:szCs w:val="13"/>
                <w:color w:val="auto"/>
              </w:rPr>
            </w:pPr>
          </w:p>
        </w:tc>
        <w:tc>
          <w:tcPr>
            <w:tcW w:w="20" w:type="dxa"/>
            <w:vAlign w:val="bottom"/>
            <w:shd w:val="clear" w:color="auto" w:fill="CCCCCC"/>
          </w:tcPr>
          <w:p>
            <w:pPr>
              <w:spacing w:after="0"/>
              <w:rPr>
                <w:sz w:val="13"/>
                <w:szCs w:val="13"/>
                <w:color w:val="auto"/>
              </w:rPr>
            </w:pPr>
          </w:p>
        </w:tc>
        <w:tc>
          <w:tcPr>
            <w:tcW w:w="3140" w:type="dxa"/>
            <w:vAlign w:val="bottom"/>
            <w:vMerge w:val="continue"/>
          </w:tcPr>
          <w:p>
            <w:pPr>
              <w:spacing w:after="0"/>
              <w:rPr>
                <w:sz w:val="13"/>
                <w:szCs w:val="13"/>
                <w:color w:val="auto"/>
              </w:rPr>
            </w:pPr>
          </w:p>
        </w:tc>
        <w:tc>
          <w:tcPr>
            <w:tcW w:w="20" w:type="dxa"/>
            <w:vAlign w:val="bottom"/>
            <w:shd w:val="clear" w:color="auto" w:fill="CCCCCC"/>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rPr>
              <w:t>Compensation—Stock</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5"/>
              </w:rPr>
              <w:t>conditions of a share–based payment award as a modification. Under</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this standard will have a material impact on the</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w w:val="97"/>
              </w:rPr>
              <w:t>Compensation (Topic 718):</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7"/>
              </w:rPr>
              <w:t>the new guidance, modification accounting is required only if the fair</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Company’s condensed consolidated financial</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rPr>
              <w:t>Scope of Modification</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9"/>
              </w:rPr>
              <w:t>value, vesting conditions or classification of the award (as equity or</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statements.</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20" w:type="dxa"/>
            <w:vAlign w:val="bottom"/>
            <w:shd w:val="clear" w:color="auto" w:fill="CCCCCC"/>
          </w:tcPr>
          <w:p>
            <w:pPr>
              <w:spacing w:after="0"/>
              <w:rPr>
                <w:sz w:val="15"/>
                <w:szCs w:val="15"/>
                <w:color w:val="auto"/>
              </w:rPr>
            </w:pPr>
          </w:p>
        </w:tc>
        <w:tc>
          <w:tcPr>
            <w:tcW w:w="1680" w:type="dxa"/>
            <w:vAlign w:val="bottom"/>
          </w:tcPr>
          <w:p>
            <w:pPr>
              <w:ind w:left="20"/>
              <w:spacing w:after="0"/>
              <w:rPr>
                <w:sz w:val="20"/>
                <w:szCs w:val="20"/>
                <w:color w:val="auto"/>
              </w:rPr>
            </w:pPr>
            <w:r>
              <w:rPr>
                <w:rFonts w:ascii="Arial" w:cs="Arial" w:eastAsia="Arial" w:hAnsi="Arial"/>
                <w:sz w:val="14"/>
                <w:szCs w:val="14"/>
                <w:i w:val="1"/>
                <w:iCs w:val="1"/>
                <w:color w:val="auto"/>
              </w:rPr>
              <w:t>Accounting</w:t>
            </w:r>
          </w:p>
        </w:tc>
        <w:tc>
          <w:tcPr>
            <w:tcW w:w="20" w:type="dxa"/>
            <w:vAlign w:val="bottom"/>
            <w:shd w:val="clear" w:color="auto" w:fill="CCCCCC"/>
          </w:tcPr>
          <w:p>
            <w:pPr>
              <w:spacing w:after="0"/>
              <w:rPr>
                <w:sz w:val="15"/>
                <w:szCs w:val="15"/>
                <w:color w:val="auto"/>
              </w:rPr>
            </w:pPr>
          </w:p>
        </w:tc>
        <w:tc>
          <w:tcPr>
            <w:tcW w:w="4280" w:type="dxa"/>
            <w:vAlign w:val="bottom"/>
          </w:tcPr>
          <w:p>
            <w:pPr>
              <w:ind w:left="160"/>
              <w:spacing w:after="0"/>
              <w:rPr>
                <w:sz w:val="20"/>
                <w:szCs w:val="20"/>
                <w:color w:val="auto"/>
              </w:rPr>
            </w:pPr>
            <w:r>
              <w:rPr>
                <w:rFonts w:ascii="Arial" w:cs="Arial" w:eastAsia="Arial" w:hAnsi="Arial"/>
                <w:sz w:val="14"/>
                <w:szCs w:val="14"/>
                <w:color w:val="auto"/>
              </w:rPr>
              <w:t>liability) changes as a result of the change in terms or conditions.</w:t>
            </w:r>
          </w:p>
        </w:tc>
        <w:tc>
          <w:tcPr>
            <w:tcW w:w="20" w:type="dxa"/>
            <w:vAlign w:val="bottom"/>
            <w:shd w:val="clear" w:color="auto" w:fill="CCCCCC"/>
          </w:tcPr>
          <w:p>
            <w:pPr>
              <w:spacing w:after="0"/>
              <w:rPr>
                <w:sz w:val="15"/>
                <w:szCs w:val="15"/>
                <w:color w:val="auto"/>
              </w:rPr>
            </w:pPr>
          </w:p>
        </w:tc>
        <w:tc>
          <w:tcPr>
            <w:tcW w:w="1640" w:type="dxa"/>
            <w:vAlign w:val="bottom"/>
          </w:tcPr>
          <w:p>
            <w:pPr>
              <w:spacing w:after="0"/>
              <w:rPr>
                <w:sz w:val="15"/>
                <w:szCs w:val="15"/>
                <w:color w:val="auto"/>
              </w:rPr>
            </w:pPr>
          </w:p>
        </w:tc>
        <w:tc>
          <w:tcPr>
            <w:tcW w:w="20" w:type="dxa"/>
            <w:vAlign w:val="bottom"/>
            <w:shd w:val="clear" w:color="auto" w:fill="CCCCCC"/>
          </w:tcPr>
          <w:p>
            <w:pPr>
              <w:spacing w:after="0"/>
              <w:rPr>
                <w:sz w:val="15"/>
                <w:szCs w:val="15"/>
                <w:color w:val="auto"/>
              </w:rPr>
            </w:pPr>
          </w:p>
        </w:tc>
        <w:tc>
          <w:tcPr>
            <w:tcW w:w="3140" w:type="dxa"/>
            <w:vAlign w:val="bottom"/>
          </w:tcPr>
          <w:p>
            <w:pPr>
              <w:spacing w:after="0"/>
              <w:rPr>
                <w:sz w:val="15"/>
                <w:szCs w:val="15"/>
                <w:color w:val="auto"/>
              </w:rPr>
            </w:pPr>
          </w:p>
        </w:tc>
        <w:tc>
          <w:tcPr>
            <w:tcW w:w="20" w:type="dxa"/>
            <w:vAlign w:val="bottom"/>
            <w:shd w:val="clear" w:color="auto" w:fill="CCCCCC"/>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20" w:type="dxa"/>
            <w:vAlign w:val="bottom"/>
            <w:shd w:val="clear" w:color="auto" w:fill="CCCCCC"/>
          </w:tcPr>
          <w:p>
            <w:pPr>
              <w:spacing w:after="0"/>
              <w:rPr>
                <w:sz w:val="22"/>
                <w:szCs w:val="22"/>
                <w:color w:val="auto"/>
              </w:rPr>
            </w:pPr>
          </w:p>
        </w:tc>
        <w:tc>
          <w:tcPr>
            <w:tcW w:w="1680" w:type="dxa"/>
            <w:vAlign w:val="bottom"/>
          </w:tcPr>
          <w:p>
            <w:pPr>
              <w:spacing w:after="0"/>
              <w:rPr>
                <w:sz w:val="22"/>
                <w:szCs w:val="22"/>
                <w:color w:val="auto"/>
              </w:rPr>
            </w:pPr>
          </w:p>
        </w:tc>
        <w:tc>
          <w:tcPr>
            <w:tcW w:w="20" w:type="dxa"/>
            <w:vAlign w:val="bottom"/>
            <w:shd w:val="clear" w:color="auto" w:fill="CCCCCC"/>
          </w:tcPr>
          <w:p>
            <w:pPr>
              <w:spacing w:after="0"/>
              <w:rPr>
                <w:sz w:val="22"/>
                <w:szCs w:val="22"/>
                <w:color w:val="auto"/>
              </w:rPr>
            </w:pPr>
          </w:p>
        </w:tc>
        <w:tc>
          <w:tcPr>
            <w:tcW w:w="4280" w:type="dxa"/>
            <w:vAlign w:val="bottom"/>
          </w:tcPr>
          <w:p>
            <w:pPr>
              <w:ind w:left="160"/>
              <w:spacing w:after="0"/>
              <w:rPr>
                <w:sz w:val="20"/>
                <w:szCs w:val="20"/>
                <w:color w:val="auto"/>
              </w:rPr>
            </w:pPr>
            <w:r>
              <w:rPr>
                <w:rFonts w:ascii="Arial" w:cs="Arial" w:eastAsia="Arial" w:hAnsi="Arial"/>
                <w:sz w:val="14"/>
                <w:szCs w:val="14"/>
                <w:color w:val="auto"/>
                <w:w w:val="99"/>
              </w:rPr>
              <w:t>The new guidance will be applied prospectively to awards modified</w:t>
            </w:r>
          </w:p>
        </w:tc>
        <w:tc>
          <w:tcPr>
            <w:tcW w:w="20" w:type="dxa"/>
            <w:vAlign w:val="bottom"/>
            <w:shd w:val="clear" w:color="auto" w:fill="CCCCCC"/>
          </w:tcPr>
          <w:p>
            <w:pPr>
              <w:spacing w:after="0"/>
              <w:rPr>
                <w:sz w:val="22"/>
                <w:szCs w:val="22"/>
                <w:color w:val="auto"/>
              </w:rPr>
            </w:pPr>
          </w:p>
        </w:tc>
        <w:tc>
          <w:tcPr>
            <w:tcW w:w="1640" w:type="dxa"/>
            <w:vAlign w:val="bottom"/>
          </w:tcPr>
          <w:p>
            <w:pPr>
              <w:spacing w:after="0"/>
              <w:rPr>
                <w:sz w:val="22"/>
                <w:szCs w:val="22"/>
                <w:color w:val="auto"/>
              </w:rPr>
            </w:pPr>
          </w:p>
        </w:tc>
        <w:tc>
          <w:tcPr>
            <w:tcW w:w="20" w:type="dxa"/>
            <w:vAlign w:val="bottom"/>
            <w:shd w:val="clear" w:color="auto" w:fill="CCCCCC"/>
          </w:tcPr>
          <w:p>
            <w:pPr>
              <w:spacing w:after="0"/>
              <w:rPr>
                <w:sz w:val="22"/>
                <w:szCs w:val="22"/>
                <w:color w:val="auto"/>
              </w:rPr>
            </w:pPr>
          </w:p>
        </w:tc>
        <w:tc>
          <w:tcPr>
            <w:tcW w:w="3140" w:type="dxa"/>
            <w:vAlign w:val="bottom"/>
          </w:tcPr>
          <w:p>
            <w:pPr>
              <w:spacing w:after="0"/>
              <w:rPr>
                <w:sz w:val="22"/>
                <w:szCs w:val="22"/>
                <w:color w:val="auto"/>
              </w:rPr>
            </w:pPr>
          </w:p>
        </w:tc>
        <w:tc>
          <w:tcPr>
            <w:tcW w:w="20" w:type="dxa"/>
            <w:vAlign w:val="bottom"/>
            <w:shd w:val="clear" w:color="auto" w:fill="CCCCCC"/>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rPr>
              <w:t>on or after the adoption date. The guidance is effective for annual</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8"/>
              </w:rPr>
              <w:t>periods, and interim periods within those annual periods, beginning</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7"/>
              </w:rPr>
              <w:t>after December 15, 2017 for all entities. Early adoption is permitted,</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rPr>
              <w:t>including adoption in any interim period for which financial</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20" w:type="dxa"/>
            <w:vAlign w:val="bottom"/>
            <w:tcBorders>
              <w:bottom w:val="single" w:sz="8" w:color="CCCCCC"/>
            </w:tcBorders>
            <w:shd w:val="clear" w:color="auto" w:fill="CCCCCC"/>
          </w:tcPr>
          <w:p>
            <w:pPr>
              <w:spacing w:after="0"/>
              <w:rPr>
                <w:sz w:val="16"/>
                <w:szCs w:val="16"/>
                <w:color w:val="auto"/>
              </w:rPr>
            </w:pPr>
          </w:p>
        </w:tc>
        <w:tc>
          <w:tcPr>
            <w:tcW w:w="1680" w:type="dxa"/>
            <w:vAlign w:val="bottom"/>
            <w:tcBorders>
              <w:bottom w:val="single" w:sz="8" w:color="ACACAC"/>
            </w:tcBorders>
          </w:tcPr>
          <w:p>
            <w:pPr>
              <w:spacing w:after="0"/>
              <w:rPr>
                <w:sz w:val="16"/>
                <w:szCs w:val="16"/>
                <w:color w:val="auto"/>
              </w:rPr>
            </w:pPr>
          </w:p>
        </w:tc>
        <w:tc>
          <w:tcPr>
            <w:tcW w:w="20" w:type="dxa"/>
            <w:vAlign w:val="bottom"/>
            <w:tcBorders>
              <w:bottom w:val="single" w:sz="8" w:color="CCCCCC"/>
            </w:tcBorders>
            <w:shd w:val="clear" w:color="auto" w:fill="CCCCCC"/>
          </w:tcPr>
          <w:p>
            <w:pPr>
              <w:spacing w:after="0"/>
              <w:rPr>
                <w:sz w:val="16"/>
                <w:szCs w:val="16"/>
                <w:color w:val="auto"/>
              </w:rPr>
            </w:pPr>
          </w:p>
        </w:tc>
        <w:tc>
          <w:tcPr>
            <w:tcW w:w="4280" w:type="dxa"/>
            <w:vAlign w:val="bottom"/>
            <w:tcBorders>
              <w:bottom w:val="single" w:sz="8" w:color="ACACAC"/>
            </w:tcBorders>
          </w:tcPr>
          <w:p>
            <w:pPr>
              <w:ind w:left="160"/>
              <w:spacing w:after="0"/>
              <w:rPr>
                <w:sz w:val="20"/>
                <w:szCs w:val="20"/>
                <w:color w:val="auto"/>
              </w:rPr>
            </w:pPr>
            <w:r>
              <w:rPr>
                <w:rFonts w:ascii="Arial" w:cs="Arial" w:eastAsia="Arial" w:hAnsi="Arial"/>
                <w:sz w:val="14"/>
                <w:szCs w:val="14"/>
                <w:color w:val="auto"/>
                <w:w w:val="96"/>
              </w:rPr>
              <w:t>statements have not yet been issued or made available for issuance.</w:t>
            </w:r>
          </w:p>
        </w:tc>
        <w:tc>
          <w:tcPr>
            <w:tcW w:w="20" w:type="dxa"/>
            <w:vAlign w:val="bottom"/>
            <w:tcBorders>
              <w:bottom w:val="single" w:sz="8" w:color="CCCCCC"/>
            </w:tcBorders>
            <w:shd w:val="clear" w:color="auto" w:fill="CCCCCC"/>
          </w:tcPr>
          <w:p>
            <w:pPr>
              <w:spacing w:after="0"/>
              <w:rPr>
                <w:sz w:val="16"/>
                <w:szCs w:val="16"/>
                <w:color w:val="auto"/>
              </w:rPr>
            </w:pPr>
          </w:p>
        </w:tc>
        <w:tc>
          <w:tcPr>
            <w:tcW w:w="1640" w:type="dxa"/>
            <w:vAlign w:val="bottom"/>
            <w:tcBorders>
              <w:bottom w:val="single" w:sz="8" w:color="ACACAC"/>
            </w:tcBorders>
          </w:tcPr>
          <w:p>
            <w:pPr>
              <w:spacing w:after="0"/>
              <w:rPr>
                <w:sz w:val="16"/>
                <w:szCs w:val="16"/>
                <w:color w:val="auto"/>
              </w:rPr>
            </w:pPr>
          </w:p>
        </w:tc>
        <w:tc>
          <w:tcPr>
            <w:tcW w:w="20" w:type="dxa"/>
            <w:vAlign w:val="bottom"/>
            <w:tcBorders>
              <w:bottom w:val="single" w:sz="8" w:color="CCCCCC"/>
            </w:tcBorders>
            <w:shd w:val="clear" w:color="auto" w:fill="CCCCCC"/>
          </w:tcPr>
          <w:p>
            <w:pPr>
              <w:spacing w:after="0"/>
              <w:rPr>
                <w:sz w:val="16"/>
                <w:szCs w:val="16"/>
                <w:color w:val="auto"/>
              </w:rPr>
            </w:pPr>
          </w:p>
        </w:tc>
        <w:tc>
          <w:tcPr>
            <w:tcW w:w="3140" w:type="dxa"/>
            <w:vAlign w:val="bottom"/>
            <w:tcBorders>
              <w:bottom w:val="single" w:sz="8" w:color="ACACAC"/>
            </w:tcBorders>
          </w:tcPr>
          <w:p>
            <w:pPr>
              <w:spacing w:after="0"/>
              <w:rPr>
                <w:sz w:val="16"/>
                <w:szCs w:val="16"/>
                <w:color w:val="auto"/>
              </w:rPr>
            </w:pPr>
          </w:p>
        </w:tc>
        <w:tc>
          <w:tcPr>
            <w:tcW w:w="20" w:type="dxa"/>
            <w:vAlign w:val="bottom"/>
            <w:tcBorders>
              <w:bottom w:val="single" w:sz="8" w:color="CCCCCC"/>
            </w:tcBorders>
            <w:shd w:val="clear" w:color="auto" w:fill="CCCCCC"/>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1680" w:type="dxa"/>
            <w:vAlign w:val="bottom"/>
            <w:vMerge w:val="restart"/>
          </w:tcPr>
          <w:p>
            <w:pPr>
              <w:ind w:left="20"/>
              <w:spacing w:after="0"/>
              <w:rPr>
                <w:sz w:val="20"/>
                <w:szCs w:val="20"/>
                <w:color w:val="auto"/>
              </w:rPr>
            </w:pPr>
            <w:r>
              <w:rPr>
                <w:rFonts w:ascii="Arial" w:cs="Arial" w:eastAsia="Arial" w:hAnsi="Arial"/>
                <w:sz w:val="14"/>
                <w:szCs w:val="14"/>
                <w:color w:val="auto"/>
              </w:rPr>
              <w:t xml:space="preserve">ASU 2014-09, </w:t>
            </w:r>
            <w:r>
              <w:rPr>
                <w:rFonts w:ascii="Arial" w:cs="Arial" w:eastAsia="Arial" w:hAnsi="Arial"/>
                <w:sz w:val="14"/>
                <w:szCs w:val="14"/>
                <w:i w:val="1"/>
                <w:iCs w:val="1"/>
                <w:color w:val="auto"/>
              </w:rPr>
              <w:t>Revenue</w:t>
            </w:r>
          </w:p>
        </w:tc>
        <w:tc>
          <w:tcPr>
            <w:tcW w:w="20" w:type="dxa"/>
            <w:vAlign w:val="bottom"/>
          </w:tcPr>
          <w:p>
            <w:pPr>
              <w:spacing w:after="0"/>
              <w:rPr>
                <w:sz w:val="10"/>
                <w:szCs w:val="10"/>
                <w:color w:val="auto"/>
              </w:rPr>
            </w:pPr>
          </w:p>
        </w:tc>
        <w:tc>
          <w:tcPr>
            <w:tcW w:w="4280" w:type="dxa"/>
            <w:vAlign w:val="bottom"/>
            <w:vMerge w:val="restart"/>
          </w:tcPr>
          <w:p>
            <w:pPr>
              <w:ind w:left="160"/>
              <w:spacing w:after="0"/>
              <w:rPr>
                <w:sz w:val="20"/>
                <w:szCs w:val="20"/>
                <w:color w:val="auto"/>
              </w:rPr>
            </w:pPr>
            <w:r>
              <w:rPr>
                <w:rFonts w:ascii="Arial" w:cs="Arial" w:eastAsia="Arial" w:hAnsi="Arial"/>
                <w:sz w:val="14"/>
                <w:szCs w:val="14"/>
                <w:color w:val="auto"/>
                <w:w w:val="95"/>
              </w:rPr>
              <w:t>This ASU and related amendments affect any entity that either enters</w:t>
            </w:r>
          </w:p>
        </w:tc>
        <w:tc>
          <w:tcPr>
            <w:tcW w:w="20" w:type="dxa"/>
            <w:vAlign w:val="bottom"/>
          </w:tcPr>
          <w:p>
            <w:pPr>
              <w:spacing w:after="0"/>
              <w:rPr>
                <w:sz w:val="10"/>
                <w:szCs w:val="10"/>
                <w:color w:val="auto"/>
              </w:rPr>
            </w:pPr>
          </w:p>
        </w:tc>
        <w:tc>
          <w:tcPr>
            <w:tcW w:w="1640" w:type="dxa"/>
            <w:vAlign w:val="bottom"/>
            <w:vMerge w:val="restart"/>
          </w:tcPr>
          <w:p>
            <w:pPr>
              <w:jc w:val="center"/>
              <w:ind w:left="48"/>
              <w:spacing w:after="0"/>
              <w:rPr>
                <w:sz w:val="20"/>
                <w:szCs w:val="20"/>
                <w:color w:val="auto"/>
              </w:rPr>
            </w:pPr>
            <w:r>
              <w:rPr>
                <w:rFonts w:ascii="Arial" w:cs="Arial" w:eastAsia="Arial" w:hAnsi="Arial"/>
                <w:sz w:val="14"/>
                <w:szCs w:val="14"/>
                <w:color w:val="auto"/>
                <w:w w:val="91"/>
              </w:rPr>
              <w:t>January 1, 2018</w:t>
            </w:r>
          </w:p>
        </w:tc>
        <w:tc>
          <w:tcPr>
            <w:tcW w:w="20" w:type="dxa"/>
            <w:vAlign w:val="bottom"/>
          </w:tcPr>
          <w:p>
            <w:pPr>
              <w:spacing w:after="0"/>
              <w:rPr>
                <w:sz w:val="10"/>
                <w:szCs w:val="10"/>
                <w:color w:val="auto"/>
              </w:rPr>
            </w:pPr>
          </w:p>
        </w:tc>
        <w:tc>
          <w:tcPr>
            <w:tcW w:w="3140" w:type="dxa"/>
            <w:vAlign w:val="bottom"/>
            <w:vMerge w:val="restart"/>
          </w:tcPr>
          <w:p>
            <w:pPr>
              <w:ind w:left="140"/>
              <w:spacing w:after="0"/>
              <w:rPr>
                <w:sz w:val="20"/>
                <w:szCs w:val="20"/>
                <w:color w:val="auto"/>
              </w:rPr>
            </w:pPr>
            <w:r>
              <w:rPr>
                <w:rFonts w:ascii="Arial" w:cs="Arial" w:eastAsia="Arial" w:hAnsi="Arial"/>
                <w:sz w:val="14"/>
                <w:szCs w:val="14"/>
                <w:color w:val="auto"/>
                <w:w w:val="96"/>
              </w:rPr>
              <w:t>The Company has established an implementation</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20" w:type="dxa"/>
            <w:vAlign w:val="bottom"/>
            <w:shd w:val="clear" w:color="auto" w:fill="CCCCCC"/>
          </w:tcPr>
          <w:p>
            <w:pPr>
              <w:spacing w:after="0"/>
              <w:rPr>
                <w:sz w:val="13"/>
                <w:szCs w:val="13"/>
                <w:color w:val="auto"/>
              </w:rPr>
            </w:pPr>
          </w:p>
        </w:tc>
        <w:tc>
          <w:tcPr>
            <w:tcW w:w="1680" w:type="dxa"/>
            <w:vAlign w:val="bottom"/>
            <w:vMerge w:val="continue"/>
          </w:tcPr>
          <w:p>
            <w:pPr>
              <w:spacing w:after="0"/>
              <w:rPr>
                <w:sz w:val="13"/>
                <w:szCs w:val="13"/>
                <w:color w:val="auto"/>
              </w:rPr>
            </w:pPr>
          </w:p>
        </w:tc>
        <w:tc>
          <w:tcPr>
            <w:tcW w:w="20" w:type="dxa"/>
            <w:vAlign w:val="bottom"/>
            <w:shd w:val="clear" w:color="auto" w:fill="CCCCCC"/>
          </w:tcPr>
          <w:p>
            <w:pPr>
              <w:spacing w:after="0"/>
              <w:rPr>
                <w:sz w:val="13"/>
                <w:szCs w:val="13"/>
                <w:color w:val="auto"/>
              </w:rPr>
            </w:pPr>
          </w:p>
        </w:tc>
        <w:tc>
          <w:tcPr>
            <w:tcW w:w="4280" w:type="dxa"/>
            <w:vAlign w:val="bottom"/>
            <w:vMerge w:val="continue"/>
          </w:tcPr>
          <w:p>
            <w:pPr>
              <w:spacing w:after="0"/>
              <w:rPr>
                <w:sz w:val="13"/>
                <w:szCs w:val="13"/>
                <w:color w:val="auto"/>
              </w:rPr>
            </w:pPr>
          </w:p>
        </w:tc>
        <w:tc>
          <w:tcPr>
            <w:tcW w:w="20" w:type="dxa"/>
            <w:vAlign w:val="bottom"/>
            <w:shd w:val="clear" w:color="auto" w:fill="CCCCCC"/>
          </w:tcPr>
          <w:p>
            <w:pPr>
              <w:spacing w:after="0"/>
              <w:rPr>
                <w:sz w:val="13"/>
                <w:szCs w:val="13"/>
                <w:color w:val="auto"/>
              </w:rPr>
            </w:pPr>
          </w:p>
        </w:tc>
        <w:tc>
          <w:tcPr>
            <w:tcW w:w="1640" w:type="dxa"/>
            <w:vAlign w:val="bottom"/>
            <w:vMerge w:val="continue"/>
          </w:tcPr>
          <w:p>
            <w:pPr>
              <w:spacing w:after="0"/>
              <w:rPr>
                <w:sz w:val="13"/>
                <w:szCs w:val="13"/>
                <w:color w:val="auto"/>
              </w:rPr>
            </w:pPr>
          </w:p>
        </w:tc>
        <w:tc>
          <w:tcPr>
            <w:tcW w:w="20" w:type="dxa"/>
            <w:vAlign w:val="bottom"/>
            <w:shd w:val="clear" w:color="auto" w:fill="CCCCCC"/>
          </w:tcPr>
          <w:p>
            <w:pPr>
              <w:spacing w:after="0"/>
              <w:rPr>
                <w:sz w:val="13"/>
                <w:szCs w:val="13"/>
                <w:color w:val="auto"/>
              </w:rPr>
            </w:pPr>
          </w:p>
        </w:tc>
        <w:tc>
          <w:tcPr>
            <w:tcW w:w="3140" w:type="dxa"/>
            <w:vAlign w:val="bottom"/>
            <w:vMerge w:val="continue"/>
          </w:tcPr>
          <w:p>
            <w:pPr>
              <w:spacing w:after="0"/>
              <w:rPr>
                <w:sz w:val="13"/>
                <w:szCs w:val="13"/>
                <w:color w:val="auto"/>
              </w:rPr>
            </w:pPr>
          </w:p>
        </w:tc>
        <w:tc>
          <w:tcPr>
            <w:tcW w:w="20" w:type="dxa"/>
            <w:vAlign w:val="bottom"/>
            <w:shd w:val="clear" w:color="auto" w:fill="CCCCCC"/>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rPr>
              <w:t>from Contracts with</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7"/>
              </w:rPr>
              <w:t>into contracts with customers to transfer goods or services or enters</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w w:val="94"/>
              </w:rPr>
              <w:t>team which includes third-party specialists to assist</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w w:val="96"/>
              </w:rPr>
              <w:t>Customers (Topic 606) and</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rPr>
              <w:t>into contracts for the transfer of nonfinancial assets, unless those</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in the evaluation and implementation of the new</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rPr>
              <w:t>related additional</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4"/>
              </w:rPr>
              <w:t>contracts are within the scope of other standards. The guidance in this</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standard. The Company has completed its</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w w:val="94"/>
              </w:rPr>
              <w:t>amendments ASU 2015-14,</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6"/>
              </w:rPr>
              <w:t>ASU supersedes the revenue recognition requirements in Topic 605,</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w w:val="99"/>
              </w:rPr>
              <w:t>assessment of the impact of the standards on its</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rPr>
              <w:t>ASU 2016-08, ASU 2016-</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6"/>
              </w:rPr>
              <w:t>Revenue Recognition and most industry-specific guidance. The core</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contract portfolio by reviewing the Company’s</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rPr>
              <w:t>10, ASU 2016-11, ASU</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9"/>
              </w:rPr>
              <w:t>principle of the guidance is that an entity should recognize revenue</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current accounting policies and practices and</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rPr>
              <w:t>2016-12, ASU 2016-20,</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8"/>
              </w:rPr>
              <w:t>upon the transfer of promised goods or services to customers in an</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w w:val="99"/>
              </w:rPr>
              <w:t>identifying potential differences that would result</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ind w:left="20"/>
              <w:spacing w:after="0" w:line="149" w:lineRule="exact"/>
              <w:rPr>
                <w:sz w:val="20"/>
                <w:szCs w:val="20"/>
                <w:color w:val="auto"/>
              </w:rPr>
            </w:pPr>
            <w:r>
              <w:rPr>
                <w:rFonts w:ascii="Arial" w:cs="Arial" w:eastAsia="Arial" w:hAnsi="Arial"/>
                <w:sz w:val="14"/>
                <w:szCs w:val="14"/>
                <w:i w:val="1"/>
                <w:iCs w:val="1"/>
                <w:color w:val="auto"/>
                <w:w w:val="93"/>
              </w:rPr>
              <w:t>ASU 2017-05, ASU 2017-10</w:t>
            </w: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3"/>
              </w:rPr>
              <w:t>amount that reflects the consideration to which the entity expects to be</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from applying the requirements of the new</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7"/>
              </w:rPr>
              <w:t>entitled in exchange for those goods or services. The new guidance</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w w:val="99"/>
              </w:rPr>
              <w:t>standard to its revenue contracts. The Company</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7"/>
              </w:rPr>
              <w:t>also includes a set of disclosure requirements that will provide users</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has categorized its customers into multiple</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rPr>
              <w:t>of financial statements with comprehensive information about the</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w w:val="95"/>
              </w:rPr>
              <w:t>customer types and assessed significant customer</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rPr>
              <w:t>nature, amount, timing, and uncertainty of revenue and cash flows</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arrangements within those customer types. The</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9"/>
              </w:rPr>
              <w:t>arising from a reporting organization’s contracts with customers. In</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w w:val="96"/>
              </w:rPr>
              <w:t>Company is currently in the process of formalizing</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6"/>
              </w:rPr>
              <w:t>August 2015, the Financial Accounting Standards Board issued ASU</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w w:val="96"/>
              </w:rPr>
              <w:t>its conclusion. At this time, the Company does not</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7"/>
              </w:rPr>
              <w:t>No. 2015-14, “Revenue from Contracts with Customers (Topic 606):</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w w:val="97"/>
              </w:rPr>
              <w:t>anticipate a significant impact to its revenue upon</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rPr>
              <w:t>Deferral of the Effective Date,” which defers the effective date of</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adoption of the new standard. The Company, in</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rPr>
              <w:t>ASU 2014-09 by one year.</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part due to the limited anticipated impact, will</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utilize the modified retrospective approach of</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6"/>
              </w:rPr>
              <w:t>The standard is effective for annual reporting periods beginning after</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adopting the ASU. In addition, during 2017 the</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w w:val="98"/>
              </w:rPr>
              <w:t>December 15, 2017, and interim periods therein, using either of the</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w w:val="98"/>
              </w:rPr>
              <w:t>Company has begun to identify and implement, if</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160"/>
              <w:spacing w:after="0" w:line="149" w:lineRule="exact"/>
              <w:rPr>
                <w:sz w:val="20"/>
                <w:szCs w:val="20"/>
                <w:color w:val="auto"/>
              </w:rPr>
            </w:pPr>
            <w:r>
              <w:rPr>
                <w:rFonts w:ascii="Arial" w:cs="Arial" w:eastAsia="Arial" w:hAnsi="Arial"/>
                <w:sz w:val="14"/>
                <w:szCs w:val="14"/>
                <w:color w:val="auto"/>
              </w:rPr>
              <w:t>following transition methods:</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necessary, appropriate changes to its business</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rPr>
              <w:t>processes, systems and controls to support</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320"/>
              <w:spacing w:after="0" w:line="149" w:lineRule="exact"/>
              <w:rPr>
                <w:sz w:val="20"/>
                <w:szCs w:val="20"/>
                <w:color w:val="auto"/>
              </w:rPr>
            </w:pPr>
            <w:r>
              <w:rPr>
                <w:rFonts w:ascii="Arial" w:cs="Arial" w:eastAsia="Arial" w:hAnsi="Arial"/>
                <w:sz w:val="14"/>
                <w:szCs w:val="14"/>
                <w:color w:val="auto"/>
              </w:rPr>
              <w:t>•  A full retrospective approach reflecting the application of the</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ind w:left="140"/>
              <w:spacing w:after="0" w:line="149" w:lineRule="exact"/>
              <w:rPr>
                <w:sz w:val="20"/>
                <w:szCs w:val="20"/>
                <w:color w:val="auto"/>
              </w:rPr>
            </w:pPr>
            <w:r>
              <w:rPr>
                <w:rFonts w:ascii="Arial" w:cs="Arial" w:eastAsia="Arial" w:hAnsi="Arial"/>
                <w:sz w:val="14"/>
                <w:szCs w:val="14"/>
                <w:color w:val="auto"/>
                <w:w w:val="93"/>
              </w:rPr>
              <w:t>recognition and disclosure under the new standard.</w:t>
            </w: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320"/>
              <w:spacing w:after="0" w:line="149" w:lineRule="exact"/>
              <w:rPr>
                <w:sz w:val="20"/>
                <w:szCs w:val="20"/>
                <w:color w:val="auto"/>
              </w:rPr>
            </w:pPr>
            <w:r>
              <w:rPr>
                <w:rFonts w:ascii="Arial" w:cs="Arial" w:eastAsia="Arial" w:hAnsi="Arial"/>
                <w:sz w:val="14"/>
                <w:szCs w:val="14"/>
                <w:color w:val="auto"/>
              </w:rPr>
              <w:t>standard in each prior reporting period with the option to elect</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20" w:type="dxa"/>
            <w:vAlign w:val="bottom"/>
            <w:shd w:val="clear" w:color="auto" w:fill="CCCCCC"/>
          </w:tcPr>
          <w:p>
            <w:pPr>
              <w:spacing w:after="0"/>
              <w:rPr>
                <w:sz w:val="15"/>
                <w:szCs w:val="15"/>
                <w:color w:val="auto"/>
              </w:rPr>
            </w:pPr>
          </w:p>
        </w:tc>
        <w:tc>
          <w:tcPr>
            <w:tcW w:w="1680" w:type="dxa"/>
            <w:vAlign w:val="bottom"/>
          </w:tcPr>
          <w:p>
            <w:pPr>
              <w:spacing w:after="0"/>
              <w:rPr>
                <w:sz w:val="15"/>
                <w:szCs w:val="15"/>
                <w:color w:val="auto"/>
              </w:rPr>
            </w:pPr>
          </w:p>
        </w:tc>
        <w:tc>
          <w:tcPr>
            <w:tcW w:w="20" w:type="dxa"/>
            <w:vAlign w:val="bottom"/>
            <w:shd w:val="clear" w:color="auto" w:fill="CCCCCC"/>
          </w:tcPr>
          <w:p>
            <w:pPr>
              <w:spacing w:after="0"/>
              <w:rPr>
                <w:sz w:val="15"/>
                <w:szCs w:val="15"/>
                <w:color w:val="auto"/>
              </w:rPr>
            </w:pPr>
          </w:p>
        </w:tc>
        <w:tc>
          <w:tcPr>
            <w:tcW w:w="4280" w:type="dxa"/>
            <w:vAlign w:val="bottom"/>
          </w:tcPr>
          <w:p>
            <w:pPr>
              <w:ind w:left="320"/>
              <w:spacing w:after="0"/>
              <w:rPr>
                <w:sz w:val="20"/>
                <w:szCs w:val="20"/>
                <w:color w:val="auto"/>
              </w:rPr>
            </w:pPr>
            <w:r>
              <w:rPr>
                <w:rFonts w:ascii="Arial" w:cs="Arial" w:eastAsia="Arial" w:hAnsi="Arial"/>
                <w:sz w:val="14"/>
                <w:szCs w:val="14"/>
                <w:color w:val="auto"/>
              </w:rPr>
              <w:t>certain practical expedients, or</w:t>
            </w:r>
          </w:p>
        </w:tc>
        <w:tc>
          <w:tcPr>
            <w:tcW w:w="20" w:type="dxa"/>
            <w:vAlign w:val="bottom"/>
            <w:shd w:val="clear" w:color="auto" w:fill="CCCCCC"/>
          </w:tcPr>
          <w:p>
            <w:pPr>
              <w:spacing w:after="0"/>
              <w:rPr>
                <w:sz w:val="15"/>
                <w:szCs w:val="15"/>
                <w:color w:val="auto"/>
              </w:rPr>
            </w:pPr>
          </w:p>
        </w:tc>
        <w:tc>
          <w:tcPr>
            <w:tcW w:w="1640" w:type="dxa"/>
            <w:vAlign w:val="bottom"/>
          </w:tcPr>
          <w:p>
            <w:pPr>
              <w:spacing w:after="0"/>
              <w:rPr>
                <w:sz w:val="15"/>
                <w:szCs w:val="15"/>
                <w:color w:val="auto"/>
              </w:rPr>
            </w:pPr>
          </w:p>
        </w:tc>
        <w:tc>
          <w:tcPr>
            <w:tcW w:w="20" w:type="dxa"/>
            <w:vAlign w:val="bottom"/>
            <w:shd w:val="clear" w:color="auto" w:fill="CCCCCC"/>
          </w:tcPr>
          <w:p>
            <w:pPr>
              <w:spacing w:after="0"/>
              <w:rPr>
                <w:sz w:val="15"/>
                <w:szCs w:val="15"/>
                <w:color w:val="auto"/>
              </w:rPr>
            </w:pPr>
          </w:p>
        </w:tc>
        <w:tc>
          <w:tcPr>
            <w:tcW w:w="3140" w:type="dxa"/>
            <w:vAlign w:val="bottom"/>
          </w:tcPr>
          <w:p>
            <w:pPr>
              <w:spacing w:after="0"/>
              <w:rPr>
                <w:sz w:val="15"/>
                <w:szCs w:val="15"/>
                <w:color w:val="auto"/>
              </w:rPr>
            </w:pPr>
          </w:p>
        </w:tc>
        <w:tc>
          <w:tcPr>
            <w:tcW w:w="20" w:type="dxa"/>
            <w:vAlign w:val="bottom"/>
            <w:shd w:val="clear" w:color="auto" w:fill="CCCCCC"/>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20" w:type="dxa"/>
            <w:vAlign w:val="bottom"/>
            <w:shd w:val="clear" w:color="auto" w:fill="CCCCCC"/>
          </w:tcPr>
          <w:p>
            <w:pPr>
              <w:spacing w:after="0"/>
              <w:rPr>
                <w:sz w:val="22"/>
                <w:szCs w:val="22"/>
                <w:color w:val="auto"/>
              </w:rPr>
            </w:pPr>
          </w:p>
        </w:tc>
        <w:tc>
          <w:tcPr>
            <w:tcW w:w="1680" w:type="dxa"/>
            <w:vAlign w:val="bottom"/>
          </w:tcPr>
          <w:p>
            <w:pPr>
              <w:spacing w:after="0"/>
              <w:rPr>
                <w:sz w:val="22"/>
                <w:szCs w:val="22"/>
                <w:color w:val="auto"/>
              </w:rPr>
            </w:pPr>
          </w:p>
        </w:tc>
        <w:tc>
          <w:tcPr>
            <w:tcW w:w="20" w:type="dxa"/>
            <w:vAlign w:val="bottom"/>
            <w:shd w:val="clear" w:color="auto" w:fill="CCCCCC"/>
          </w:tcPr>
          <w:p>
            <w:pPr>
              <w:spacing w:after="0"/>
              <w:rPr>
                <w:sz w:val="22"/>
                <w:szCs w:val="22"/>
                <w:color w:val="auto"/>
              </w:rPr>
            </w:pPr>
          </w:p>
        </w:tc>
        <w:tc>
          <w:tcPr>
            <w:tcW w:w="4280" w:type="dxa"/>
            <w:vAlign w:val="bottom"/>
          </w:tcPr>
          <w:p>
            <w:pPr>
              <w:ind w:left="320"/>
              <w:spacing w:after="0"/>
              <w:rPr>
                <w:sz w:val="20"/>
                <w:szCs w:val="20"/>
                <w:color w:val="auto"/>
              </w:rPr>
            </w:pPr>
            <w:r>
              <w:rPr>
                <w:rFonts w:ascii="Arial" w:cs="Arial" w:eastAsia="Arial" w:hAnsi="Arial"/>
                <w:sz w:val="14"/>
                <w:szCs w:val="14"/>
                <w:color w:val="auto"/>
                <w:w w:val="98"/>
              </w:rPr>
              <w:t>•  A modified retrospective approach with the cumulative effect of</w:t>
            </w:r>
          </w:p>
        </w:tc>
        <w:tc>
          <w:tcPr>
            <w:tcW w:w="20" w:type="dxa"/>
            <w:vAlign w:val="bottom"/>
            <w:shd w:val="clear" w:color="auto" w:fill="CCCCCC"/>
          </w:tcPr>
          <w:p>
            <w:pPr>
              <w:spacing w:after="0"/>
              <w:rPr>
                <w:sz w:val="22"/>
                <w:szCs w:val="22"/>
                <w:color w:val="auto"/>
              </w:rPr>
            </w:pPr>
          </w:p>
        </w:tc>
        <w:tc>
          <w:tcPr>
            <w:tcW w:w="1640" w:type="dxa"/>
            <w:vAlign w:val="bottom"/>
          </w:tcPr>
          <w:p>
            <w:pPr>
              <w:spacing w:after="0"/>
              <w:rPr>
                <w:sz w:val="22"/>
                <w:szCs w:val="22"/>
                <w:color w:val="auto"/>
              </w:rPr>
            </w:pPr>
          </w:p>
        </w:tc>
        <w:tc>
          <w:tcPr>
            <w:tcW w:w="20" w:type="dxa"/>
            <w:vAlign w:val="bottom"/>
            <w:shd w:val="clear" w:color="auto" w:fill="CCCCCC"/>
          </w:tcPr>
          <w:p>
            <w:pPr>
              <w:spacing w:after="0"/>
              <w:rPr>
                <w:sz w:val="22"/>
                <w:szCs w:val="22"/>
                <w:color w:val="auto"/>
              </w:rPr>
            </w:pPr>
          </w:p>
        </w:tc>
        <w:tc>
          <w:tcPr>
            <w:tcW w:w="3140" w:type="dxa"/>
            <w:vAlign w:val="bottom"/>
          </w:tcPr>
          <w:p>
            <w:pPr>
              <w:spacing w:after="0"/>
              <w:rPr>
                <w:sz w:val="22"/>
                <w:szCs w:val="22"/>
                <w:color w:val="auto"/>
              </w:rPr>
            </w:pPr>
          </w:p>
        </w:tc>
        <w:tc>
          <w:tcPr>
            <w:tcW w:w="20" w:type="dxa"/>
            <w:vAlign w:val="bottom"/>
            <w:shd w:val="clear" w:color="auto" w:fill="CCCCCC"/>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shd w:val="clear" w:color="auto" w:fill="CCCCCC"/>
          </w:tcPr>
          <w:p>
            <w:pPr>
              <w:spacing w:after="0"/>
              <w:rPr>
                <w:sz w:val="12"/>
                <w:szCs w:val="12"/>
                <w:color w:val="auto"/>
              </w:rPr>
            </w:pPr>
          </w:p>
        </w:tc>
        <w:tc>
          <w:tcPr>
            <w:tcW w:w="168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4280" w:type="dxa"/>
            <w:vAlign w:val="bottom"/>
          </w:tcPr>
          <w:p>
            <w:pPr>
              <w:ind w:left="320"/>
              <w:spacing w:after="0" w:line="149" w:lineRule="exact"/>
              <w:rPr>
                <w:sz w:val="20"/>
                <w:szCs w:val="20"/>
                <w:color w:val="auto"/>
              </w:rPr>
            </w:pPr>
            <w:r>
              <w:rPr>
                <w:rFonts w:ascii="Arial" w:cs="Arial" w:eastAsia="Arial" w:hAnsi="Arial"/>
                <w:sz w:val="14"/>
                <w:szCs w:val="14"/>
                <w:color w:val="auto"/>
                <w:w w:val="97"/>
              </w:rPr>
              <w:t>initially adopting ASU 2014-09 recognized at the date of adoption</w:t>
            </w:r>
          </w:p>
        </w:tc>
        <w:tc>
          <w:tcPr>
            <w:tcW w:w="20" w:type="dxa"/>
            <w:vAlign w:val="bottom"/>
            <w:shd w:val="clear" w:color="auto" w:fill="CCCCCC"/>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3140" w:type="dxa"/>
            <w:vAlign w:val="bottom"/>
          </w:tcPr>
          <w:p>
            <w:pPr>
              <w:spacing w:after="0"/>
              <w:rPr>
                <w:sz w:val="12"/>
                <w:szCs w:val="12"/>
                <w:color w:val="auto"/>
              </w:rPr>
            </w:pPr>
          </w:p>
        </w:tc>
        <w:tc>
          <w:tcPr>
            <w:tcW w:w="20" w:type="dxa"/>
            <w:vAlign w:val="bottom"/>
            <w:shd w:val="clear" w:color="auto" w:fill="CCCCCC"/>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20" w:type="dxa"/>
            <w:vAlign w:val="bottom"/>
            <w:tcBorders>
              <w:bottom w:val="single" w:sz="8" w:color="CCCCCC"/>
            </w:tcBorders>
            <w:shd w:val="clear" w:color="auto" w:fill="CCCCCC"/>
          </w:tcPr>
          <w:p>
            <w:pPr>
              <w:spacing w:after="0"/>
              <w:rPr>
                <w:sz w:val="16"/>
                <w:szCs w:val="16"/>
                <w:color w:val="auto"/>
              </w:rPr>
            </w:pPr>
          </w:p>
        </w:tc>
        <w:tc>
          <w:tcPr>
            <w:tcW w:w="1680" w:type="dxa"/>
            <w:vAlign w:val="bottom"/>
            <w:tcBorders>
              <w:bottom w:val="single" w:sz="8" w:color="CCCCCC"/>
            </w:tcBorders>
          </w:tcPr>
          <w:p>
            <w:pPr>
              <w:spacing w:after="0"/>
              <w:rPr>
                <w:sz w:val="16"/>
                <w:szCs w:val="16"/>
                <w:color w:val="auto"/>
              </w:rPr>
            </w:pPr>
          </w:p>
        </w:tc>
        <w:tc>
          <w:tcPr>
            <w:tcW w:w="20" w:type="dxa"/>
            <w:vAlign w:val="bottom"/>
            <w:tcBorders>
              <w:bottom w:val="single" w:sz="8" w:color="CCCCCC"/>
            </w:tcBorders>
            <w:shd w:val="clear" w:color="auto" w:fill="CCCCCC"/>
          </w:tcPr>
          <w:p>
            <w:pPr>
              <w:spacing w:after="0"/>
              <w:rPr>
                <w:sz w:val="16"/>
                <w:szCs w:val="16"/>
                <w:color w:val="auto"/>
              </w:rPr>
            </w:pPr>
          </w:p>
        </w:tc>
        <w:tc>
          <w:tcPr>
            <w:tcW w:w="4280" w:type="dxa"/>
            <w:vAlign w:val="bottom"/>
            <w:tcBorders>
              <w:bottom w:val="single" w:sz="8" w:color="CCCCCC"/>
            </w:tcBorders>
          </w:tcPr>
          <w:p>
            <w:pPr>
              <w:ind w:left="320"/>
              <w:spacing w:after="0"/>
              <w:rPr>
                <w:sz w:val="20"/>
                <w:szCs w:val="20"/>
                <w:color w:val="auto"/>
              </w:rPr>
            </w:pPr>
            <w:r>
              <w:rPr>
                <w:rFonts w:ascii="Arial" w:cs="Arial" w:eastAsia="Arial" w:hAnsi="Arial"/>
                <w:sz w:val="14"/>
                <w:szCs w:val="14"/>
                <w:color w:val="auto"/>
              </w:rPr>
              <w:t>(which includes additional footnote disclosures).</w:t>
            </w:r>
          </w:p>
        </w:tc>
        <w:tc>
          <w:tcPr>
            <w:tcW w:w="20" w:type="dxa"/>
            <w:vAlign w:val="bottom"/>
            <w:tcBorders>
              <w:bottom w:val="single" w:sz="8" w:color="CCCCCC"/>
            </w:tcBorders>
            <w:shd w:val="clear" w:color="auto" w:fill="CCCCCC"/>
          </w:tcPr>
          <w:p>
            <w:pPr>
              <w:spacing w:after="0"/>
              <w:rPr>
                <w:sz w:val="16"/>
                <w:szCs w:val="16"/>
                <w:color w:val="auto"/>
              </w:rPr>
            </w:pPr>
          </w:p>
        </w:tc>
        <w:tc>
          <w:tcPr>
            <w:tcW w:w="1640" w:type="dxa"/>
            <w:vAlign w:val="bottom"/>
            <w:tcBorders>
              <w:bottom w:val="single" w:sz="8" w:color="CCCCCC"/>
            </w:tcBorders>
          </w:tcPr>
          <w:p>
            <w:pPr>
              <w:spacing w:after="0"/>
              <w:rPr>
                <w:sz w:val="16"/>
                <w:szCs w:val="16"/>
                <w:color w:val="auto"/>
              </w:rPr>
            </w:pPr>
          </w:p>
        </w:tc>
        <w:tc>
          <w:tcPr>
            <w:tcW w:w="20" w:type="dxa"/>
            <w:vAlign w:val="bottom"/>
            <w:tcBorders>
              <w:bottom w:val="single" w:sz="8" w:color="CCCCCC"/>
            </w:tcBorders>
            <w:shd w:val="clear" w:color="auto" w:fill="CCCCCC"/>
          </w:tcPr>
          <w:p>
            <w:pPr>
              <w:spacing w:after="0"/>
              <w:rPr>
                <w:sz w:val="16"/>
                <w:szCs w:val="16"/>
                <w:color w:val="auto"/>
              </w:rPr>
            </w:pPr>
          </w:p>
        </w:tc>
        <w:tc>
          <w:tcPr>
            <w:tcW w:w="3140" w:type="dxa"/>
            <w:vAlign w:val="bottom"/>
            <w:tcBorders>
              <w:bottom w:val="single" w:sz="8" w:color="CCCCCC"/>
            </w:tcBorders>
          </w:tcPr>
          <w:p>
            <w:pPr>
              <w:spacing w:after="0"/>
              <w:rPr>
                <w:sz w:val="16"/>
                <w:szCs w:val="16"/>
                <w:color w:val="auto"/>
              </w:rPr>
            </w:pPr>
          </w:p>
        </w:tc>
        <w:tc>
          <w:tcPr>
            <w:tcW w:w="20" w:type="dxa"/>
            <w:vAlign w:val="bottom"/>
            <w:tcBorders>
              <w:bottom w:val="single" w:sz="8" w:color="CCCCCC"/>
            </w:tcBorders>
            <w:shd w:val="clear" w:color="auto" w:fill="CCCCCC"/>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0" w:type="dxa"/>
            <w:vAlign w:val="bottom"/>
            <w:shd w:val="clear" w:color="auto" w:fill="CCCCCC"/>
          </w:tcPr>
          <w:p>
            <w:pPr>
              <w:spacing w:after="0"/>
              <w:rPr>
                <w:sz w:val="17"/>
                <w:szCs w:val="17"/>
                <w:color w:val="auto"/>
              </w:rPr>
            </w:pPr>
          </w:p>
        </w:tc>
        <w:tc>
          <w:tcPr>
            <w:tcW w:w="1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58"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00"/>
          </w:cols>
          <w:pgMar w:left="240" w:top="121" w:right="35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tbl>
      <w:tblPr>
        <w:tblLayout w:type="fixed"/>
        <w:tblInd w:w="10" w:type="dxa"/>
        <w:tblCellMar>
          <w:top w:w="0" w:type="dxa"/>
          <w:left w:w="0" w:type="dxa"/>
          <w:bottom w:w="0" w:type="dxa"/>
          <w:right w:w="0" w:type="dxa"/>
        </w:tblCellMar>
      </w:tblPr>
      <w:tr>
        <w:trPr>
          <w:trHeight w:val="315"/>
        </w:trPr>
        <w:tc>
          <w:tcPr>
            <w:tcW w:w="1740" w:type="dxa"/>
            <w:vAlign w:val="bottom"/>
            <w:tcBorders>
              <w:top w:val="single" w:sz="8" w:color="CCCCCC"/>
              <w:left w:val="single" w:sz="8" w:color="CCCCCC"/>
              <w:right w:val="single" w:sz="8" w:color="CCCCCC"/>
            </w:tcBorders>
            <w:vMerge w:val="restart"/>
          </w:tcPr>
          <w:p>
            <w:pPr>
              <w:ind w:left="580"/>
              <w:spacing w:after="0"/>
              <w:rPr>
                <w:sz w:val="20"/>
                <w:szCs w:val="20"/>
                <w:color w:val="auto"/>
              </w:rPr>
            </w:pPr>
            <w:r>
              <w:rPr>
                <w:rFonts w:ascii="Arial" w:cs="Arial" w:eastAsia="Arial" w:hAnsi="Arial"/>
                <w:sz w:val="14"/>
                <w:szCs w:val="14"/>
                <w:b w:val="1"/>
                <w:bCs w:val="1"/>
                <w:color w:val="auto"/>
              </w:rPr>
              <w:t>Standard</w:t>
            </w:r>
          </w:p>
        </w:tc>
        <w:tc>
          <w:tcPr>
            <w:tcW w:w="4280" w:type="dxa"/>
            <w:vAlign w:val="bottom"/>
            <w:tcBorders>
              <w:top w:val="single" w:sz="8" w:color="CCCCCC"/>
              <w:right w:val="single" w:sz="8" w:color="CCCCCC"/>
            </w:tcBorders>
            <w:vMerge w:val="restart"/>
          </w:tcPr>
          <w:p>
            <w:pPr>
              <w:ind w:left="1840"/>
              <w:spacing w:after="0"/>
              <w:rPr>
                <w:sz w:val="20"/>
                <w:szCs w:val="20"/>
                <w:color w:val="auto"/>
              </w:rPr>
            </w:pPr>
            <w:r>
              <w:rPr>
                <w:rFonts w:ascii="Arial" w:cs="Arial" w:eastAsia="Arial" w:hAnsi="Arial"/>
                <w:sz w:val="14"/>
                <w:szCs w:val="14"/>
                <w:b w:val="1"/>
                <w:bCs w:val="1"/>
                <w:color w:val="auto"/>
              </w:rPr>
              <w:t>Description</w:t>
            </w:r>
          </w:p>
        </w:tc>
        <w:tc>
          <w:tcPr>
            <w:tcW w:w="1660" w:type="dxa"/>
            <w:vAlign w:val="bottom"/>
            <w:tcBorders>
              <w:top w:val="single" w:sz="8" w:color="CCCCCC"/>
              <w:right w:val="single" w:sz="8" w:color="CCCCCC"/>
            </w:tcBorders>
          </w:tcPr>
          <w:p>
            <w:pPr>
              <w:jc w:val="center"/>
              <w:ind w:left="28"/>
              <w:spacing w:after="0"/>
              <w:rPr>
                <w:sz w:val="20"/>
                <w:szCs w:val="20"/>
                <w:color w:val="auto"/>
              </w:rPr>
            </w:pPr>
            <w:r>
              <w:rPr>
                <w:rFonts w:ascii="Arial" w:cs="Arial" w:eastAsia="Arial" w:hAnsi="Arial"/>
                <w:sz w:val="14"/>
                <w:szCs w:val="14"/>
                <w:b w:val="1"/>
                <w:bCs w:val="1"/>
                <w:color w:val="auto"/>
                <w:w w:val="94"/>
              </w:rPr>
              <w:t>Effective Date</w:t>
            </w:r>
          </w:p>
        </w:tc>
        <w:tc>
          <w:tcPr>
            <w:tcW w:w="3160" w:type="dxa"/>
            <w:vAlign w:val="bottom"/>
            <w:tcBorders>
              <w:top w:val="single" w:sz="8" w:color="CCCCCC"/>
              <w:right w:val="single" w:sz="8" w:color="CCCCCC"/>
            </w:tcBorders>
          </w:tcPr>
          <w:p>
            <w:pPr>
              <w:jc w:val="center"/>
              <w:spacing w:after="0"/>
              <w:rPr>
                <w:sz w:val="20"/>
                <w:szCs w:val="20"/>
                <w:color w:val="auto"/>
              </w:rPr>
            </w:pPr>
            <w:r>
              <w:rPr>
                <w:rFonts w:ascii="Arial" w:cs="Arial" w:eastAsia="Arial" w:hAnsi="Arial"/>
                <w:sz w:val="14"/>
                <w:szCs w:val="14"/>
                <w:b w:val="1"/>
                <w:bCs w:val="1"/>
                <w:color w:val="auto"/>
                <w:w w:val="90"/>
              </w:rPr>
              <w:t>Effect on the Condensed Consolidated</w:t>
            </w:r>
          </w:p>
        </w:tc>
        <w:tc>
          <w:tcPr>
            <w:tcW w:w="0" w:type="dxa"/>
            <w:vAlign w:val="bottom"/>
          </w:tcPr>
          <w:p>
            <w:pPr>
              <w:spacing w:after="0"/>
              <w:rPr>
                <w:sz w:val="1"/>
                <w:szCs w:val="1"/>
                <w:color w:val="auto"/>
              </w:rPr>
            </w:pPr>
          </w:p>
        </w:tc>
      </w:tr>
      <w:tr>
        <w:trPr>
          <w:trHeight w:val="105"/>
        </w:trPr>
        <w:tc>
          <w:tcPr>
            <w:tcW w:w="1740" w:type="dxa"/>
            <w:vAlign w:val="bottom"/>
            <w:tcBorders>
              <w:left w:val="single" w:sz="8" w:color="CCCCCC"/>
              <w:right w:val="single" w:sz="8" w:color="CCCCCC"/>
            </w:tcBorders>
            <w:vMerge w:val="continue"/>
          </w:tcPr>
          <w:p>
            <w:pPr>
              <w:spacing w:after="0"/>
              <w:rPr>
                <w:sz w:val="9"/>
                <w:szCs w:val="9"/>
                <w:color w:val="auto"/>
              </w:rPr>
            </w:pPr>
          </w:p>
        </w:tc>
        <w:tc>
          <w:tcPr>
            <w:tcW w:w="4280" w:type="dxa"/>
            <w:vAlign w:val="bottom"/>
            <w:tcBorders>
              <w:right w:val="single" w:sz="8" w:color="CCCCCC"/>
            </w:tcBorders>
            <w:vMerge w:val="continue"/>
          </w:tcPr>
          <w:p>
            <w:pPr>
              <w:spacing w:after="0"/>
              <w:rPr>
                <w:sz w:val="9"/>
                <w:szCs w:val="9"/>
                <w:color w:val="auto"/>
              </w:rPr>
            </w:pPr>
          </w:p>
        </w:tc>
        <w:tc>
          <w:tcPr>
            <w:tcW w:w="1660" w:type="dxa"/>
            <w:vAlign w:val="bottom"/>
            <w:tcBorders>
              <w:right w:val="single" w:sz="8" w:color="CCCCCC"/>
            </w:tcBorders>
            <w:vMerge w:val="restart"/>
          </w:tcPr>
          <w:p>
            <w:pPr>
              <w:jc w:val="center"/>
              <w:ind w:left="48"/>
              <w:spacing w:after="0"/>
              <w:rPr>
                <w:sz w:val="20"/>
                <w:szCs w:val="20"/>
                <w:color w:val="auto"/>
              </w:rPr>
            </w:pPr>
            <w:r>
              <w:rPr>
                <w:rFonts w:ascii="Arial" w:cs="Arial" w:eastAsia="Arial" w:hAnsi="Arial"/>
                <w:sz w:val="14"/>
                <w:szCs w:val="14"/>
                <w:b w:val="1"/>
                <w:bCs w:val="1"/>
                <w:color w:val="auto"/>
                <w:w w:val="94"/>
              </w:rPr>
              <w:t>for Company</w:t>
            </w:r>
          </w:p>
        </w:tc>
        <w:tc>
          <w:tcPr>
            <w:tcW w:w="3160" w:type="dxa"/>
            <w:vAlign w:val="bottom"/>
            <w:tcBorders>
              <w:right w:val="single" w:sz="8" w:color="CCCCCC"/>
            </w:tcBorders>
            <w:vMerge w:val="restart"/>
          </w:tcPr>
          <w:p>
            <w:pPr>
              <w:jc w:val="center"/>
              <w:ind w:left="28"/>
              <w:spacing w:after="0"/>
              <w:rPr>
                <w:sz w:val="20"/>
                <w:szCs w:val="20"/>
                <w:color w:val="auto"/>
              </w:rPr>
            </w:pPr>
            <w:r>
              <w:rPr>
                <w:rFonts w:ascii="Arial" w:cs="Arial" w:eastAsia="Arial" w:hAnsi="Arial"/>
                <w:sz w:val="14"/>
                <w:szCs w:val="14"/>
                <w:b w:val="1"/>
                <w:bCs w:val="1"/>
                <w:color w:val="auto"/>
                <w:w w:val="92"/>
              </w:rPr>
              <w:t>Financial Statements</w:t>
            </w:r>
          </w:p>
        </w:tc>
        <w:tc>
          <w:tcPr>
            <w:tcW w:w="0" w:type="dxa"/>
            <w:vAlign w:val="bottom"/>
          </w:tcPr>
          <w:p>
            <w:pPr>
              <w:spacing w:after="0"/>
              <w:rPr>
                <w:sz w:val="1"/>
                <w:szCs w:val="1"/>
                <w:color w:val="auto"/>
              </w:rPr>
            </w:pPr>
          </w:p>
        </w:tc>
      </w:tr>
      <w:tr>
        <w:trPr>
          <w:trHeight w:val="81"/>
        </w:trPr>
        <w:tc>
          <w:tcPr>
            <w:tcW w:w="1740" w:type="dxa"/>
            <w:vAlign w:val="bottom"/>
            <w:tcBorders>
              <w:left w:val="single" w:sz="8" w:color="CCCCCC"/>
              <w:right w:val="single" w:sz="8" w:color="CCCCCC"/>
            </w:tcBorders>
          </w:tcPr>
          <w:p>
            <w:pPr>
              <w:spacing w:after="0"/>
              <w:rPr>
                <w:sz w:val="7"/>
                <w:szCs w:val="7"/>
                <w:color w:val="auto"/>
              </w:rPr>
            </w:pPr>
          </w:p>
        </w:tc>
        <w:tc>
          <w:tcPr>
            <w:tcW w:w="4280" w:type="dxa"/>
            <w:vAlign w:val="bottom"/>
            <w:tcBorders>
              <w:right w:val="single" w:sz="8" w:color="CCCCCC"/>
            </w:tcBorders>
          </w:tcPr>
          <w:p>
            <w:pPr>
              <w:spacing w:after="0"/>
              <w:rPr>
                <w:sz w:val="7"/>
                <w:szCs w:val="7"/>
                <w:color w:val="auto"/>
              </w:rPr>
            </w:pPr>
          </w:p>
        </w:tc>
        <w:tc>
          <w:tcPr>
            <w:tcW w:w="1660" w:type="dxa"/>
            <w:vAlign w:val="bottom"/>
            <w:tcBorders>
              <w:right w:val="single" w:sz="8" w:color="CCCCCC"/>
            </w:tcBorders>
            <w:vMerge w:val="continue"/>
          </w:tcPr>
          <w:p>
            <w:pPr>
              <w:spacing w:after="0"/>
              <w:rPr>
                <w:sz w:val="7"/>
                <w:szCs w:val="7"/>
                <w:color w:val="auto"/>
              </w:rPr>
            </w:pPr>
          </w:p>
        </w:tc>
        <w:tc>
          <w:tcPr>
            <w:tcW w:w="3160" w:type="dxa"/>
            <w:vAlign w:val="bottom"/>
            <w:tcBorders>
              <w:right w:val="single" w:sz="8" w:color="CCCCCC"/>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68"/>
        </w:trPr>
        <w:tc>
          <w:tcPr>
            <w:tcW w:w="1740" w:type="dxa"/>
            <w:vAlign w:val="bottom"/>
            <w:tcBorders>
              <w:left w:val="single" w:sz="8" w:color="CCCCCC"/>
              <w:bottom w:val="single" w:sz="8" w:color="7F7F7F"/>
              <w:right w:val="single" w:sz="8" w:color="CCCCCC"/>
            </w:tcBorders>
          </w:tcPr>
          <w:p>
            <w:pPr>
              <w:spacing w:after="0"/>
              <w:rPr>
                <w:sz w:val="14"/>
                <w:szCs w:val="14"/>
                <w:color w:val="auto"/>
              </w:rPr>
            </w:pPr>
          </w:p>
        </w:tc>
        <w:tc>
          <w:tcPr>
            <w:tcW w:w="4280" w:type="dxa"/>
            <w:vAlign w:val="bottom"/>
            <w:tcBorders>
              <w:bottom w:val="single" w:sz="8" w:color="7F7F7F"/>
              <w:right w:val="single" w:sz="8" w:color="CCCCCC"/>
            </w:tcBorders>
          </w:tcPr>
          <w:p>
            <w:pPr>
              <w:spacing w:after="0"/>
              <w:rPr>
                <w:sz w:val="14"/>
                <w:szCs w:val="14"/>
                <w:color w:val="auto"/>
              </w:rPr>
            </w:pPr>
          </w:p>
        </w:tc>
        <w:tc>
          <w:tcPr>
            <w:tcW w:w="1660" w:type="dxa"/>
            <w:vAlign w:val="bottom"/>
            <w:tcBorders>
              <w:bottom w:val="single" w:sz="8" w:color="7F7F7F"/>
              <w:right w:val="single" w:sz="8" w:color="CCCCCC"/>
            </w:tcBorders>
          </w:tcPr>
          <w:p>
            <w:pPr>
              <w:spacing w:after="0"/>
              <w:rPr>
                <w:sz w:val="14"/>
                <w:szCs w:val="14"/>
                <w:color w:val="auto"/>
              </w:rPr>
            </w:pPr>
          </w:p>
        </w:tc>
        <w:tc>
          <w:tcPr>
            <w:tcW w:w="3160" w:type="dxa"/>
            <w:vAlign w:val="bottom"/>
            <w:tcBorders>
              <w:bottom w:val="single" w:sz="8" w:color="7F7F7F"/>
              <w:right w:val="single" w:sz="8" w:color="CCCCCC"/>
            </w:tcBorders>
          </w:tcPr>
          <w:p>
            <w:pPr>
              <w:spacing w:after="0"/>
              <w:rPr>
                <w:sz w:val="14"/>
                <w:szCs w:val="14"/>
                <w:color w:val="auto"/>
              </w:rPr>
            </w:pPr>
          </w:p>
        </w:tc>
        <w:tc>
          <w:tcPr>
            <w:tcW w:w="0" w:type="dxa"/>
            <w:vAlign w:val="bottom"/>
          </w:tcPr>
          <w:p>
            <w:pPr>
              <w:spacing w:after="0"/>
              <w:rPr>
                <w:sz w:val="1"/>
                <w:szCs w:val="1"/>
                <w:color w:val="auto"/>
              </w:rPr>
            </w:pPr>
          </w:p>
        </w:tc>
      </w:tr>
      <w:tr>
        <w:trPr>
          <w:trHeight w:val="197"/>
        </w:trPr>
        <w:tc>
          <w:tcPr>
            <w:tcW w:w="6020" w:type="dxa"/>
            <w:vAlign w:val="bottom"/>
            <w:tcBorders>
              <w:left w:val="single" w:sz="8" w:color="CCCCCC"/>
            </w:tcBorders>
            <w:gridSpan w:val="2"/>
          </w:tcPr>
          <w:p>
            <w:pPr>
              <w:ind w:left="40"/>
              <w:spacing w:after="0"/>
              <w:rPr>
                <w:sz w:val="20"/>
                <w:szCs w:val="20"/>
                <w:color w:val="auto"/>
              </w:rPr>
            </w:pPr>
            <w:r>
              <w:rPr>
                <w:rFonts w:ascii="Arial" w:cs="Arial" w:eastAsia="Arial" w:hAnsi="Arial"/>
                <w:sz w:val="14"/>
                <w:szCs w:val="14"/>
                <w:b w:val="1"/>
                <w:bCs w:val="1"/>
                <w:color w:val="auto"/>
              </w:rPr>
              <w:t>Accounting Standards Adopted During the Nine Months Ended September 30, 2017</w:t>
            </w:r>
          </w:p>
        </w:tc>
        <w:tc>
          <w:tcPr>
            <w:tcW w:w="1660" w:type="dxa"/>
            <w:vAlign w:val="bottom"/>
          </w:tcPr>
          <w:p>
            <w:pPr>
              <w:spacing w:after="0"/>
              <w:rPr>
                <w:sz w:val="17"/>
                <w:szCs w:val="17"/>
                <w:color w:val="auto"/>
              </w:rPr>
            </w:pPr>
          </w:p>
        </w:tc>
        <w:tc>
          <w:tcPr>
            <w:tcW w:w="3160" w:type="dxa"/>
            <w:vAlign w:val="bottom"/>
            <w:tcBorders>
              <w:right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28"/>
        </w:trPr>
        <w:tc>
          <w:tcPr>
            <w:tcW w:w="1740" w:type="dxa"/>
            <w:vAlign w:val="bottom"/>
            <w:tcBorders>
              <w:left w:val="single" w:sz="8" w:color="CCCCCC"/>
              <w:bottom w:val="single" w:sz="8" w:color="CCCCCC"/>
              <w:right w:val="single" w:sz="8" w:color="CCCCCC"/>
            </w:tcBorders>
          </w:tcPr>
          <w:p>
            <w:pPr>
              <w:spacing w:after="0"/>
              <w:rPr>
                <w:sz w:val="11"/>
                <w:szCs w:val="11"/>
                <w:color w:val="auto"/>
              </w:rPr>
            </w:pPr>
          </w:p>
        </w:tc>
        <w:tc>
          <w:tcPr>
            <w:tcW w:w="4280" w:type="dxa"/>
            <w:vAlign w:val="bottom"/>
            <w:tcBorders>
              <w:bottom w:val="single" w:sz="8" w:color="CCCCCC"/>
              <w:right w:val="single" w:sz="8" w:color="CCCCCC"/>
            </w:tcBorders>
          </w:tcPr>
          <w:p>
            <w:pPr>
              <w:spacing w:after="0"/>
              <w:rPr>
                <w:sz w:val="11"/>
                <w:szCs w:val="11"/>
                <w:color w:val="auto"/>
              </w:rPr>
            </w:pPr>
          </w:p>
        </w:tc>
        <w:tc>
          <w:tcPr>
            <w:tcW w:w="1660" w:type="dxa"/>
            <w:vAlign w:val="bottom"/>
            <w:tcBorders>
              <w:bottom w:val="single" w:sz="8" w:color="CCCCCC"/>
              <w:right w:val="single" w:sz="8" w:color="CCCCCC"/>
            </w:tcBorders>
          </w:tcPr>
          <w:p>
            <w:pPr>
              <w:spacing w:after="0"/>
              <w:rPr>
                <w:sz w:val="11"/>
                <w:szCs w:val="11"/>
                <w:color w:val="auto"/>
              </w:rPr>
            </w:pPr>
          </w:p>
        </w:tc>
        <w:tc>
          <w:tcPr>
            <w:tcW w:w="3160" w:type="dxa"/>
            <w:vAlign w:val="bottom"/>
            <w:tcBorders>
              <w:bottom w:val="single" w:sz="8" w:color="CCCCCC"/>
              <w:right w:val="single" w:sz="8" w:color="CCCCCC"/>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740" w:type="dxa"/>
            <w:vAlign w:val="bottom"/>
            <w:tcBorders>
              <w:left w:val="single" w:sz="8" w:color="CCCCCC"/>
              <w:right w:val="single" w:sz="8" w:color="CCCCCC"/>
            </w:tcBorders>
          </w:tcPr>
          <w:p>
            <w:pPr>
              <w:ind w:left="40"/>
              <w:spacing w:after="0" w:line="151" w:lineRule="exact"/>
              <w:rPr>
                <w:sz w:val="20"/>
                <w:szCs w:val="20"/>
                <w:color w:val="auto"/>
              </w:rPr>
            </w:pPr>
            <w:r>
              <w:rPr>
                <w:rFonts w:ascii="Arial" w:cs="Arial" w:eastAsia="Arial" w:hAnsi="Arial"/>
                <w:sz w:val="14"/>
                <w:szCs w:val="14"/>
                <w:color w:val="auto"/>
              </w:rPr>
              <w:t>ASU 2016-</w:t>
            </w:r>
          </w:p>
        </w:tc>
        <w:tc>
          <w:tcPr>
            <w:tcW w:w="4280" w:type="dxa"/>
            <w:vAlign w:val="bottom"/>
            <w:tcBorders>
              <w:right w:val="single" w:sz="8" w:color="CCCCCC"/>
            </w:tcBorders>
          </w:tcPr>
          <w:p>
            <w:pPr>
              <w:ind w:left="140"/>
              <w:spacing w:after="0" w:line="151" w:lineRule="exact"/>
              <w:rPr>
                <w:sz w:val="20"/>
                <w:szCs w:val="20"/>
                <w:color w:val="auto"/>
              </w:rPr>
            </w:pPr>
            <w:r>
              <w:rPr>
                <w:rFonts w:ascii="Arial" w:cs="Arial" w:eastAsia="Arial" w:hAnsi="Arial"/>
                <w:sz w:val="14"/>
                <w:szCs w:val="14"/>
                <w:color w:val="auto"/>
                <w:w w:val="99"/>
              </w:rPr>
              <w:t>ASU 2016-09 simplifies several aspects of the stock compensation</w:t>
            </w:r>
          </w:p>
        </w:tc>
        <w:tc>
          <w:tcPr>
            <w:tcW w:w="1660" w:type="dxa"/>
            <w:vAlign w:val="bottom"/>
            <w:tcBorders>
              <w:right w:val="single" w:sz="8" w:color="CCCCCC"/>
            </w:tcBorders>
          </w:tcPr>
          <w:p>
            <w:pPr>
              <w:jc w:val="center"/>
              <w:ind w:left="28"/>
              <w:spacing w:after="0" w:line="151" w:lineRule="exact"/>
              <w:rPr>
                <w:sz w:val="20"/>
                <w:szCs w:val="20"/>
                <w:color w:val="auto"/>
              </w:rPr>
            </w:pPr>
            <w:r>
              <w:rPr>
                <w:rFonts w:ascii="Arial" w:cs="Arial" w:eastAsia="Arial" w:hAnsi="Arial"/>
                <w:sz w:val="14"/>
                <w:szCs w:val="14"/>
                <w:color w:val="auto"/>
                <w:w w:val="91"/>
              </w:rPr>
              <w:t>January 1, 2017</w:t>
            </w:r>
          </w:p>
        </w:tc>
        <w:tc>
          <w:tcPr>
            <w:tcW w:w="3160" w:type="dxa"/>
            <w:vAlign w:val="bottom"/>
            <w:tcBorders>
              <w:right w:val="single" w:sz="8" w:color="CCCCCC"/>
            </w:tcBorders>
          </w:tcPr>
          <w:p>
            <w:pPr>
              <w:ind w:left="140"/>
              <w:spacing w:after="0" w:line="151" w:lineRule="exact"/>
              <w:rPr>
                <w:sz w:val="20"/>
                <w:szCs w:val="20"/>
                <w:color w:val="auto"/>
              </w:rPr>
            </w:pPr>
            <w:r>
              <w:rPr>
                <w:rFonts w:ascii="Arial" w:cs="Arial" w:eastAsia="Arial" w:hAnsi="Arial"/>
                <w:sz w:val="14"/>
                <w:szCs w:val="14"/>
                <w:color w:val="auto"/>
              </w:rPr>
              <w:t>The adoption of this standard did not have a</w:t>
            </w:r>
          </w:p>
        </w:tc>
        <w:tc>
          <w:tcPr>
            <w:tcW w:w="0" w:type="dxa"/>
            <w:vAlign w:val="bottom"/>
          </w:tcPr>
          <w:p>
            <w:pPr>
              <w:spacing w:after="0"/>
              <w:rPr>
                <w:sz w:val="1"/>
                <w:szCs w:val="1"/>
                <w:color w:val="auto"/>
              </w:rPr>
            </w:pPr>
          </w:p>
        </w:tc>
      </w:tr>
      <w:tr>
        <w:trPr>
          <w:trHeight w:val="149"/>
        </w:trPr>
        <w:tc>
          <w:tcPr>
            <w:tcW w:w="1740" w:type="dxa"/>
            <w:vAlign w:val="bottom"/>
            <w:tcBorders>
              <w:left w:val="single" w:sz="8" w:color="CCCCCC"/>
              <w:right w:val="single" w:sz="8" w:color="CCCCCC"/>
            </w:tcBorders>
          </w:tcPr>
          <w:p>
            <w:pPr>
              <w:ind w:left="40"/>
              <w:spacing w:after="0" w:line="149" w:lineRule="exact"/>
              <w:rPr>
                <w:sz w:val="20"/>
                <w:szCs w:val="20"/>
                <w:color w:val="auto"/>
              </w:rPr>
            </w:pPr>
            <w:r>
              <w:rPr>
                <w:rFonts w:ascii="Arial" w:cs="Arial" w:eastAsia="Arial" w:hAnsi="Arial"/>
                <w:sz w:val="14"/>
                <w:szCs w:val="14"/>
                <w:color w:val="auto"/>
              </w:rPr>
              <w:t xml:space="preserve">09, </w:t>
            </w:r>
            <w:r>
              <w:rPr>
                <w:rFonts w:ascii="Arial" w:cs="Arial" w:eastAsia="Arial" w:hAnsi="Arial"/>
                <w:sz w:val="14"/>
                <w:szCs w:val="14"/>
                <w:i w:val="1"/>
                <w:iCs w:val="1"/>
                <w:color w:val="auto"/>
              </w:rPr>
              <w:t>Compensation - Stock</w:t>
            </w:r>
          </w:p>
        </w:tc>
        <w:tc>
          <w:tcPr>
            <w:tcW w:w="4280" w:type="dxa"/>
            <w:vAlign w:val="bottom"/>
            <w:tcBorders>
              <w:right w:val="single" w:sz="8" w:color="CCCCCC"/>
            </w:tcBorders>
          </w:tcPr>
          <w:p>
            <w:pPr>
              <w:ind w:left="140"/>
              <w:spacing w:after="0" w:line="149" w:lineRule="exact"/>
              <w:rPr>
                <w:sz w:val="20"/>
                <w:szCs w:val="20"/>
                <w:color w:val="auto"/>
              </w:rPr>
            </w:pPr>
            <w:r>
              <w:rPr>
                <w:rFonts w:ascii="Arial" w:cs="Arial" w:eastAsia="Arial" w:hAnsi="Arial"/>
                <w:sz w:val="14"/>
                <w:szCs w:val="14"/>
                <w:color w:val="auto"/>
              </w:rPr>
              <w:t>guidance in Topic 718 and other related guidance providing the</w:t>
            </w:r>
          </w:p>
        </w:tc>
        <w:tc>
          <w:tcPr>
            <w:tcW w:w="1660" w:type="dxa"/>
            <w:vAlign w:val="bottom"/>
            <w:tcBorders>
              <w:right w:val="single" w:sz="8" w:color="CCCCCC"/>
            </w:tcBorders>
          </w:tcPr>
          <w:p>
            <w:pPr>
              <w:spacing w:after="0"/>
              <w:rPr>
                <w:sz w:val="12"/>
                <w:szCs w:val="12"/>
                <w:color w:val="auto"/>
              </w:rPr>
            </w:pPr>
          </w:p>
        </w:tc>
        <w:tc>
          <w:tcPr>
            <w:tcW w:w="3160" w:type="dxa"/>
            <w:vAlign w:val="bottom"/>
            <w:tcBorders>
              <w:right w:val="single" w:sz="8" w:color="CCCCCC"/>
            </w:tcBorders>
          </w:tcPr>
          <w:p>
            <w:pPr>
              <w:ind w:left="140"/>
              <w:spacing w:after="0" w:line="149" w:lineRule="exact"/>
              <w:rPr>
                <w:sz w:val="20"/>
                <w:szCs w:val="20"/>
                <w:color w:val="auto"/>
              </w:rPr>
            </w:pPr>
            <w:r>
              <w:rPr>
                <w:rFonts w:ascii="Arial" w:cs="Arial" w:eastAsia="Arial" w:hAnsi="Arial"/>
                <w:sz w:val="14"/>
                <w:szCs w:val="14"/>
                <w:color w:val="auto"/>
              </w:rPr>
              <w:t>material impact on the Company’s condensed</w:t>
            </w:r>
          </w:p>
        </w:tc>
        <w:tc>
          <w:tcPr>
            <w:tcW w:w="0" w:type="dxa"/>
            <w:vAlign w:val="bottom"/>
          </w:tcPr>
          <w:p>
            <w:pPr>
              <w:spacing w:after="0"/>
              <w:rPr>
                <w:sz w:val="1"/>
                <w:szCs w:val="1"/>
                <w:color w:val="auto"/>
              </w:rPr>
            </w:pPr>
          </w:p>
        </w:tc>
      </w:tr>
      <w:tr>
        <w:trPr>
          <w:trHeight w:val="149"/>
        </w:trPr>
        <w:tc>
          <w:tcPr>
            <w:tcW w:w="1740" w:type="dxa"/>
            <w:vAlign w:val="bottom"/>
            <w:tcBorders>
              <w:left w:val="single" w:sz="8" w:color="CCCCCC"/>
              <w:right w:val="single" w:sz="8" w:color="CCCCCC"/>
            </w:tcBorders>
          </w:tcPr>
          <w:p>
            <w:pPr>
              <w:ind w:left="40"/>
              <w:spacing w:after="0" w:line="149" w:lineRule="exact"/>
              <w:rPr>
                <w:sz w:val="20"/>
                <w:szCs w:val="20"/>
                <w:color w:val="auto"/>
              </w:rPr>
            </w:pPr>
            <w:r>
              <w:rPr>
                <w:rFonts w:ascii="Arial" w:cs="Arial" w:eastAsia="Arial" w:hAnsi="Arial"/>
                <w:sz w:val="14"/>
                <w:szCs w:val="14"/>
                <w:i w:val="1"/>
                <w:iCs w:val="1"/>
                <w:color w:val="auto"/>
                <w:w w:val="98"/>
              </w:rPr>
              <w:t>Compensation (Topic 718):</w:t>
            </w:r>
          </w:p>
        </w:tc>
        <w:tc>
          <w:tcPr>
            <w:tcW w:w="4280" w:type="dxa"/>
            <w:vAlign w:val="bottom"/>
            <w:tcBorders>
              <w:right w:val="single" w:sz="8" w:color="CCCCCC"/>
            </w:tcBorders>
          </w:tcPr>
          <w:p>
            <w:pPr>
              <w:ind w:left="140"/>
              <w:spacing w:after="0" w:line="149" w:lineRule="exact"/>
              <w:rPr>
                <w:sz w:val="20"/>
                <w:szCs w:val="20"/>
                <w:color w:val="auto"/>
              </w:rPr>
            </w:pPr>
            <w:r>
              <w:rPr>
                <w:rFonts w:ascii="Arial" w:cs="Arial" w:eastAsia="Arial" w:hAnsi="Arial"/>
                <w:sz w:val="14"/>
                <w:szCs w:val="14"/>
                <w:color w:val="auto"/>
              </w:rPr>
              <w:t>following amendments:</w:t>
            </w:r>
          </w:p>
        </w:tc>
        <w:tc>
          <w:tcPr>
            <w:tcW w:w="1660" w:type="dxa"/>
            <w:vAlign w:val="bottom"/>
            <w:tcBorders>
              <w:right w:val="single" w:sz="8" w:color="CCCCCC"/>
            </w:tcBorders>
          </w:tcPr>
          <w:p>
            <w:pPr>
              <w:spacing w:after="0"/>
              <w:rPr>
                <w:sz w:val="12"/>
                <w:szCs w:val="12"/>
                <w:color w:val="auto"/>
              </w:rPr>
            </w:pPr>
          </w:p>
        </w:tc>
        <w:tc>
          <w:tcPr>
            <w:tcW w:w="3160" w:type="dxa"/>
            <w:vAlign w:val="bottom"/>
            <w:tcBorders>
              <w:right w:val="single" w:sz="8" w:color="CCCCCC"/>
            </w:tcBorders>
          </w:tcPr>
          <w:p>
            <w:pPr>
              <w:ind w:left="140"/>
              <w:spacing w:after="0" w:line="149" w:lineRule="exact"/>
              <w:rPr>
                <w:sz w:val="20"/>
                <w:szCs w:val="20"/>
                <w:color w:val="auto"/>
              </w:rPr>
            </w:pPr>
            <w:r>
              <w:rPr>
                <w:rFonts w:ascii="Arial" w:cs="Arial" w:eastAsia="Arial" w:hAnsi="Arial"/>
                <w:sz w:val="14"/>
                <w:szCs w:val="14"/>
                <w:color w:val="auto"/>
              </w:rPr>
              <w:t>consolidated financial statements.</w:t>
            </w:r>
          </w:p>
        </w:tc>
        <w:tc>
          <w:tcPr>
            <w:tcW w:w="0" w:type="dxa"/>
            <w:vAlign w:val="bottom"/>
          </w:tcPr>
          <w:p>
            <w:pPr>
              <w:spacing w:after="0"/>
              <w:rPr>
                <w:sz w:val="1"/>
                <w:szCs w:val="1"/>
                <w:color w:val="auto"/>
              </w:rPr>
            </w:pPr>
          </w:p>
        </w:tc>
      </w:tr>
      <w:tr>
        <w:trPr>
          <w:trHeight w:val="149"/>
        </w:trPr>
        <w:tc>
          <w:tcPr>
            <w:tcW w:w="1740" w:type="dxa"/>
            <w:vAlign w:val="bottom"/>
            <w:tcBorders>
              <w:left w:val="single" w:sz="8" w:color="CCCCCC"/>
              <w:right w:val="single" w:sz="8" w:color="CCCCCC"/>
            </w:tcBorders>
          </w:tcPr>
          <w:p>
            <w:pPr>
              <w:ind w:left="40"/>
              <w:spacing w:after="0" w:line="149" w:lineRule="exact"/>
              <w:rPr>
                <w:sz w:val="20"/>
                <w:szCs w:val="20"/>
                <w:color w:val="auto"/>
              </w:rPr>
            </w:pPr>
            <w:r>
              <w:rPr>
                <w:rFonts w:ascii="Arial" w:cs="Arial" w:eastAsia="Arial" w:hAnsi="Arial"/>
                <w:sz w:val="14"/>
                <w:szCs w:val="14"/>
                <w:i w:val="1"/>
                <w:iCs w:val="1"/>
                <w:color w:val="auto"/>
                <w:w w:val="97"/>
              </w:rPr>
              <w:t>Improvements to Employee</w:t>
            </w:r>
          </w:p>
        </w:tc>
        <w:tc>
          <w:tcPr>
            <w:tcW w:w="4280" w:type="dxa"/>
            <w:vAlign w:val="bottom"/>
            <w:tcBorders>
              <w:right w:val="single" w:sz="8" w:color="CCCCCC"/>
            </w:tcBorders>
          </w:tcPr>
          <w:p>
            <w:pPr>
              <w:spacing w:after="0"/>
              <w:rPr>
                <w:sz w:val="12"/>
                <w:szCs w:val="12"/>
                <w:color w:val="auto"/>
              </w:rPr>
            </w:pPr>
          </w:p>
        </w:tc>
        <w:tc>
          <w:tcPr>
            <w:tcW w:w="1660" w:type="dxa"/>
            <w:vAlign w:val="bottom"/>
            <w:tcBorders>
              <w:right w:val="single" w:sz="8" w:color="CCCCCC"/>
            </w:tcBorders>
          </w:tcPr>
          <w:p>
            <w:pPr>
              <w:spacing w:after="0"/>
              <w:rPr>
                <w:sz w:val="12"/>
                <w:szCs w:val="12"/>
                <w:color w:val="auto"/>
              </w:rPr>
            </w:pPr>
          </w:p>
        </w:tc>
        <w:tc>
          <w:tcPr>
            <w:tcW w:w="3160" w:type="dxa"/>
            <w:vAlign w:val="bottom"/>
            <w:tcBorders>
              <w:right w:val="single" w:sz="8" w:color="CCCCCC"/>
            </w:tcBorders>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40" w:type="dxa"/>
            <w:vAlign w:val="bottom"/>
            <w:tcBorders>
              <w:left w:val="single" w:sz="8" w:color="CCCCCC"/>
              <w:right w:val="single" w:sz="8" w:color="CCCCCC"/>
            </w:tcBorders>
          </w:tcPr>
          <w:p>
            <w:pPr>
              <w:ind w:left="40"/>
              <w:spacing w:after="0" w:line="149" w:lineRule="exact"/>
              <w:rPr>
                <w:sz w:val="20"/>
                <w:szCs w:val="20"/>
                <w:color w:val="auto"/>
              </w:rPr>
            </w:pPr>
            <w:r>
              <w:rPr>
                <w:rFonts w:ascii="Arial" w:cs="Arial" w:eastAsia="Arial" w:hAnsi="Arial"/>
                <w:sz w:val="14"/>
                <w:szCs w:val="14"/>
                <w:i w:val="1"/>
                <w:iCs w:val="1"/>
                <w:color w:val="auto"/>
              </w:rPr>
              <w:t>Share-Based Payment</w:t>
            </w:r>
          </w:p>
        </w:tc>
        <w:tc>
          <w:tcPr>
            <w:tcW w:w="4280" w:type="dxa"/>
            <w:vAlign w:val="bottom"/>
            <w:tcBorders>
              <w:right w:val="single" w:sz="8" w:color="CCCCCC"/>
            </w:tcBorders>
          </w:tcPr>
          <w:p>
            <w:pPr>
              <w:ind w:left="300"/>
              <w:spacing w:after="0" w:line="149" w:lineRule="exact"/>
              <w:rPr>
                <w:sz w:val="20"/>
                <w:szCs w:val="20"/>
                <w:color w:val="auto"/>
              </w:rPr>
            </w:pPr>
            <w:r>
              <w:rPr>
                <w:rFonts w:ascii="Arial" w:cs="Arial" w:eastAsia="Arial" w:hAnsi="Arial"/>
                <w:sz w:val="14"/>
                <w:szCs w:val="14"/>
                <w:color w:val="auto"/>
                <w:w w:val="97"/>
              </w:rPr>
              <w:t>•  Accounting for income taxes upon vesting or exercise of share-</w:t>
            </w:r>
          </w:p>
        </w:tc>
        <w:tc>
          <w:tcPr>
            <w:tcW w:w="1660" w:type="dxa"/>
            <w:vAlign w:val="bottom"/>
            <w:tcBorders>
              <w:right w:val="single" w:sz="8" w:color="CCCCCC"/>
            </w:tcBorders>
          </w:tcPr>
          <w:p>
            <w:pPr>
              <w:spacing w:after="0"/>
              <w:rPr>
                <w:sz w:val="12"/>
                <w:szCs w:val="12"/>
                <w:color w:val="auto"/>
              </w:rPr>
            </w:pPr>
          </w:p>
        </w:tc>
        <w:tc>
          <w:tcPr>
            <w:tcW w:w="3160" w:type="dxa"/>
            <w:vAlign w:val="bottom"/>
            <w:tcBorders>
              <w:right w:val="single" w:sz="8" w:color="CCCCCC"/>
            </w:tcBorders>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1740" w:type="dxa"/>
            <w:vAlign w:val="bottom"/>
            <w:tcBorders>
              <w:left w:val="single" w:sz="8" w:color="CCCCCC"/>
              <w:right w:val="single" w:sz="8" w:color="CCCCCC"/>
            </w:tcBorders>
          </w:tcPr>
          <w:p>
            <w:pPr>
              <w:ind w:left="40"/>
              <w:spacing w:after="0"/>
              <w:rPr>
                <w:sz w:val="20"/>
                <w:szCs w:val="20"/>
                <w:color w:val="auto"/>
              </w:rPr>
            </w:pPr>
            <w:r>
              <w:rPr>
                <w:rFonts w:ascii="Arial" w:cs="Arial" w:eastAsia="Arial" w:hAnsi="Arial"/>
                <w:sz w:val="14"/>
                <w:szCs w:val="14"/>
                <w:i w:val="1"/>
                <w:iCs w:val="1"/>
                <w:color w:val="auto"/>
              </w:rPr>
              <w:t>Accounting</w:t>
            </w:r>
          </w:p>
        </w:tc>
        <w:tc>
          <w:tcPr>
            <w:tcW w:w="4280" w:type="dxa"/>
            <w:vAlign w:val="bottom"/>
            <w:tcBorders>
              <w:right w:val="single" w:sz="8" w:color="CCCCCC"/>
            </w:tcBorders>
          </w:tcPr>
          <w:p>
            <w:pPr>
              <w:ind w:left="300"/>
              <w:spacing w:after="0"/>
              <w:rPr>
                <w:sz w:val="20"/>
                <w:szCs w:val="20"/>
                <w:color w:val="auto"/>
              </w:rPr>
            </w:pPr>
            <w:r>
              <w:rPr>
                <w:rFonts w:ascii="Arial" w:cs="Arial" w:eastAsia="Arial" w:hAnsi="Arial"/>
                <w:sz w:val="14"/>
                <w:szCs w:val="14"/>
                <w:color w:val="auto"/>
              </w:rPr>
              <w:t>based payments and related EPS effects</w:t>
            </w:r>
          </w:p>
        </w:tc>
        <w:tc>
          <w:tcPr>
            <w:tcW w:w="1660" w:type="dxa"/>
            <w:vAlign w:val="bottom"/>
            <w:tcBorders>
              <w:right w:val="single" w:sz="8" w:color="CCCCCC"/>
            </w:tcBorders>
          </w:tcPr>
          <w:p>
            <w:pPr>
              <w:spacing w:after="0"/>
              <w:rPr>
                <w:sz w:val="15"/>
                <w:szCs w:val="15"/>
                <w:color w:val="auto"/>
              </w:rPr>
            </w:pPr>
          </w:p>
        </w:tc>
        <w:tc>
          <w:tcPr>
            <w:tcW w:w="3160" w:type="dxa"/>
            <w:vAlign w:val="bottom"/>
            <w:tcBorders>
              <w:right w:val="single" w:sz="8" w:color="CCCCCC"/>
            </w:tcBorders>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1740" w:type="dxa"/>
            <w:vAlign w:val="bottom"/>
            <w:tcBorders>
              <w:left w:val="single" w:sz="8" w:color="CCCCCC"/>
              <w:right w:val="single" w:sz="8" w:color="CCCCCC"/>
            </w:tcBorders>
          </w:tcPr>
          <w:p>
            <w:pPr>
              <w:spacing w:after="0"/>
              <w:rPr>
                <w:sz w:val="22"/>
                <w:szCs w:val="22"/>
                <w:color w:val="auto"/>
              </w:rPr>
            </w:pPr>
          </w:p>
        </w:tc>
        <w:tc>
          <w:tcPr>
            <w:tcW w:w="4280" w:type="dxa"/>
            <w:vAlign w:val="bottom"/>
            <w:tcBorders>
              <w:right w:val="single" w:sz="8" w:color="CCCCCC"/>
            </w:tcBorders>
          </w:tcPr>
          <w:p>
            <w:pPr>
              <w:ind w:left="300"/>
              <w:spacing w:after="0"/>
              <w:rPr>
                <w:sz w:val="20"/>
                <w:szCs w:val="20"/>
                <w:color w:val="auto"/>
              </w:rPr>
            </w:pPr>
            <w:r>
              <w:rPr>
                <w:rFonts w:ascii="Arial" w:cs="Arial" w:eastAsia="Arial" w:hAnsi="Arial"/>
                <w:sz w:val="14"/>
                <w:szCs w:val="14"/>
                <w:color w:val="auto"/>
              </w:rPr>
              <w:t>•  Classification of excess tax benefits on the statement of cash</w:t>
            </w:r>
          </w:p>
        </w:tc>
        <w:tc>
          <w:tcPr>
            <w:tcW w:w="1660" w:type="dxa"/>
            <w:vAlign w:val="bottom"/>
            <w:tcBorders>
              <w:right w:val="single" w:sz="8" w:color="CCCCCC"/>
            </w:tcBorders>
          </w:tcPr>
          <w:p>
            <w:pPr>
              <w:spacing w:after="0"/>
              <w:rPr>
                <w:sz w:val="22"/>
                <w:szCs w:val="22"/>
                <w:color w:val="auto"/>
              </w:rPr>
            </w:pPr>
          </w:p>
        </w:tc>
        <w:tc>
          <w:tcPr>
            <w:tcW w:w="3160" w:type="dxa"/>
            <w:vAlign w:val="bottom"/>
            <w:tcBorders>
              <w:right w:val="single" w:sz="8" w:color="CCCCCC"/>
            </w:tcBorders>
          </w:tcPr>
          <w:p>
            <w:pPr>
              <w:spacing w:after="0"/>
              <w:rPr>
                <w:sz w:val="22"/>
                <w:szCs w:val="22"/>
                <w:color w:val="auto"/>
              </w:rPr>
            </w:pPr>
          </w:p>
        </w:tc>
        <w:tc>
          <w:tcPr>
            <w:tcW w:w="0" w:type="dxa"/>
            <w:vAlign w:val="bottom"/>
          </w:tcPr>
          <w:p>
            <w:pPr>
              <w:spacing w:after="0"/>
              <w:rPr>
                <w:sz w:val="1"/>
                <w:szCs w:val="1"/>
                <w:color w:val="auto"/>
              </w:rPr>
            </w:pPr>
          </w:p>
        </w:tc>
      </w:tr>
      <w:tr>
        <w:trPr>
          <w:trHeight w:val="182"/>
        </w:trPr>
        <w:tc>
          <w:tcPr>
            <w:tcW w:w="1740" w:type="dxa"/>
            <w:vAlign w:val="bottom"/>
            <w:tcBorders>
              <w:left w:val="single" w:sz="8" w:color="CCCCCC"/>
              <w:right w:val="single" w:sz="8" w:color="CCCCCC"/>
            </w:tcBorders>
          </w:tcPr>
          <w:p>
            <w:pPr>
              <w:spacing w:after="0"/>
              <w:rPr>
                <w:sz w:val="15"/>
                <w:szCs w:val="15"/>
                <w:color w:val="auto"/>
              </w:rPr>
            </w:pPr>
          </w:p>
        </w:tc>
        <w:tc>
          <w:tcPr>
            <w:tcW w:w="4280" w:type="dxa"/>
            <w:vAlign w:val="bottom"/>
            <w:tcBorders>
              <w:right w:val="single" w:sz="8" w:color="CCCCCC"/>
            </w:tcBorders>
          </w:tcPr>
          <w:p>
            <w:pPr>
              <w:ind w:left="300"/>
              <w:spacing w:after="0"/>
              <w:rPr>
                <w:sz w:val="20"/>
                <w:szCs w:val="20"/>
                <w:color w:val="auto"/>
              </w:rPr>
            </w:pPr>
            <w:r>
              <w:rPr>
                <w:rFonts w:ascii="Arial" w:cs="Arial" w:eastAsia="Arial" w:hAnsi="Arial"/>
                <w:sz w:val="14"/>
                <w:szCs w:val="14"/>
                <w:color w:val="auto"/>
              </w:rPr>
              <w:t>flows</w:t>
            </w:r>
          </w:p>
        </w:tc>
        <w:tc>
          <w:tcPr>
            <w:tcW w:w="1660" w:type="dxa"/>
            <w:vAlign w:val="bottom"/>
            <w:tcBorders>
              <w:right w:val="single" w:sz="8" w:color="CCCCCC"/>
            </w:tcBorders>
          </w:tcPr>
          <w:p>
            <w:pPr>
              <w:spacing w:after="0"/>
              <w:rPr>
                <w:sz w:val="15"/>
                <w:szCs w:val="15"/>
                <w:color w:val="auto"/>
              </w:rPr>
            </w:pPr>
          </w:p>
        </w:tc>
        <w:tc>
          <w:tcPr>
            <w:tcW w:w="3160" w:type="dxa"/>
            <w:vAlign w:val="bottom"/>
            <w:tcBorders>
              <w:right w:val="single" w:sz="8" w:color="CCCCCC"/>
            </w:tcBorders>
          </w:tcPr>
          <w:p>
            <w:pPr>
              <w:spacing w:after="0"/>
              <w:rPr>
                <w:sz w:val="15"/>
                <w:szCs w:val="15"/>
                <w:color w:val="auto"/>
              </w:rPr>
            </w:pPr>
          </w:p>
        </w:tc>
        <w:tc>
          <w:tcPr>
            <w:tcW w:w="0" w:type="dxa"/>
            <w:vAlign w:val="bottom"/>
          </w:tcPr>
          <w:p>
            <w:pPr>
              <w:spacing w:after="0"/>
              <w:rPr>
                <w:sz w:val="1"/>
                <w:szCs w:val="1"/>
                <w:color w:val="auto"/>
              </w:rPr>
            </w:pPr>
          </w:p>
        </w:tc>
      </w:tr>
      <w:tr>
        <w:trPr>
          <w:trHeight w:val="297"/>
        </w:trPr>
        <w:tc>
          <w:tcPr>
            <w:tcW w:w="1740" w:type="dxa"/>
            <w:vAlign w:val="bottom"/>
            <w:tcBorders>
              <w:left w:val="single" w:sz="8" w:color="CCCCCC"/>
              <w:right w:val="single" w:sz="8" w:color="CCCCCC"/>
            </w:tcBorders>
          </w:tcPr>
          <w:p>
            <w:pPr>
              <w:spacing w:after="0"/>
              <w:rPr>
                <w:sz w:val="24"/>
                <w:szCs w:val="24"/>
                <w:color w:val="auto"/>
              </w:rPr>
            </w:pPr>
          </w:p>
        </w:tc>
        <w:tc>
          <w:tcPr>
            <w:tcW w:w="4280" w:type="dxa"/>
            <w:vAlign w:val="bottom"/>
            <w:tcBorders>
              <w:right w:val="single" w:sz="8" w:color="CCCCCC"/>
            </w:tcBorders>
          </w:tcPr>
          <w:p>
            <w:pPr>
              <w:ind w:left="300"/>
              <w:spacing w:after="0"/>
              <w:rPr>
                <w:sz w:val="20"/>
                <w:szCs w:val="20"/>
                <w:color w:val="auto"/>
              </w:rPr>
            </w:pPr>
            <w:r>
              <w:rPr>
                <w:rFonts w:ascii="Arial" w:cs="Arial" w:eastAsia="Arial" w:hAnsi="Arial"/>
                <w:sz w:val="14"/>
                <w:szCs w:val="14"/>
                <w:color w:val="auto"/>
              </w:rPr>
              <w:t>•  Accounting for forfeitures</w:t>
            </w:r>
          </w:p>
        </w:tc>
        <w:tc>
          <w:tcPr>
            <w:tcW w:w="1660" w:type="dxa"/>
            <w:vAlign w:val="bottom"/>
            <w:tcBorders>
              <w:right w:val="single" w:sz="8" w:color="CCCCCC"/>
            </w:tcBorders>
          </w:tcPr>
          <w:p>
            <w:pPr>
              <w:spacing w:after="0"/>
              <w:rPr>
                <w:sz w:val="24"/>
                <w:szCs w:val="24"/>
                <w:color w:val="auto"/>
              </w:rPr>
            </w:pPr>
          </w:p>
        </w:tc>
        <w:tc>
          <w:tcPr>
            <w:tcW w:w="3160" w:type="dxa"/>
            <w:vAlign w:val="bottom"/>
            <w:tcBorders>
              <w:right w:val="single" w:sz="8" w:color="CCCCCC"/>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740" w:type="dxa"/>
            <w:vAlign w:val="bottom"/>
            <w:tcBorders>
              <w:left w:val="single" w:sz="8" w:color="CCCCCC"/>
              <w:right w:val="single" w:sz="8" w:color="CCCCCC"/>
            </w:tcBorders>
          </w:tcPr>
          <w:p>
            <w:pPr>
              <w:spacing w:after="0"/>
              <w:rPr>
                <w:sz w:val="22"/>
                <w:szCs w:val="22"/>
                <w:color w:val="auto"/>
              </w:rPr>
            </w:pPr>
          </w:p>
        </w:tc>
        <w:tc>
          <w:tcPr>
            <w:tcW w:w="4280" w:type="dxa"/>
            <w:vAlign w:val="bottom"/>
            <w:tcBorders>
              <w:right w:val="single" w:sz="8" w:color="CCCCCC"/>
            </w:tcBorders>
          </w:tcPr>
          <w:p>
            <w:pPr>
              <w:ind w:left="300"/>
              <w:spacing w:after="0"/>
              <w:rPr>
                <w:sz w:val="20"/>
                <w:szCs w:val="20"/>
                <w:color w:val="auto"/>
              </w:rPr>
            </w:pPr>
            <w:r>
              <w:rPr>
                <w:rFonts w:ascii="Arial" w:cs="Arial" w:eastAsia="Arial" w:hAnsi="Arial"/>
                <w:sz w:val="14"/>
                <w:szCs w:val="14"/>
                <w:color w:val="auto"/>
              </w:rPr>
              <w:t>•  Liability classification exception for statutory tax withholding</w:t>
            </w:r>
          </w:p>
        </w:tc>
        <w:tc>
          <w:tcPr>
            <w:tcW w:w="1660" w:type="dxa"/>
            <w:vAlign w:val="bottom"/>
            <w:tcBorders>
              <w:right w:val="single" w:sz="8" w:color="CCCCCC"/>
            </w:tcBorders>
          </w:tcPr>
          <w:p>
            <w:pPr>
              <w:spacing w:after="0"/>
              <w:rPr>
                <w:sz w:val="22"/>
                <w:szCs w:val="22"/>
                <w:color w:val="auto"/>
              </w:rPr>
            </w:pPr>
          </w:p>
        </w:tc>
        <w:tc>
          <w:tcPr>
            <w:tcW w:w="3160" w:type="dxa"/>
            <w:vAlign w:val="bottom"/>
            <w:tcBorders>
              <w:right w:val="single" w:sz="8" w:color="CCCCCC"/>
            </w:tcBorders>
          </w:tcPr>
          <w:p>
            <w:pPr>
              <w:spacing w:after="0"/>
              <w:rPr>
                <w:sz w:val="22"/>
                <w:szCs w:val="22"/>
                <w:color w:val="auto"/>
              </w:rPr>
            </w:pPr>
          </w:p>
        </w:tc>
        <w:tc>
          <w:tcPr>
            <w:tcW w:w="0" w:type="dxa"/>
            <w:vAlign w:val="bottom"/>
          </w:tcPr>
          <w:p>
            <w:pPr>
              <w:spacing w:after="0"/>
              <w:rPr>
                <w:sz w:val="1"/>
                <w:szCs w:val="1"/>
                <w:color w:val="auto"/>
              </w:rPr>
            </w:pPr>
          </w:p>
        </w:tc>
      </w:tr>
      <w:tr>
        <w:trPr>
          <w:trHeight w:val="182"/>
        </w:trPr>
        <w:tc>
          <w:tcPr>
            <w:tcW w:w="1740" w:type="dxa"/>
            <w:vAlign w:val="bottom"/>
            <w:tcBorders>
              <w:left w:val="single" w:sz="8" w:color="CCCCCC"/>
              <w:right w:val="single" w:sz="8" w:color="CCCCCC"/>
            </w:tcBorders>
          </w:tcPr>
          <w:p>
            <w:pPr>
              <w:spacing w:after="0"/>
              <w:rPr>
                <w:sz w:val="15"/>
                <w:szCs w:val="15"/>
                <w:color w:val="auto"/>
              </w:rPr>
            </w:pPr>
          </w:p>
        </w:tc>
        <w:tc>
          <w:tcPr>
            <w:tcW w:w="4280" w:type="dxa"/>
            <w:vAlign w:val="bottom"/>
            <w:tcBorders>
              <w:right w:val="single" w:sz="8" w:color="CCCCCC"/>
            </w:tcBorders>
          </w:tcPr>
          <w:p>
            <w:pPr>
              <w:ind w:left="300"/>
              <w:spacing w:after="0"/>
              <w:rPr>
                <w:sz w:val="20"/>
                <w:szCs w:val="20"/>
                <w:color w:val="auto"/>
              </w:rPr>
            </w:pPr>
            <w:r>
              <w:rPr>
                <w:rFonts w:ascii="Arial" w:cs="Arial" w:eastAsia="Arial" w:hAnsi="Arial"/>
                <w:sz w:val="14"/>
                <w:szCs w:val="14"/>
                <w:color w:val="auto"/>
              </w:rPr>
              <w:t>requirements</w:t>
            </w:r>
          </w:p>
        </w:tc>
        <w:tc>
          <w:tcPr>
            <w:tcW w:w="1660" w:type="dxa"/>
            <w:vAlign w:val="bottom"/>
            <w:tcBorders>
              <w:right w:val="single" w:sz="8" w:color="CCCCCC"/>
            </w:tcBorders>
          </w:tcPr>
          <w:p>
            <w:pPr>
              <w:spacing w:after="0"/>
              <w:rPr>
                <w:sz w:val="15"/>
                <w:szCs w:val="15"/>
                <w:color w:val="auto"/>
              </w:rPr>
            </w:pPr>
          </w:p>
        </w:tc>
        <w:tc>
          <w:tcPr>
            <w:tcW w:w="3160" w:type="dxa"/>
            <w:vAlign w:val="bottom"/>
            <w:tcBorders>
              <w:right w:val="single" w:sz="8" w:color="CCCCCC"/>
            </w:tcBorders>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1740" w:type="dxa"/>
            <w:vAlign w:val="bottom"/>
            <w:tcBorders>
              <w:left w:val="single" w:sz="8" w:color="CCCCCC"/>
              <w:right w:val="single" w:sz="8" w:color="CCCCCC"/>
            </w:tcBorders>
          </w:tcPr>
          <w:p>
            <w:pPr>
              <w:spacing w:after="0"/>
              <w:rPr>
                <w:sz w:val="22"/>
                <w:szCs w:val="22"/>
                <w:color w:val="auto"/>
              </w:rPr>
            </w:pPr>
          </w:p>
        </w:tc>
        <w:tc>
          <w:tcPr>
            <w:tcW w:w="4280" w:type="dxa"/>
            <w:vAlign w:val="bottom"/>
            <w:tcBorders>
              <w:right w:val="single" w:sz="8" w:color="CCCCCC"/>
            </w:tcBorders>
          </w:tcPr>
          <w:p>
            <w:pPr>
              <w:ind w:left="300"/>
              <w:spacing w:after="0"/>
              <w:rPr>
                <w:sz w:val="20"/>
                <w:szCs w:val="20"/>
                <w:color w:val="auto"/>
              </w:rPr>
            </w:pPr>
            <w:r>
              <w:rPr>
                <w:rFonts w:ascii="Arial" w:cs="Arial" w:eastAsia="Arial" w:hAnsi="Arial"/>
                <w:sz w:val="14"/>
                <w:szCs w:val="14"/>
                <w:color w:val="auto"/>
              </w:rPr>
              <w:t>•  Cash flow presentation of employee taxes paid when an</w:t>
            </w:r>
          </w:p>
        </w:tc>
        <w:tc>
          <w:tcPr>
            <w:tcW w:w="1660" w:type="dxa"/>
            <w:vAlign w:val="bottom"/>
            <w:tcBorders>
              <w:right w:val="single" w:sz="8" w:color="CCCCCC"/>
            </w:tcBorders>
          </w:tcPr>
          <w:p>
            <w:pPr>
              <w:spacing w:after="0"/>
              <w:rPr>
                <w:sz w:val="22"/>
                <w:szCs w:val="22"/>
                <w:color w:val="auto"/>
              </w:rPr>
            </w:pPr>
          </w:p>
        </w:tc>
        <w:tc>
          <w:tcPr>
            <w:tcW w:w="3160" w:type="dxa"/>
            <w:vAlign w:val="bottom"/>
            <w:tcBorders>
              <w:right w:val="single" w:sz="8" w:color="CCCCCC"/>
            </w:tcBorders>
          </w:tcPr>
          <w:p>
            <w:pPr>
              <w:spacing w:after="0"/>
              <w:rPr>
                <w:sz w:val="22"/>
                <w:szCs w:val="22"/>
                <w:color w:val="auto"/>
              </w:rPr>
            </w:pPr>
          </w:p>
        </w:tc>
        <w:tc>
          <w:tcPr>
            <w:tcW w:w="0" w:type="dxa"/>
            <w:vAlign w:val="bottom"/>
          </w:tcPr>
          <w:p>
            <w:pPr>
              <w:spacing w:after="0"/>
              <w:rPr>
                <w:sz w:val="1"/>
                <w:szCs w:val="1"/>
                <w:color w:val="auto"/>
              </w:rPr>
            </w:pPr>
          </w:p>
        </w:tc>
      </w:tr>
      <w:tr>
        <w:trPr>
          <w:trHeight w:val="182"/>
        </w:trPr>
        <w:tc>
          <w:tcPr>
            <w:tcW w:w="1740" w:type="dxa"/>
            <w:vAlign w:val="bottom"/>
            <w:tcBorders>
              <w:left w:val="single" w:sz="8" w:color="CCCCCC"/>
              <w:right w:val="single" w:sz="8" w:color="CCCCCC"/>
            </w:tcBorders>
          </w:tcPr>
          <w:p>
            <w:pPr>
              <w:spacing w:after="0"/>
              <w:rPr>
                <w:sz w:val="15"/>
                <w:szCs w:val="15"/>
                <w:color w:val="auto"/>
              </w:rPr>
            </w:pPr>
          </w:p>
        </w:tc>
        <w:tc>
          <w:tcPr>
            <w:tcW w:w="4280" w:type="dxa"/>
            <w:vAlign w:val="bottom"/>
            <w:tcBorders>
              <w:right w:val="single" w:sz="8" w:color="CCCCCC"/>
            </w:tcBorders>
          </w:tcPr>
          <w:p>
            <w:pPr>
              <w:ind w:left="300"/>
              <w:spacing w:after="0"/>
              <w:rPr>
                <w:sz w:val="20"/>
                <w:szCs w:val="20"/>
                <w:color w:val="auto"/>
              </w:rPr>
            </w:pPr>
            <w:r>
              <w:rPr>
                <w:rFonts w:ascii="Arial" w:cs="Arial" w:eastAsia="Arial" w:hAnsi="Arial"/>
                <w:sz w:val="14"/>
                <w:szCs w:val="14"/>
                <w:color w:val="auto"/>
              </w:rPr>
              <w:t>employer withholds shares for tax-withholding purposes</w:t>
            </w:r>
          </w:p>
        </w:tc>
        <w:tc>
          <w:tcPr>
            <w:tcW w:w="1660" w:type="dxa"/>
            <w:vAlign w:val="bottom"/>
            <w:tcBorders>
              <w:right w:val="single" w:sz="8" w:color="CCCCCC"/>
            </w:tcBorders>
          </w:tcPr>
          <w:p>
            <w:pPr>
              <w:spacing w:after="0"/>
              <w:rPr>
                <w:sz w:val="15"/>
                <w:szCs w:val="15"/>
                <w:color w:val="auto"/>
              </w:rPr>
            </w:pPr>
          </w:p>
        </w:tc>
        <w:tc>
          <w:tcPr>
            <w:tcW w:w="3160" w:type="dxa"/>
            <w:vAlign w:val="bottom"/>
            <w:tcBorders>
              <w:right w:val="single" w:sz="8" w:color="CCCCCC"/>
            </w:tcBorders>
          </w:tcPr>
          <w:p>
            <w:pPr>
              <w:spacing w:after="0"/>
              <w:rPr>
                <w:sz w:val="15"/>
                <w:szCs w:val="15"/>
                <w:color w:val="auto"/>
              </w:rPr>
            </w:pPr>
          </w:p>
        </w:tc>
        <w:tc>
          <w:tcPr>
            <w:tcW w:w="0" w:type="dxa"/>
            <w:vAlign w:val="bottom"/>
          </w:tcPr>
          <w:p>
            <w:pPr>
              <w:spacing w:after="0"/>
              <w:rPr>
                <w:sz w:val="1"/>
                <w:szCs w:val="1"/>
                <w:color w:val="auto"/>
              </w:rPr>
            </w:pPr>
          </w:p>
        </w:tc>
      </w:tr>
      <w:tr>
        <w:trPr>
          <w:trHeight w:val="297"/>
        </w:trPr>
        <w:tc>
          <w:tcPr>
            <w:tcW w:w="1740" w:type="dxa"/>
            <w:vAlign w:val="bottom"/>
            <w:tcBorders>
              <w:left w:val="single" w:sz="8" w:color="CCCCCC"/>
              <w:right w:val="single" w:sz="8" w:color="CCCCCC"/>
            </w:tcBorders>
          </w:tcPr>
          <w:p>
            <w:pPr>
              <w:spacing w:after="0"/>
              <w:rPr>
                <w:sz w:val="24"/>
                <w:szCs w:val="24"/>
                <w:color w:val="auto"/>
              </w:rPr>
            </w:pPr>
          </w:p>
        </w:tc>
        <w:tc>
          <w:tcPr>
            <w:tcW w:w="4280" w:type="dxa"/>
            <w:vAlign w:val="bottom"/>
            <w:tcBorders>
              <w:right w:val="single" w:sz="8" w:color="CCCCCC"/>
            </w:tcBorders>
          </w:tcPr>
          <w:p>
            <w:pPr>
              <w:ind w:left="300"/>
              <w:spacing w:after="0"/>
              <w:rPr>
                <w:sz w:val="20"/>
                <w:szCs w:val="20"/>
                <w:color w:val="auto"/>
              </w:rPr>
            </w:pPr>
            <w:r>
              <w:rPr>
                <w:rFonts w:ascii="Arial" w:cs="Arial" w:eastAsia="Arial" w:hAnsi="Arial"/>
                <w:sz w:val="14"/>
                <w:szCs w:val="14"/>
                <w:color w:val="auto"/>
              </w:rPr>
              <w:t>•  Elimination of the indefinite deferral in Topic 718</w:t>
            </w:r>
          </w:p>
        </w:tc>
        <w:tc>
          <w:tcPr>
            <w:tcW w:w="1660" w:type="dxa"/>
            <w:vAlign w:val="bottom"/>
            <w:tcBorders>
              <w:right w:val="single" w:sz="8" w:color="CCCCCC"/>
            </w:tcBorders>
          </w:tcPr>
          <w:p>
            <w:pPr>
              <w:spacing w:after="0"/>
              <w:rPr>
                <w:sz w:val="24"/>
                <w:szCs w:val="24"/>
                <w:color w:val="auto"/>
              </w:rPr>
            </w:pPr>
          </w:p>
        </w:tc>
        <w:tc>
          <w:tcPr>
            <w:tcW w:w="3160" w:type="dxa"/>
            <w:vAlign w:val="bottom"/>
            <w:tcBorders>
              <w:right w:val="single" w:sz="8" w:color="CCCCCC"/>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740" w:type="dxa"/>
            <w:vAlign w:val="bottom"/>
            <w:tcBorders>
              <w:left w:val="single" w:sz="8" w:color="CCCCCC"/>
              <w:right w:val="single" w:sz="8" w:color="CCCCCC"/>
            </w:tcBorders>
          </w:tcPr>
          <w:p>
            <w:pPr>
              <w:spacing w:after="0"/>
              <w:rPr>
                <w:sz w:val="22"/>
                <w:szCs w:val="22"/>
                <w:color w:val="auto"/>
              </w:rPr>
            </w:pPr>
          </w:p>
        </w:tc>
        <w:tc>
          <w:tcPr>
            <w:tcW w:w="4280" w:type="dxa"/>
            <w:vAlign w:val="bottom"/>
            <w:tcBorders>
              <w:right w:val="single" w:sz="8" w:color="CCCCCC"/>
            </w:tcBorders>
          </w:tcPr>
          <w:p>
            <w:pPr>
              <w:ind w:left="140"/>
              <w:spacing w:after="0"/>
              <w:rPr>
                <w:sz w:val="20"/>
                <w:szCs w:val="20"/>
                <w:color w:val="auto"/>
              </w:rPr>
            </w:pPr>
            <w:r>
              <w:rPr>
                <w:rFonts w:ascii="Arial" w:cs="Arial" w:eastAsia="Arial" w:hAnsi="Arial"/>
                <w:sz w:val="14"/>
                <w:szCs w:val="14"/>
                <w:color w:val="auto"/>
                <w:w w:val="95"/>
              </w:rPr>
              <w:t>For public business entities, the amendments are effective for annual</w:t>
            </w:r>
          </w:p>
        </w:tc>
        <w:tc>
          <w:tcPr>
            <w:tcW w:w="1660" w:type="dxa"/>
            <w:vAlign w:val="bottom"/>
            <w:tcBorders>
              <w:right w:val="single" w:sz="8" w:color="CCCCCC"/>
            </w:tcBorders>
          </w:tcPr>
          <w:p>
            <w:pPr>
              <w:spacing w:after="0"/>
              <w:rPr>
                <w:sz w:val="22"/>
                <w:szCs w:val="22"/>
                <w:color w:val="auto"/>
              </w:rPr>
            </w:pPr>
          </w:p>
        </w:tc>
        <w:tc>
          <w:tcPr>
            <w:tcW w:w="3160" w:type="dxa"/>
            <w:vAlign w:val="bottom"/>
            <w:tcBorders>
              <w:right w:val="single" w:sz="8" w:color="CCCCCC"/>
            </w:tcBorders>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1740" w:type="dxa"/>
            <w:vAlign w:val="bottom"/>
            <w:tcBorders>
              <w:left w:val="single" w:sz="8" w:color="CCCCCC"/>
              <w:right w:val="single" w:sz="8" w:color="CCCCCC"/>
            </w:tcBorders>
          </w:tcPr>
          <w:p>
            <w:pPr>
              <w:spacing w:after="0"/>
              <w:rPr>
                <w:sz w:val="12"/>
                <w:szCs w:val="12"/>
                <w:color w:val="auto"/>
              </w:rPr>
            </w:pPr>
          </w:p>
        </w:tc>
        <w:tc>
          <w:tcPr>
            <w:tcW w:w="4280" w:type="dxa"/>
            <w:vAlign w:val="bottom"/>
            <w:tcBorders>
              <w:right w:val="single" w:sz="8" w:color="CCCCCC"/>
            </w:tcBorders>
          </w:tcPr>
          <w:p>
            <w:pPr>
              <w:ind w:left="140"/>
              <w:spacing w:after="0" w:line="149" w:lineRule="exact"/>
              <w:rPr>
                <w:sz w:val="20"/>
                <w:szCs w:val="20"/>
                <w:color w:val="auto"/>
              </w:rPr>
            </w:pPr>
            <w:r>
              <w:rPr>
                <w:rFonts w:ascii="Arial" w:cs="Arial" w:eastAsia="Arial" w:hAnsi="Arial"/>
                <w:sz w:val="14"/>
                <w:szCs w:val="14"/>
                <w:color w:val="auto"/>
              </w:rPr>
              <w:t>periods beginning after December 15, 2016, and interim periods</w:t>
            </w:r>
          </w:p>
        </w:tc>
        <w:tc>
          <w:tcPr>
            <w:tcW w:w="1660" w:type="dxa"/>
            <w:vAlign w:val="bottom"/>
            <w:tcBorders>
              <w:right w:val="single" w:sz="8" w:color="CCCCCC"/>
            </w:tcBorders>
          </w:tcPr>
          <w:p>
            <w:pPr>
              <w:spacing w:after="0"/>
              <w:rPr>
                <w:sz w:val="12"/>
                <w:szCs w:val="12"/>
                <w:color w:val="auto"/>
              </w:rPr>
            </w:pPr>
          </w:p>
        </w:tc>
        <w:tc>
          <w:tcPr>
            <w:tcW w:w="3160" w:type="dxa"/>
            <w:vAlign w:val="bottom"/>
            <w:tcBorders>
              <w:right w:val="single" w:sz="8" w:color="CCCCCC"/>
            </w:tcBorders>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1740" w:type="dxa"/>
            <w:vAlign w:val="bottom"/>
            <w:tcBorders>
              <w:left w:val="single" w:sz="8" w:color="CCCCCC"/>
              <w:bottom w:val="single" w:sz="8" w:color="CCCCCC"/>
              <w:right w:val="single" w:sz="8" w:color="CCCCCC"/>
            </w:tcBorders>
          </w:tcPr>
          <w:p>
            <w:pPr>
              <w:spacing w:after="0"/>
              <w:rPr>
                <w:sz w:val="16"/>
                <w:szCs w:val="16"/>
                <w:color w:val="auto"/>
              </w:rPr>
            </w:pPr>
          </w:p>
        </w:tc>
        <w:tc>
          <w:tcPr>
            <w:tcW w:w="4280" w:type="dxa"/>
            <w:vAlign w:val="bottom"/>
            <w:tcBorders>
              <w:bottom w:val="single" w:sz="8" w:color="CCCCCC"/>
              <w:right w:val="single" w:sz="8" w:color="CCCCCC"/>
            </w:tcBorders>
          </w:tcPr>
          <w:p>
            <w:pPr>
              <w:ind w:left="140"/>
              <w:spacing w:after="0"/>
              <w:rPr>
                <w:sz w:val="20"/>
                <w:szCs w:val="20"/>
                <w:color w:val="auto"/>
              </w:rPr>
            </w:pPr>
            <w:r>
              <w:rPr>
                <w:rFonts w:ascii="Arial" w:cs="Arial" w:eastAsia="Arial" w:hAnsi="Arial"/>
                <w:sz w:val="14"/>
                <w:szCs w:val="14"/>
                <w:color w:val="auto"/>
              </w:rPr>
              <w:t>within those annual periods.</w:t>
            </w:r>
          </w:p>
        </w:tc>
        <w:tc>
          <w:tcPr>
            <w:tcW w:w="1660" w:type="dxa"/>
            <w:vAlign w:val="bottom"/>
            <w:tcBorders>
              <w:bottom w:val="single" w:sz="8" w:color="CCCCCC"/>
              <w:right w:val="single" w:sz="8" w:color="CCCCCC"/>
            </w:tcBorders>
          </w:tcPr>
          <w:p>
            <w:pPr>
              <w:spacing w:after="0"/>
              <w:rPr>
                <w:sz w:val="16"/>
                <w:szCs w:val="16"/>
                <w:color w:val="auto"/>
              </w:rPr>
            </w:pPr>
          </w:p>
        </w:tc>
        <w:tc>
          <w:tcPr>
            <w:tcW w:w="3160" w:type="dxa"/>
            <w:vAlign w:val="bottom"/>
            <w:tcBorders>
              <w:bottom w:val="single" w:sz="8" w:color="CCCCCC"/>
              <w:right w:val="single" w:sz="8" w:color="CCCCCC"/>
            </w:tcBorders>
          </w:tcPr>
          <w:p>
            <w:pPr>
              <w:spacing w:after="0"/>
              <w:rPr>
                <w:sz w:val="16"/>
                <w:szCs w:val="16"/>
                <w:color w:val="auto"/>
              </w:rPr>
            </w:pPr>
          </w:p>
        </w:tc>
        <w:tc>
          <w:tcPr>
            <w:tcW w:w="0" w:type="dxa"/>
            <w:vAlign w:val="bottom"/>
          </w:tcPr>
          <w:p>
            <w:pPr>
              <w:spacing w:after="0"/>
              <w:rPr>
                <w:sz w:val="1"/>
                <w:szCs w:val="1"/>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Fair Value of Financial Instruments</w:t>
      </w:r>
    </w:p>
    <w:p>
      <w:pPr>
        <w:spacing w:after="0" w:line="121" w:lineRule="exact"/>
        <w:rPr>
          <w:sz w:val="20"/>
          <w:szCs w:val="20"/>
          <w:color w:val="auto"/>
        </w:rPr>
      </w:pPr>
    </w:p>
    <w:p>
      <w:pPr>
        <w:ind w:right="260" w:firstLine="405"/>
        <w:spacing w:after="0" w:line="312" w:lineRule="auto"/>
        <w:rPr>
          <w:sz w:val="20"/>
          <w:szCs w:val="20"/>
          <w:color w:val="auto"/>
        </w:rPr>
      </w:pPr>
      <w:r>
        <w:rPr>
          <w:rFonts w:ascii="Arial" w:cs="Arial" w:eastAsia="Arial" w:hAnsi="Arial"/>
          <w:sz w:val="16"/>
          <w:szCs w:val="16"/>
          <w:color w:val="auto"/>
        </w:rPr>
        <w:t>Fair value is defined as the price that would be received to sell an asset or paid to transfer a liability in an orderly transaction between market participants at the measurement date. In order to increase consistency and comparability of fair value measurements, financial instruments are categorized based on a hierarchy that prioritizes observable and unobservable inputs used to measure fair value into three broad levels, which are described below:</w:t>
      </w:r>
    </w:p>
    <w:p>
      <w:pPr>
        <w:spacing w:after="0" w:line="39" w:lineRule="exact"/>
        <w:rPr>
          <w:sz w:val="20"/>
          <w:szCs w:val="20"/>
          <w:color w:val="auto"/>
        </w:rPr>
      </w:pPr>
    </w:p>
    <w:p>
      <w:pPr>
        <w:ind w:left="660" w:right="260" w:hanging="166"/>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Level 1 — Inputs are unadjusted quoted prices in active markets for identical assets or liabilities that the Company has the ability to access at the measurement date.</w:t>
      </w:r>
    </w:p>
    <w:p>
      <w:pPr>
        <w:spacing w:after="0" w:line="183" w:lineRule="exact"/>
        <w:rPr>
          <w:rFonts w:ascii="Arial" w:cs="Arial" w:eastAsia="Arial" w:hAnsi="Arial"/>
          <w:sz w:val="18"/>
          <w:szCs w:val="18"/>
          <w:color w:val="auto"/>
        </w:rPr>
      </w:pPr>
    </w:p>
    <w:p>
      <w:pPr>
        <w:ind w:left="660" w:right="20" w:hanging="166"/>
        <w:spacing w:after="0" w:line="312" w:lineRule="auto"/>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Level 2 — Inputs include quoted prices for similar assets and liabilities in active markets, quoted prices for identical or similar assets or liabilities in markets that are not active, inputs other than quoted prices that are observable for the asset or liability (i.e., interest rates, yield curves, etc.) and inputs that are derived principally from or corroborated by observable market data by correlation or other means (market corroborated inputs).</w:t>
      </w:r>
    </w:p>
    <w:p>
      <w:pPr>
        <w:spacing w:after="0" w:line="160" w:lineRule="exact"/>
        <w:rPr>
          <w:rFonts w:ascii="Arial" w:cs="Arial" w:eastAsia="Arial" w:hAnsi="Arial"/>
          <w:sz w:val="16"/>
          <w:szCs w:val="16"/>
          <w:color w:val="auto"/>
        </w:rPr>
      </w:pPr>
    </w:p>
    <w:p>
      <w:pPr>
        <w:ind w:left="660" w:right="120" w:hanging="166"/>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Level 3 — Unobservable inputs that reflect a Company’s estimates about the assumptions that market participants would use in pricing the asset or liability. The Company develops these inputs based on the best information available, including its own data.</w:t>
      </w:r>
    </w:p>
    <w:p>
      <w:pPr>
        <w:spacing w:after="0" w:line="170" w:lineRule="exact"/>
        <w:rPr>
          <w:sz w:val="20"/>
          <w:szCs w:val="20"/>
          <w:color w:val="auto"/>
        </w:rPr>
      </w:pPr>
    </w:p>
    <w:p>
      <w:pPr>
        <w:ind w:firstLine="324"/>
        <w:spacing w:after="0" w:line="286" w:lineRule="auto"/>
        <w:rPr>
          <w:sz w:val="20"/>
          <w:szCs w:val="20"/>
          <w:color w:val="auto"/>
        </w:rPr>
      </w:pPr>
      <w:r>
        <w:rPr>
          <w:rFonts w:ascii="Arial" w:cs="Arial" w:eastAsia="Arial" w:hAnsi="Arial"/>
          <w:sz w:val="17"/>
          <w:szCs w:val="17"/>
          <w:color w:val="auto"/>
        </w:rPr>
        <w:t>At September 30, 2017 and December 31, 2016, the Company’s financial assets measured at fair value on a recurring basis consist of money market funds. The Company invests excess cash from its operating cash accounts in overnight investments and reflects these amounts in cash and cash equivalents in the condensed consolidated balance sheets at fair value using quoted prices in active markets for identical assets.</w:t>
      </w:r>
    </w:p>
    <w:p>
      <w:pPr>
        <w:spacing w:after="0" w:line="179"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table below presents information about the Company’s assets and liabilities measured at fair value on a recurring basis:</w:t>
      </w:r>
    </w:p>
    <w:p>
      <w:pPr>
        <w:spacing w:after="0" w:line="380"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356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8"/>
              </w:rPr>
              <w:t>Total Fair</w:t>
            </w:r>
          </w:p>
        </w:tc>
        <w:tc>
          <w:tcPr>
            <w:tcW w:w="140" w:type="dxa"/>
            <w:vAlign w:val="bottom"/>
          </w:tcPr>
          <w:p>
            <w:pPr>
              <w:spacing w:after="0"/>
              <w:rPr>
                <w:sz w:val="14"/>
                <w:szCs w:val="14"/>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Level 1</w:t>
            </w:r>
          </w:p>
        </w:tc>
        <w:tc>
          <w:tcPr>
            <w:tcW w:w="140" w:type="dxa"/>
            <w:vAlign w:val="bottom"/>
          </w:tcPr>
          <w:p>
            <w:pPr>
              <w:spacing w:after="0"/>
              <w:rPr>
                <w:sz w:val="14"/>
                <w:szCs w:val="14"/>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Level 2</w:t>
            </w:r>
          </w:p>
        </w:tc>
        <w:tc>
          <w:tcPr>
            <w:tcW w:w="140" w:type="dxa"/>
            <w:vAlign w:val="bottom"/>
          </w:tcPr>
          <w:p>
            <w:pPr>
              <w:spacing w:after="0"/>
              <w:rPr>
                <w:sz w:val="14"/>
                <w:szCs w:val="14"/>
                <w:color w:val="auto"/>
              </w:rPr>
            </w:pPr>
          </w:p>
        </w:tc>
        <w:tc>
          <w:tcPr>
            <w:tcW w:w="6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192"/>
        </w:trPr>
        <w:tc>
          <w:tcPr>
            <w:tcW w:w="356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14"/>
                <w:szCs w:val="14"/>
                <w:b w:val="1"/>
                <w:bCs w:val="1"/>
                <w:color w:val="auto"/>
                <w:w w:val="90"/>
              </w:rPr>
              <w:t>Value</w:t>
            </w:r>
          </w:p>
        </w:tc>
        <w:tc>
          <w:tcPr>
            <w:tcW w:w="1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gridSpan w:val="2"/>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gridSpan w:val="2"/>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3560" w:type="dxa"/>
            <w:vAlign w:val="bottom"/>
          </w:tcPr>
          <w:p>
            <w:pPr>
              <w:ind w:left="40"/>
              <w:spacing w:after="0"/>
              <w:rPr>
                <w:sz w:val="20"/>
                <w:szCs w:val="20"/>
                <w:color w:val="auto"/>
              </w:rPr>
            </w:pPr>
            <w:r>
              <w:rPr>
                <w:rFonts w:ascii="Arial" w:cs="Arial" w:eastAsia="Arial" w:hAnsi="Arial"/>
                <w:sz w:val="14"/>
                <w:szCs w:val="14"/>
                <w:b w:val="1"/>
                <w:bCs w:val="1"/>
                <w:color w:val="auto"/>
              </w:rPr>
              <w:t>September 30, 2017</w:t>
            </w:r>
          </w:p>
        </w:tc>
        <w:tc>
          <w:tcPr>
            <w:tcW w:w="3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20" w:type="dxa"/>
            <w:vAlign w:val="bottom"/>
            <w:gridSpan w:val="5"/>
          </w:tcPr>
          <w:p>
            <w:pPr>
              <w:ind w:left="140"/>
              <w:spacing w:after="0"/>
              <w:rPr>
                <w:sz w:val="20"/>
                <w:szCs w:val="20"/>
                <w:color w:val="auto"/>
              </w:rPr>
            </w:pPr>
            <w:r>
              <w:rPr>
                <w:rFonts w:ascii="Arial" w:cs="Arial" w:eastAsia="Arial" w:hAnsi="Arial"/>
                <w:sz w:val="14"/>
                <w:szCs w:val="14"/>
                <w:b w:val="1"/>
                <w:bCs w:val="1"/>
                <w:color w:val="auto"/>
              </w:rPr>
              <w:t>(in thousands)</w:t>
            </w: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6"/>
        </w:trPr>
        <w:tc>
          <w:tcPr>
            <w:tcW w:w="3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Money market funds</w:t>
            </w:r>
          </w:p>
        </w:tc>
        <w:tc>
          <w:tcPr>
            <w:tcW w:w="364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6,565</w:t>
            </w: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6,565</w:t>
            </w: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356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6,565</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6,565</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5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December 31, 2016</w:t>
            </w:r>
          </w:p>
        </w:tc>
        <w:tc>
          <w:tcPr>
            <w:tcW w:w="36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560" w:type="dxa"/>
            <w:vAlign w:val="bottom"/>
            <w:vMerge w:val="continue"/>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8"/>
        </w:trPr>
        <w:tc>
          <w:tcPr>
            <w:tcW w:w="3560" w:type="dxa"/>
            <w:vAlign w:val="bottom"/>
            <w:vMerge w:val="continue"/>
          </w:tcPr>
          <w:p>
            <w:pPr>
              <w:spacing w:after="0"/>
              <w:rPr>
                <w:sz w:val="18"/>
                <w:szCs w:val="18"/>
                <w:color w:val="auto"/>
              </w:rPr>
            </w:pPr>
          </w:p>
        </w:tc>
        <w:tc>
          <w:tcPr>
            <w:tcW w:w="3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6"/>
        </w:trPr>
        <w:tc>
          <w:tcPr>
            <w:tcW w:w="3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Money market funds</w:t>
            </w:r>
          </w:p>
        </w:tc>
        <w:tc>
          <w:tcPr>
            <w:tcW w:w="364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3,565</w:t>
            </w: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3,565</w:t>
            </w: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356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3,565</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3,565</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20" w:type="dxa"/>
            <w:vAlign w:val="bottom"/>
            <w:tcBorders>
              <w:top w:val="single" w:sz="8" w:color="auto"/>
            </w:tcBorders>
          </w:tcPr>
          <w:p>
            <w:pPr>
              <w:ind w:left="3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560" w:type="dxa"/>
            <w:vAlign w:val="bottom"/>
          </w:tcPr>
          <w:p>
            <w:pPr>
              <w:spacing w:after="0"/>
              <w:rPr>
                <w:sz w:val="2"/>
                <w:szCs w:val="2"/>
                <w:color w:val="auto"/>
              </w:rPr>
            </w:pPr>
          </w:p>
        </w:tc>
        <w:tc>
          <w:tcPr>
            <w:tcW w:w="3640" w:type="dxa"/>
            <w:vAlign w:val="bottom"/>
            <w:vMerge w:val="restart"/>
          </w:tcPr>
          <w:p>
            <w:pPr>
              <w:jc w:val="right"/>
              <w:ind w:right="1450"/>
              <w:spacing w:after="0"/>
              <w:rPr>
                <w:sz w:val="20"/>
                <w:szCs w:val="20"/>
                <w:color w:val="auto"/>
              </w:rPr>
            </w:pPr>
            <w:r>
              <w:rPr>
                <w:rFonts w:ascii="Arial" w:cs="Arial" w:eastAsia="Arial" w:hAnsi="Arial"/>
                <w:sz w:val="18"/>
                <w:szCs w:val="18"/>
                <w:color w:val="auto"/>
              </w:rPr>
              <w:t>7</w:t>
            </w:r>
          </w:p>
        </w:tc>
        <w:tc>
          <w:tcPr>
            <w:tcW w:w="1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560" w:type="dxa"/>
            <w:vAlign w:val="bottom"/>
          </w:tcPr>
          <w:p>
            <w:pPr>
              <w:spacing w:after="0" w:line="20" w:lineRule="exact"/>
              <w:rPr>
                <w:sz w:val="1"/>
                <w:szCs w:val="1"/>
                <w:color w:val="auto"/>
              </w:rPr>
            </w:pPr>
          </w:p>
        </w:tc>
        <w:tc>
          <w:tcPr>
            <w:tcW w:w="3640" w:type="dxa"/>
            <w:vAlign w:val="bottom"/>
            <w:vMerge w:val="continue"/>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9"/>
        </w:trPr>
        <w:tc>
          <w:tcPr>
            <w:tcW w:w="3560" w:type="dxa"/>
            <w:vAlign w:val="bottom"/>
          </w:tcPr>
          <w:p>
            <w:pPr>
              <w:spacing w:after="0"/>
              <w:rPr>
                <w:sz w:val="24"/>
                <w:szCs w:val="24"/>
                <w:color w:val="auto"/>
              </w:rPr>
            </w:pPr>
          </w:p>
        </w:tc>
        <w:tc>
          <w:tcPr>
            <w:tcW w:w="364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60"/>
          </w:cols>
          <w:pgMar w:left="240" w:top="121" w:right="29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Income Taxes</w:t>
      </w:r>
    </w:p>
    <w:p>
      <w:pPr>
        <w:spacing w:after="0" w:line="121" w:lineRule="exact"/>
        <w:rPr>
          <w:sz w:val="20"/>
          <w:szCs w:val="20"/>
          <w:color w:val="auto"/>
        </w:rPr>
      </w:pPr>
    </w:p>
    <w:p>
      <w:pPr>
        <w:ind w:right="160" w:firstLine="405"/>
        <w:spacing w:after="0" w:line="297" w:lineRule="auto"/>
        <w:rPr>
          <w:sz w:val="20"/>
          <w:szCs w:val="20"/>
          <w:color w:val="auto"/>
        </w:rPr>
      </w:pPr>
      <w:r>
        <w:rPr>
          <w:rFonts w:ascii="Arial" w:cs="Arial" w:eastAsia="Arial" w:hAnsi="Arial"/>
          <w:sz w:val="16"/>
          <w:szCs w:val="16"/>
          <w:color w:val="auto"/>
        </w:rPr>
        <w:t>The Company provides for income taxes at the end of each interim period based on the estimated effective tax rate for the full year in addition to discrete events which impact the interim period. The Company’s effective tax rate differs from the U.S. statutory rate principally due to the change in valuation allowance and the rate impact of uncertain tax positions. Cumulative adjustments to the tax provision are recorded in the interim period in which a change in the estimated annual effective tax rate is determined. The Company’s tax provision was $0.8 million and $20,000 for the three months ended September 30, 2017 and 2016, respectively, and $2.1 million and $0.7 million for the nine months ended September 30, 2017 and 2016, respectively.</w:t>
      </w:r>
    </w:p>
    <w:p>
      <w:pPr>
        <w:spacing w:after="0" w:line="172" w:lineRule="exact"/>
        <w:rPr>
          <w:sz w:val="20"/>
          <w:szCs w:val="20"/>
          <w:color w:val="auto"/>
        </w:rPr>
      </w:pPr>
    </w:p>
    <w:p>
      <w:pPr>
        <w:ind w:right="220" w:firstLine="405"/>
        <w:spacing w:after="0" w:line="273" w:lineRule="auto"/>
        <w:rPr>
          <w:sz w:val="20"/>
          <w:szCs w:val="20"/>
          <w:color w:val="auto"/>
        </w:rPr>
      </w:pPr>
      <w:r>
        <w:rPr>
          <w:rFonts w:ascii="Arial" w:cs="Arial" w:eastAsia="Arial" w:hAnsi="Arial"/>
          <w:sz w:val="17"/>
          <w:szCs w:val="17"/>
          <w:color w:val="auto"/>
        </w:rPr>
        <w:t>The Company regularly assesses its ability to realize its deferred tax assets. Assessing the realizability of deferred tax assets requires significant management judgment. In determining whether its deferred tax assets are more-likely-than-not realizable, the Company evaluated all available positive and negative evidence, and weighed the objective evidence and expected impact. Evidence the Company considered included its history of net operating losses, which resulted in the Company recording a full valuation allowance against its domestic net deferred tax assets beginning in 2011, and in each year thereafter. The Company was profitable on a cumulative basis for the three-year period ended September 30, 2017, but substantially all of that profitability was achieved during 2016 and the nine months ended September 30, 2017.</w:t>
      </w:r>
    </w:p>
    <w:p>
      <w:pPr>
        <w:spacing w:after="0" w:line="192" w:lineRule="exact"/>
        <w:rPr>
          <w:sz w:val="20"/>
          <w:szCs w:val="20"/>
          <w:color w:val="auto"/>
        </w:rPr>
      </w:pPr>
    </w:p>
    <w:p>
      <w:pPr>
        <w:ind w:right="60" w:firstLine="405"/>
        <w:spacing w:after="0" w:line="272" w:lineRule="auto"/>
        <w:rPr>
          <w:sz w:val="20"/>
          <w:szCs w:val="20"/>
          <w:color w:val="auto"/>
        </w:rPr>
      </w:pPr>
      <w:r>
        <w:rPr>
          <w:rFonts w:ascii="Arial" w:cs="Arial" w:eastAsia="Arial" w:hAnsi="Arial"/>
          <w:sz w:val="17"/>
          <w:szCs w:val="17"/>
          <w:color w:val="auto"/>
        </w:rPr>
        <w:t>The Company continues to evaluate other negative evidence including customer concentration and contractual risk, DEFINITY supplier risk, the risk of Moly supply availability and cost, and certain product development risks, all of which provide for uncertainties around the Company’s future level of profitability. Based on its review of all available evidence, the Company determined that it has not yet attained a sustained level of profitability sufficient to outweigh the objectively verifiable negative evidence, and has recorded a full valuation allowance against its domestic net deferred tax assets at September 30, 2017. The Company will continue to assess the level of the valuation allowance required. If a sufficient weight of positive evidence exists in future periods to support a release of some or all of the valuation allowance recorded against domestic deferred tax assets, such a release would likely have a material impact on the Company’s results of operations in that future period.</w:t>
      </w:r>
    </w:p>
    <w:p>
      <w:pPr>
        <w:spacing w:after="0" w:line="191" w:lineRule="exact"/>
        <w:rPr>
          <w:sz w:val="20"/>
          <w:szCs w:val="20"/>
          <w:color w:val="auto"/>
        </w:rPr>
      </w:pPr>
    </w:p>
    <w:p>
      <w:pPr>
        <w:ind w:firstLine="405"/>
        <w:spacing w:after="0" w:line="271" w:lineRule="auto"/>
        <w:rPr>
          <w:sz w:val="20"/>
          <w:szCs w:val="20"/>
          <w:color w:val="auto"/>
        </w:rPr>
      </w:pPr>
      <w:r>
        <w:rPr>
          <w:rFonts w:ascii="Arial" w:cs="Arial" w:eastAsia="Arial" w:hAnsi="Arial"/>
          <w:sz w:val="17"/>
          <w:szCs w:val="17"/>
          <w:color w:val="auto"/>
        </w:rPr>
        <w:t>In connection with the Company’s acquisition of the medical imaging business from Bristol-Myers Squibb (“BMS”) in 2008, the Company entered into a tax indemnification agreement with BMS related to certain tax obligations arising prior to the acquisition of the Company, for which the Company has the primary legal obligation. The tax indemnification receivable is recognized within other long-term assets. The changes in the tax indemnification asset are recognized within other income in the condensed consolidated statement of operations. In accordance with the Company’s accounting policy, the change in the contingent tax liability, and penalties and interest associated with these obligations (net of any offsetting federal or state benefit) is recognized within the tax provision. Accordingly, as these reserves change, adjustments are included in the tax provision while the offsetting adjustment is included in other income. Assuming that the receivable from BMS continues to be considered recoverable by the Company, there is no net effect on earnings related to these liabilities and no net cash outflows.</w:t>
      </w: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Inventory</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Inventory consisted of the following:</w:t>
      </w:r>
    </w:p>
    <w:p>
      <w:pPr>
        <w:spacing w:after="0" w:line="380" w:lineRule="exact"/>
        <w:rPr>
          <w:sz w:val="20"/>
          <w:szCs w:val="20"/>
          <w:color w:val="auto"/>
        </w:rPr>
      </w:pPr>
    </w:p>
    <w:tbl>
      <w:tblPr>
        <w:tblLayout w:type="fixed"/>
        <w:tblInd w:w="260" w:type="dxa"/>
        <w:tblCellMar>
          <w:top w:w="0" w:type="dxa"/>
          <w:left w:w="0" w:type="dxa"/>
          <w:bottom w:w="0" w:type="dxa"/>
          <w:right w:w="0" w:type="dxa"/>
        </w:tblCellMar>
      </w:tblPr>
      <w:tr>
        <w:trPr>
          <w:trHeight w:val="161"/>
        </w:trPr>
        <w:tc>
          <w:tcPr>
            <w:tcW w:w="840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120" w:type="dxa"/>
            <w:vAlign w:val="bottom"/>
          </w:tcPr>
          <w:p>
            <w:pPr>
              <w:spacing w:after="0"/>
              <w:rPr>
                <w:sz w:val="14"/>
                <w:szCs w:val="14"/>
                <w:color w:val="auto"/>
              </w:rPr>
            </w:pPr>
          </w:p>
        </w:tc>
        <w:tc>
          <w:tcPr>
            <w:tcW w:w="1180" w:type="dxa"/>
            <w:vAlign w:val="bottom"/>
            <w:gridSpan w:val="2"/>
          </w:tcPr>
          <w:p>
            <w:pPr>
              <w:ind w:left="2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060" w:type="dxa"/>
            <w:vAlign w:val="bottom"/>
          </w:tcPr>
          <w:p>
            <w:pPr>
              <w:jc w:val="right"/>
              <w:ind w:right="116"/>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58"/>
        </w:trPr>
        <w:tc>
          <w:tcPr>
            <w:tcW w:w="8400" w:type="dxa"/>
            <w:vAlign w:val="bottom"/>
            <w:gridSpan w:val="3"/>
            <w:vMerge w:val="continue"/>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tcPr>
          <w:p>
            <w:pPr>
              <w:jc w:val="right"/>
              <w:ind w:right="376"/>
              <w:spacing w:after="0" w:line="158"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60" w:type="dxa"/>
            <w:vAlign w:val="bottom"/>
          </w:tcPr>
          <w:p>
            <w:pPr>
              <w:jc w:val="right"/>
              <w:ind w:right="376"/>
              <w:spacing w:after="0" w:line="158"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60" w:type="dxa"/>
            <w:vAlign w:val="bottom"/>
            <w:tcBorders>
              <w:top w:val="single" w:sz="8" w:color="auto"/>
              <w:bottom w:val="single" w:sz="8" w:color="CCEEFF"/>
            </w:tcBorders>
          </w:tcPr>
          <w:p>
            <w:pPr>
              <w:spacing w:after="0" w:line="20" w:lineRule="exact"/>
              <w:rPr>
                <w:sz w:val="1"/>
                <w:szCs w:val="1"/>
                <w:color w:val="auto"/>
              </w:rPr>
            </w:pPr>
          </w:p>
        </w:tc>
        <w:tc>
          <w:tcPr>
            <w:tcW w:w="75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84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10,699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9,658</w:t>
            </w:r>
          </w:p>
        </w:tc>
        <w:tc>
          <w:tcPr>
            <w:tcW w:w="0" w:type="dxa"/>
            <w:vAlign w:val="bottom"/>
          </w:tcPr>
          <w:p>
            <w:pPr>
              <w:spacing w:after="0"/>
              <w:rPr>
                <w:sz w:val="1"/>
                <w:szCs w:val="1"/>
                <w:color w:val="auto"/>
              </w:rPr>
            </w:pPr>
          </w:p>
        </w:tc>
      </w:tr>
      <w:tr>
        <w:trPr>
          <w:trHeight w:val="243"/>
        </w:trPr>
        <w:tc>
          <w:tcPr>
            <w:tcW w:w="8400" w:type="dxa"/>
            <w:vAlign w:val="bottom"/>
            <w:gridSpan w:val="3"/>
          </w:tcPr>
          <w:p>
            <w:pPr>
              <w:ind w:left="40"/>
              <w:spacing w:after="0"/>
              <w:rPr>
                <w:sz w:val="20"/>
                <w:szCs w:val="20"/>
                <w:color w:val="auto"/>
              </w:rPr>
            </w:pPr>
            <w:r>
              <w:rPr>
                <w:rFonts w:ascii="Arial" w:cs="Arial" w:eastAsia="Arial" w:hAnsi="Arial"/>
                <w:sz w:val="18"/>
                <w:szCs w:val="18"/>
                <w:color w:val="auto"/>
              </w:rPr>
              <w:t>Work in process</w:t>
            </w:r>
          </w:p>
        </w:tc>
        <w:tc>
          <w:tcPr>
            <w:tcW w:w="120" w:type="dxa"/>
            <w:vAlign w:val="bottom"/>
          </w:tcPr>
          <w:p>
            <w:pPr>
              <w:spacing w:after="0"/>
              <w:rPr>
                <w:sz w:val="21"/>
                <w:szCs w:val="21"/>
                <w:color w:val="auto"/>
              </w:rPr>
            </w:pPr>
          </w:p>
        </w:tc>
        <w:tc>
          <w:tcPr>
            <w:tcW w:w="1080" w:type="dxa"/>
            <w:vAlign w:val="bottom"/>
          </w:tcPr>
          <w:p>
            <w:pPr>
              <w:jc w:val="right"/>
              <w:ind w:right="36"/>
              <w:spacing w:after="0"/>
              <w:rPr>
                <w:sz w:val="20"/>
                <w:szCs w:val="20"/>
                <w:color w:val="auto"/>
              </w:rPr>
            </w:pPr>
            <w:r>
              <w:rPr>
                <w:rFonts w:ascii="Arial" w:cs="Arial" w:eastAsia="Arial" w:hAnsi="Arial"/>
                <w:sz w:val="18"/>
                <w:szCs w:val="18"/>
                <w:color w:val="auto"/>
              </w:rPr>
              <w:t>5,571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16"/>
              <w:spacing w:after="0"/>
              <w:rPr>
                <w:sz w:val="20"/>
                <w:szCs w:val="20"/>
                <w:color w:val="auto"/>
              </w:rPr>
            </w:pPr>
            <w:r>
              <w:rPr>
                <w:rFonts w:ascii="Arial" w:cs="Arial" w:eastAsia="Arial" w:hAnsi="Arial"/>
                <w:sz w:val="18"/>
                <w:szCs w:val="18"/>
                <w:color w:val="auto"/>
              </w:rPr>
              <w:t>3,965</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7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4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Finished goods</w:t>
            </w:r>
          </w:p>
        </w:tc>
        <w:tc>
          <w:tcPr>
            <w:tcW w:w="1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6,762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4,017</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8360" w:type="dxa"/>
            <w:vAlign w:val="bottom"/>
            <w:gridSpan w:val="2"/>
          </w:tcPr>
          <w:p>
            <w:pPr>
              <w:ind w:left="340"/>
              <w:spacing w:after="0"/>
              <w:rPr>
                <w:sz w:val="20"/>
                <w:szCs w:val="20"/>
                <w:color w:val="auto"/>
              </w:rPr>
            </w:pPr>
            <w:r>
              <w:rPr>
                <w:rFonts w:ascii="Arial" w:cs="Arial" w:eastAsia="Arial" w:hAnsi="Arial"/>
                <w:sz w:val="18"/>
                <w:szCs w:val="18"/>
                <w:color w:val="auto"/>
              </w:rPr>
              <w:t>Total inventory</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23,032</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17,640</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75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color w:val="auto"/>
        </w:rPr>
        <w:t>As of September 30, 2017 and December 31, 2016, the Company had $1.2 million of inventory classified within other long-term assets, which represent raw materials not expected to be used by the Company during the next twelve months.</w:t>
      </w:r>
    </w:p>
    <w:p>
      <w:pPr>
        <w:spacing w:after="0" w:line="200" w:lineRule="exact"/>
        <w:rPr>
          <w:sz w:val="20"/>
          <w:szCs w:val="20"/>
          <w:color w:val="auto"/>
        </w:rPr>
      </w:pPr>
    </w:p>
    <w:p>
      <w:pPr>
        <w:spacing w:after="0" w:line="227"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121"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Property, Plant &amp; Equipment, Net</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Property, plant &amp; equipment, net, consisted of the following:</w:t>
      </w:r>
    </w:p>
    <w:p>
      <w:pPr>
        <w:spacing w:after="0" w:line="380"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1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4"/>
                <w:szCs w:val="14"/>
                <w:color w:val="auto"/>
              </w:rPr>
            </w:pPr>
          </w:p>
        </w:tc>
        <w:tc>
          <w:tcPr>
            <w:tcW w:w="126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060" w:type="dxa"/>
            <w:vAlign w:val="bottom"/>
          </w:tcPr>
          <w:p>
            <w:pPr>
              <w:jc w:val="right"/>
              <w:ind w:right="114"/>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58"/>
        </w:trPr>
        <w:tc>
          <w:tcPr>
            <w:tcW w:w="40" w:type="dxa"/>
            <w:vAlign w:val="bottom"/>
          </w:tcPr>
          <w:p>
            <w:pPr>
              <w:spacing w:after="0"/>
              <w:rPr>
                <w:sz w:val="13"/>
                <w:szCs w:val="13"/>
                <w:color w:val="auto"/>
              </w:rPr>
            </w:pPr>
          </w:p>
        </w:tc>
        <w:tc>
          <w:tcPr>
            <w:tcW w:w="816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1160" w:type="dxa"/>
            <w:vAlign w:val="bottom"/>
          </w:tcPr>
          <w:p>
            <w:pPr>
              <w:jc w:val="right"/>
              <w:ind w:right="434"/>
              <w:spacing w:after="0" w:line="158"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60" w:type="dxa"/>
            <w:vAlign w:val="bottom"/>
          </w:tcPr>
          <w:p>
            <w:pPr>
              <w:jc w:val="right"/>
              <w:ind w:right="374"/>
              <w:spacing w:after="0" w:line="158"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60" w:type="dxa"/>
            <w:vAlign w:val="bottom"/>
            <w:tcBorders>
              <w:top w:val="single" w:sz="8" w:color="auto"/>
              <w:bottom w:val="single" w:sz="8" w:color="CCEEFF"/>
            </w:tcBorders>
          </w:tcPr>
          <w:p>
            <w:pPr>
              <w:spacing w:after="0" w:line="20" w:lineRule="exact"/>
              <w:rPr>
                <w:sz w:val="1"/>
                <w:szCs w:val="1"/>
                <w:color w:val="auto"/>
              </w:rPr>
            </w:pPr>
          </w:p>
        </w:tc>
        <w:tc>
          <w:tcPr>
            <w:tcW w:w="73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40" w:type="dxa"/>
            <w:vAlign w:val="bottom"/>
            <w:tcBorders>
              <w:bottom w:val="single" w:sz="8" w:color="CCEEFF"/>
            </w:tcBorders>
            <w:shd w:val="clear" w:color="auto" w:fill="CCEEFF"/>
          </w:tcPr>
          <w:p>
            <w:pPr>
              <w:spacing w:after="0"/>
              <w:rPr>
                <w:sz w:val="21"/>
                <w:szCs w:val="21"/>
                <w:color w:val="auto"/>
              </w:rPr>
            </w:pPr>
          </w:p>
        </w:tc>
        <w:tc>
          <w:tcPr>
            <w:tcW w:w="81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Land</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14,950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14,950</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160" w:type="dxa"/>
            <w:vAlign w:val="bottom"/>
            <w:gridSpan w:val="2"/>
          </w:tcPr>
          <w:p>
            <w:pPr>
              <w:spacing w:after="0"/>
              <w:rPr>
                <w:sz w:val="20"/>
                <w:szCs w:val="20"/>
                <w:color w:val="auto"/>
              </w:rPr>
            </w:pPr>
            <w:r>
              <w:rPr>
                <w:rFonts w:ascii="Arial" w:cs="Arial" w:eastAsia="Arial" w:hAnsi="Arial"/>
                <w:sz w:val="18"/>
                <w:szCs w:val="18"/>
                <w:color w:val="auto"/>
              </w:rPr>
              <w:t>Buildings</w:t>
            </w:r>
          </w:p>
        </w:tc>
        <w:tc>
          <w:tcPr>
            <w:tcW w:w="16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74,864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70,628</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7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81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Machinery, equipment and fixtures</w:t>
            </w:r>
          </w:p>
        </w:tc>
        <w:tc>
          <w:tcPr>
            <w:tcW w:w="1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69,549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65,407</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160" w:type="dxa"/>
            <w:vAlign w:val="bottom"/>
            <w:gridSpan w:val="2"/>
          </w:tcPr>
          <w:p>
            <w:pPr>
              <w:spacing w:after="0"/>
              <w:rPr>
                <w:sz w:val="20"/>
                <w:szCs w:val="20"/>
                <w:color w:val="auto"/>
              </w:rPr>
            </w:pPr>
            <w:r>
              <w:rPr>
                <w:rFonts w:ascii="Arial" w:cs="Arial" w:eastAsia="Arial" w:hAnsi="Arial"/>
                <w:sz w:val="18"/>
                <w:szCs w:val="18"/>
                <w:color w:val="auto"/>
              </w:rPr>
              <w:t>Computer software</w:t>
            </w:r>
          </w:p>
        </w:tc>
        <w:tc>
          <w:tcPr>
            <w:tcW w:w="160" w:type="dxa"/>
            <w:vAlign w:val="bottom"/>
          </w:tcPr>
          <w:p>
            <w:pPr>
              <w:spacing w:after="0"/>
              <w:rPr>
                <w:sz w:val="21"/>
                <w:szCs w:val="21"/>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18,463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18,482</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7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81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Construction in progress</w:t>
            </w:r>
          </w:p>
        </w:tc>
        <w:tc>
          <w:tcPr>
            <w:tcW w:w="1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10,068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7,224</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3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187,894</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176,691</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7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816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Less: accumulated depreciation and amortization</w:t>
            </w:r>
          </w:p>
        </w:tc>
        <w:tc>
          <w:tcPr>
            <w:tcW w:w="1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(93,378)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(82,504)</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Total property, plant &amp; equipment, net</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94,516</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94,187</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73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73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Depreciation and amortization expense related to property, plant &amp; equipment, net, was $2.7 million for the three months ended September 30, 2017 and 2016 and $11.7 million and $8.1 million for the nine months ended September 30, 2017 and 2016, respectively.</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Asset Retirement Obligations</w:t>
      </w:r>
    </w:p>
    <w:p>
      <w:pPr>
        <w:spacing w:after="0" w:line="121" w:lineRule="exact"/>
        <w:rPr>
          <w:sz w:val="20"/>
          <w:szCs w:val="20"/>
          <w:color w:val="auto"/>
        </w:rPr>
      </w:pPr>
    </w:p>
    <w:p>
      <w:pPr>
        <w:ind w:firstLine="405"/>
        <w:spacing w:after="0" w:line="264" w:lineRule="auto"/>
        <w:rPr>
          <w:sz w:val="20"/>
          <w:szCs w:val="20"/>
          <w:color w:val="auto"/>
        </w:rPr>
      </w:pPr>
      <w:r>
        <w:rPr>
          <w:rFonts w:ascii="Arial" w:cs="Arial" w:eastAsia="Arial" w:hAnsi="Arial"/>
          <w:sz w:val="18"/>
          <w:szCs w:val="18"/>
          <w:color w:val="auto"/>
        </w:rPr>
        <w:t>The Company considers its legal obligation to remediate its facilities upon a decommissioning of its radioactive-related operations as an asset retirement obligation. The Company has production facilities which manufacture and process radioactive materials at its North Billerica, Massachusetts and San Juan, Puerto Rico sites.</w:t>
      </w:r>
    </w:p>
    <w:p>
      <w:pPr>
        <w:spacing w:after="0" w:line="181" w:lineRule="exact"/>
        <w:rPr>
          <w:sz w:val="20"/>
          <w:szCs w:val="20"/>
          <w:color w:val="auto"/>
        </w:rPr>
      </w:pPr>
    </w:p>
    <w:p>
      <w:pPr>
        <w:ind w:right="380" w:firstLine="432"/>
        <w:spacing w:after="0" w:line="312" w:lineRule="auto"/>
        <w:rPr>
          <w:sz w:val="20"/>
          <w:szCs w:val="20"/>
          <w:color w:val="auto"/>
        </w:rPr>
      </w:pPr>
      <w:r>
        <w:rPr>
          <w:rFonts w:ascii="Arial" w:cs="Arial" w:eastAsia="Arial" w:hAnsi="Arial"/>
          <w:sz w:val="16"/>
          <w:szCs w:val="16"/>
          <w:color w:val="auto"/>
        </w:rPr>
        <w:t>The Company is required to provide the U.S. Nuclear Regulatory Commission and Massachusetts Department of Public Health financial assurance demonstrating the Company’s ability to fund the decommissioning of its North Billerica, Massachusetts production facility upon closure, although the Company does not intend to close the facility. The Company has provided this financial assurance in the form of a $28.2 million surety bond.</w:t>
      </w:r>
    </w:p>
    <w:p>
      <w:pPr>
        <w:spacing w:after="0" w:line="160" w:lineRule="exact"/>
        <w:rPr>
          <w:sz w:val="20"/>
          <w:szCs w:val="20"/>
          <w:color w:val="auto"/>
        </w:rPr>
      </w:pPr>
    </w:p>
    <w:p>
      <w:pPr>
        <w:ind w:right="180" w:firstLine="405"/>
        <w:spacing w:after="0" w:line="259" w:lineRule="auto"/>
        <w:rPr>
          <w:sz w:val="20"/>
          <w:szCs w:val="20"/>
          <w:color w:val="auto"/>
        </w:rPr>
      </w:pPr>
      <w:r>
        <w:rPr>
          <w:rFonts w:ascii="Arial" w:cs="Arial" w:eastAsia="Arial" w:hAnsi="Arial"/>
          <w:sz w:val="18"/>
          <w:szCs w:val="18"/>
          <w:color w:val="auto"/>
        </w:rPr>
        <w:t>The fair value of a liability for asset retirement obligations is recognized in the period in which the liability is incurred. As of September 30, 2017, the liability is measured at the present value of the obligation expected to be incurred, of approximately $26.9 million, and is adjusted in subsequent periods as accretion expense is recorded. The corresponding asset retirement costs are capitalized as part of the carrying values of the related long-lived assets and depreciated over the assets’ useful lives.</w:t>
      </w:r>
    </w:p>
    <w:p>
      <w:pPr>
        <w:spacing w:after="0" w:line="20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provides a summary of the changes in the Company’s asset retirement obligations:</w:t>
      </w:r>
    </w:p>
    <w:p>
      <w:pPr>
        <w:spacing w:after="0" w:line="389" w:lineRule="exact"/>
        <w:rPr>
          <w:sz w:val="20"/>
          <w:szCs w:val="20"/>
          <w:color w:val="auto"/>
        </w:rPr>
      </w:pPr>
    </w:p>
    <w:tbl>
      <w:tblPr>
        <w:tblLayout w:type="fixed"/>
        <w:tblInd w:w="1520" w:type="dxa"/>
        <w:tblCellMar>
          <w:top w:w="0" w:type="dxa"/>
          <w:left w:w="0" w:type="dxa"/>
          <w:bottom w:w="0" w:type="dxa"/>
          <w:right w:w="0" w:type="dxa"/>
        </w:tblCellMar>
      </w:tblPr>
      <w:tr>
        <w:trPr>
          <w:trHeight w:val="161"/>
        </w:trPr>
        <w:tc>
          <w:tcPr>
            <w:tcW w:w="6860" w:type="dxa"/>
            <w:vAlign w:val="bottom"/>
            <w:gridSpan w:val="3"/>
          </w:tcPr>
          <w:p>
            <w:pPr>
              <w:ind w:left="20"/>
              <w:spacing w:after="0"/>
              <w:rPr>
                <w:sz w:val="20"/>
                <w:szCs w:val="20"/>
                <w:color w:val="auto"/>
              </w:rPr>
            </w:pPr>
            <w:r>
              <w:rPr>
                <w:rFonts w:ascii="Arial" w:cs="Arial" w:eastAsia="Arial" w:hAnsi="Arial"/>
                <w:sz w:val="14"/>
                <w:szCs w:val="14"/>
                <w:b w:val="1"/>
                <w:bCs w:val="1"/>
                <w:color w:val="auto"/>
              </w:rPr>
              <w:t>(in thousands)</w:t>
            </w:r>
          </w:p>
        </w:tc>
        <w:tc>
          <w:tcPr>
            <w:tcW w:w="320" w:type="dxa"/>
            <w:vAlign w:val="bottom"/>
          </w:tcPr>
          <w:p>
            <w:pPr>
              <w:spacing w:after="0"/>
              <w:rPr>
                <w:sz w:val="14"/>
                <w:szCs w:val="14"/>
                <w:color w:val="auto"/>
              </w:rPr>
            </w:pPr>
          </w:p>
        </w:tc>
        <w:tc>
          <w:tcPr>
            <w:tcW w:w="1220" w:type="dxa"/>
            <w:vAlign w:val="bottom"/>
          </w:tcPr>
          <w:p>
            <w:pPr>
              <w:jc w:val="right"/>
              <w:ind w:right="434"/>
              <w:spacing w:after="0"/>
              <w:rPr>
                <w:sz w:val="20"/>
                <w:szCs w:val="20"/>
                <w:color w:val="auto"/>
              </w:rPr>
            </w:pPr>
            <w:r>
              <w:rPr>
                <w:rFonts w:ascii="Arial" w:cs="Arial" w:eastAsia="Arial" w:hAnsi="Arial"/>
                <w:sz w:val="14"/>
                <w:szCs w:val="14"/>
                <w:b w:val="1"/>
                <w:bCs w:val="1"/>
                <w:color w:val="auto"/>
              </w:rPr>
              <w:t>Amount</w:t>
            </w: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596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244"/>
        </w:trPr>
        <w:tc>
          <w:tcPr>
            <w:tcW w:w="686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Balance at January 1, 2017</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9,370</w:t>
            </w:r>
          </w:p>
        </w:tc>
      </w:tr>
      <w:tr>
        <w:trPr>
          <w:trHeight w:val="243"/>
        </w:trPr>
        <w:tc>
          <w:tcPr>
            <w:tcW w:w="20" w:type="dxa"/>
            <w:vAlign w:val="bottom"/>
          </w:tcPr>
          <w:p>
            <w:pPr>
              <w:spacing w:after="0"/>
              <w:rPr>
                <w:sz w:val="21"/>
                <w:szCs w:val="21"/>
                <w:color w:val="auto"/>
              </w:rPr>
            </w:pPr>
          </w:p>
        </w:tc>
        <w:tc>
          <w:tcPr>
            <w:tcW w:w="6840" w:type="dxa"/>
            <w:vAlign w:val="bottom"/>
            <w:gridSpan w:val="2"/>
          </w:tcPr>
          <w:p>
            <w:pPr>
              <w:ind w:left="240"/>
              <w:spacing w:after="0"/>
              <w:rPr>
                <w:sz w:val="20"/>
                <w:szCs w:val="20"/>
                <w:color w:val="auto"/>
              </w:rPr>
            </w:pPr>
            <w:r>
              <w:rPr>
                <w:rFonts w:ascii="Arial" w:cs="Arial" w:eastAsia="Arial" w:hAnsi="Arial"/>
                <w:sz w:val="18"/>
                <w:szCs w:val="18"/>
                <w:color w:val="auto"/>
              </w:rPr>
              <w:t>Accretion expense</w:t>
            </w:r>
          </w:p>
        </w:tc>
        <w:tc>
          <w:tcPr>
            <w:tcW w:w="3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781</w:t>
            </w:r>
          </w:p>
        </w:tc>
      </w:tr>
      <w:tr>
        <w:trPr>
          <w:trHeight w:val="27"/>
        </w:trPr>
        <w:tc>
          <w:tcPr>
            <w:tcW w:w="2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c>
          <w:tcPr>
            <w:tcW w:w="59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9"/>
        </w:trPr>
        <w:tc>
          <w:tcPr>
            <w:tcW w:w="686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Balance at September 30, 2017</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10,151</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59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Financing Arrangements</w:t>
      </w:r>
    </w:p>
    <w:p>
      <w:pPr>
        <w:spacing w:after="0" w:line="121" w:lineRule="exact"/>
        <w:rPr>
          <w:sz w:val="20"/>
          <w:szCs w:val="20"/>
          <w:color w:val="auto"/>
        </w:rPr>
      </w:pPr>
    </w:p>
    <w:p>
      <w:pPr>
        <w:ind w:right="180" w:firstLine="405"/>
        <w:spacing w:after="0" w:line="290" w:lineRule="auto"/>
        <w:rPr>
          <w:sz w:val="20"/>
          <w:szCs w:val="20"/>
          <w:color w:val="auto"/>
        </w:rPr>
      </w:pPr>
      <w:r>
        <w:rPr>
          <w:rFonts w:ascii="Arial" w:cs="Arial" w:eastAsia="Arial" w:hAnsi="Arial"/>
          <w:sz w:val="16"/>
          <w:szCs w:val="16"/>
          <w:color w:val="auto"/>
        </w:rPr>
        <w:t>On March 30, 2017, the Company refinanced its previous $365 million seven-year term loan agreement (the facility thereunder, the “2015 Term Facility”) with a new five-year $275 million term loan facility (the “2017 Term Facility” and the loans thereunder, the “Term Loans”). In addition, the Company replaced its previous $50.0 million five-year asset based loan facility (the “ABL Facility”) with a new $75.0 million five-year revolving credit facility (the “2017 Revolving Facility” and, together with the 2017 Term Facility, the “2017 Facility”). The terms of the 2017 Facility are set forth in that certain Amended and Restated Credit Agreement, dated as of March 30, 2017 (the “Credit Agreement”), by and among Holdings, the Company, the lenders from time to time party thereto and JPMorgan Chase Bank, N.A., as administrative agent and collateral agent. The 2017 Term Facility was issued net of a $0.7 million discount. The Company has the right to request an increase to the 2017 Term Facility or request the establishment of one or more new incremental term loan facilities, in an aggregate principal amount of up to $75.0 million, plus additional amounts, in certain circumstances.</w:t>
      </w:r>
    </w:p>
    <w:p>
      <w:pPr>
        <w:spacing w:after="0" w:line="200" w:lineRule="exact"/>
        <w:rPr>
          <w:sz w:val="20"/>
          <w:szCs w:val="20"/>
          <w:color w:val="auto"/>
        </w:rPr>
      </w:pPr>
    </w:p>
    <w:p>
      <w:pPr>
        <w:spacing w:after="0" w:line="223"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121"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6" w:lineRule="exact"/>
        <w:rPr>
          <w:sz w:val="20"/>
          <w:szCs w:val="20"/>
          <w:color w:val="auto"/>
        </w:rPr>
      </w:pPr>
    </w:p>
    <w:p>
      <w:pPr>
        <w:ind w:right="180" w:firstLine="405"/>
        <w:spacing w:after="0" w:line="293" w:lineRule="auto"/>
        <w:rPr>
          <w:sz w:val="20"/>
          <w:szCs w:val="20"/>
          <w:color w:val="auto"/>
        </w:rPr>
      </w:pPr>
      <w:r>
        <w:rPr>
          <w:rFonts w:ascii="Arial" w:cs="Arial" w:eastAsia="Arial" w:hAnsi="Arial"/>
          <w:sz w:val="16"/>
          <w:szCs w:val="16"/>
          <w:color w:val="auto"/>
        </w:rPr>
        <w:t>The net proceeds of the 2017 Term Facility, together with approximately $15.3 million of cash on hand, were used to refinance in full the aggregate remaining principal amount of the loans outstanding under the 2015 Term Facility and pay related interest, transaction fees and expenses. No amounts were outstanding under the ABL Facility at that time. The Company accounted for the refinancing as both a debt extinguishment and debt modification by evaluating the refinancing on a creditor by creditor basis. The Company recorded a loss on extinguishment of debt of $2.2 million related to the write-off of unamortized debt issuance costs and incurred general and administrative expenses of $1.7 million related to third-party costs associated with the modified debt. In addition, the Company incurred and capitalized $1.6 million of new debt issuance costs related to the refinancing.</w:t>
      </w:r>
    </w:p>
    <w:p>
      <w:pPr>
        <w:spacing w:after="0" w:line="3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2017 Term Facility</w:t>
      </w:r>
    </w:p>
    <w:p>
      <w:pPr>
        <w:spacing w:after="0" w:line="117" w:lineRule="exact"/>
        <w:rPr>
          <w:sz w:val="20"/>
          <w:szCs w:val="20"/>
          <w:color w:val="auto"/>
        </w:rPr>
      </w:pPr>
    </w:p>
    <w:p>
      <w:pPr>
        <w:jc w:val="both"/>
        <w:ind w:right="120" w:firstLine="405"/>
        <w:spacing w:after="0" w:line="259" w:lineRule="auto"/>
        <w:rPr>
          <w:sz w:val="20"/>
          <w:szCs w:val="20"/>
          <w:color w:val="auto"/>
        </w:rPr>
      </w:pPr>
      <w:r>
        <w:rPr>
          <w:rFonts w:ascii="Arial" w:cs="Arial" w:eastAsia="Arial" w:hAnsi="Arial"/>
          <w:sz w:val="18"/>
          <w:szCs w:val="18"/>
          <w:color w:val="auto"/>
        </w:rPr>
        <w:t>The Term Loans under the 2017 Term Facility bear interest, with pricing based from time to time at the Company’s election at (i) LIBOR plus a spread of 4.50% or (ii) the Base Rate (as defined in the Credit Agreement) plus a spread of 3.50%. Interest is payable (i) with respect to LIBOR Term Loans, at the end of each Interest Period (as defined in the Credit Agreement) and (ii) with respect to Base Rate Term Loans, at the end of each quarter. At September 30, 2017, the Company’s interest rate under the 2017 Term Facility was 5.7%.</w:t>
      </w:r>
    </w:p>
    <w:p>
      <w:pPr>
        <w:spacing w:after="0" w:line="200"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The Company is permitted to voluntarily prepay the Term Loans, in whole or in part. The 2017 Term Facility requires the Company to make mandatory prepayments of the outstanding Term Loans in certain circumstances. The 2017 Term Facility amortizes at 1.00% per year until its June 30, 2022 maturity date.</w:t>
      </w:r>
    </w:p>
    <w:p>
      <w:pPr>
        <w:spacing w:after="0" w:line="19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Company’s maturities of principal obligations under the 2017 Term Facility are as follows as of September 30, 2017:</w:t>
      </w:r>
    </w:p>
    <w:p>
      <w:pPr>
        <w:spacing w:after="0" w:line="389" w:lineRule="exact"/>
        <w:rPr>
          <w:sz w:val="20"/>
          <w:szCs w:val="20"/>
          <w:color w:val="auto"/>
        </w:rPr>
      </w:pPr>
    </w:p>
    <w:tbl>
      <w:tblPr>
        <w:tblLayout w:type="fixed"/>
        <w:tblInd w:w="250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5140" w:type="dxa"/>
            <w:vAlign w:val="bottom"/>
            <w:gridSpan w:val="2"/>
          </w:tcPr>
          <w:p>
            <w:pPr>
              <w:spacing w:after="0"/>
              <w:rPr>
                <w:sz w:val="20"/>
                <w:szCs w:val="20"/>
                <w:color w:val="auto"/>
              </w:rPr>
            </w:pPr>
            <w:r>
              <w:rPr>
                <w:rFonts w:ascii="Arial" w:cs="Arial" w:eastAsia="Arial" w:hAnsi="Arial"/>
                <w:sz w:val="14"/>
                <w:szCs w:val="14"/>
                <w:b w:val="1"/>
                <w:bCs w:val="1"/>
                <w:color w:val="auto"/>
              </w:rPr>
              <w:t>(in thousands)</w:t>
            </w:r>
          </w:p>
        </w:tc>
        <w:tc>
          <w:tcPr>
            <w:tcW w:w="240" w:type="dxa"/>
            <w:vAlign w:val="bottom"/>
          </w:tcPr>
          <w:p>
            <w:pPr>
              <w:spacing w:after="0"/>
              <w:rPr>
                <w:sz w:val="14"/>
                <w:szCs w:val="14"/>
                <w:color w:val="auto"/>
              </w:rPr>
            </w:pPr>
          </w:p>
        </w:tc>
        <w:tc>
          <w:tcPr>
            <w:tcW w:w="1000" w:type="dxa"/>
            <w:vAlign w:val="bottom"/>
          </w:tcPr>
          <w:p>
            <w:pPr>
              <w:jc w:val="right"/>
              <w:ind w:right="271"/>
              <w:spacing w:after="0"/>
              <w:rPr>
                <w:sz w:val="20"/>
                <w:szCs w:val="20"/>
                <w:color w:val="auto"/>
              </w:rPr>
            </w:pPr>
            <w:r>
              <w:rPr>
                <w:rFonts w:ascii="Arial" w:cs="Arial" w:eastAsia="Arial" w:hAnsi="Arial"/>
                <w:sz w:val="14"/>
                <w:szCs w:val="14"/>
                <w:b w:val="1"/>
                <w:bCs w:val="1"/>
                <w:color w:val="auto"/>
              </w:rPr>
              <w:t>Amount</w:t>
            </w: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60" w:type="dxa"/>
            <w:vAlign w:val="bottom"/>
            <w:tcBorders>
              <w:top w:val="single" w:sz="8" w:color="auto"/>
              <w:bottom w:val="single" w:sz="8" w:color="CCEEFF"/>
            </w:tcBorders>
          </w:tcPr>
          <w:p>
            <w:pPr>
              <w:spacing w:after="0" w:line="20" w:lineRule="exact"/>
              <w:rPr>
                <w:sz w:val="1"/>
                <w:szCs w:val="1"/>
                <w:color w:val="auto"/>
              </w:rPr>
            </w:pPr>
          </w:p>
        </w:tc>
        <w:tc>
          <w:tcPr>
            <w:tcW w:w="428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244"/>
        </w:trPr>
        <w:tc>
          <w:tcPr>
            <w:tcW w:w="40" w:type="dxa"/>
            <w:vAlign w:val="bottom"/>
            <w:tcBorders>
              <w:bottom w:val="single" w:sz="8" w:color="CCEEFF"/>
            </w:tcBorders>
            <w:shd w:val="clear" w:color="auto" w:fill="CCEEFF"/>
          </w:tcPr>
          <w:p>
            <w:pPr>
              <w:spacing w:after="0"/>
              <w:rPr>
                <w:sz w:val="21"/>
                <w:szCs w:val="21"/>
                <w:color w:val="auto"/>
              </w:rPr>
            </w:pPr>
          </w:p>
        </w:tc>
        <w:tc>
          <w:tcPr>
            <w:tcW w:w="51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Remainder of 2017</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688</w:t>
            </w:r>
          </w:p>
        </w:tc>
      </w:tr>
      <w:tr>
        <w:trPr>
          <w:trHeight w:val="243"/>
        </w:trPr>
        <w:tc>
          <w:tcPr>
            <w:tcW w:w="900" w:type="dxa"/>
            <w:vAlign w:val="bottom"/>
            <w:gridSpan w:val="2"/>
          </w:tcPr>
          <w:p>
            <w:pPr>
              <w:ind w:left="40"/>
              <w:spacing w:after="0"/>
              <w:rPr>
                <w:sz w:val="20"/>
                <w:szCs w:val="20"/>
                <w:color w:val="auto"/>
              </w:rPr>
            </w:pPr>
            <w:r>
              <w:rPr>
                <w:rFonts w:ascii="Arial" w:cs="Arial" w:eastAsia="Arial" w:hAnsi="Arial"/>
                <w:sz w:val="18"/>
                <w:szCs w:val="18"/>
                <w:color w:val="auto"/>
              </w:rPr>
              <w:t>2018</w:t>
            </w:r>
          </w:p>
        </w:tc>
        <w:tc>
          <w:tcPr>
            <w:tcW w:w="4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2,750</w:t>
            </w: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428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2,750</w:t>
            </w:r>
          </w:p>
        </w:tc>
      </w:tr>
      <w:tr>
        <w:trPr>
          <w:trHeight w:val="243"/>
        </w:trPr>
        <w:tc>
          <w:tcPr>
            <w:tcW w:w="900" w:type="dxa"/>
            <w:vAlign w:val="bottom"/>
            <w:gridSpan w:val="2"/>
          </w:tcPr>
          <w:p>
            <w:pPr>
              <w:ind w:left="40"/>
              <w:spacing w:after="0"/>
              <w:rPr>
                <w:sz w:val="20"/>
                <w:szCs w:val="20"/>
                <w:color w:val="auto"/>
              </w:rPr>
            </w:pPr>
            <w:r>
              <w:rPr>
                <w:rFonts w:ascii="Arial" w:cs="Arial" w:eastAsia="Arial" w:hAnsi="Arial"/>
                <w:sz w:val="18"/>
                <w:szCs w:val="18"/>
                <w:color w:val="auto"/>
              </w:rPr>
              <w:t>2020</w:t>
            </w:r>
          </w:p>
        </w:tc>
        <w:tc>
          <w:tcPr>
            <w:tcW w:w="4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2,750</w:t>
            </w: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9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428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2,750</w:t>
            </w:r>
          </w:p>
        </w:tc>
      </w:tr>
      <w:tr>
        <w:trPr>
          <w:trHeight w:val="243"/>
        </w:trPr>
        <w:tc>
          <w:tcPr>
            <w:tcW w:w="900" w:type="dxa"/>
            <w:vAlign w:val="bottom"/>
            <w:gridSpan w:val="2"/>
          </w:tcPr>
          <w:p>
            <w:pPr>
              <w:ind w:left="40"/>
              <w:spacing w:after="0"/>
              <w:rPr>
                <w:sz w:val="20"/>
                <w:szCs w:val="20"/>
                <w:color w:val="auto"/>
              </w:rPr>
            </w:pPr>
            <w:r>
              <w:rPr>
                <w:rFonts w:ascii="Arial" w:cs="Arial" w:eastAsia="Arial" w:hAnsi="Arial"/>
                <w:sz w:val="18"/>
                <w:szCs w:val="18"/>
                <w:color w:val="auto"/>
              </w:rPr>
              <w:t>2022</w:t>
            </w:r>
          </w:p>
        </w:tc>
        <w:tc>
          <w:tcPr>
            <w:tcW w:w="4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1"/>
              <w:spacing w:after="0"/>
              <w:rPr>
                <w:sz w:val="20"/>
                <w:szCs w:val="20"/>
                <w:color w:val="auto"/>
              </w:rPr>
            </w:pPr>
            <w:r>
              <w:rPr>
                <w:rFonts w:ascii="Arial" w:cs="Arial" w:eastAsia="Arial" w:hAnsi="Arial"/>
                <w:sz w:val="18"/>
                <w:szCs w:val="18"/>
                <w:color w:val="auto"/>
              </w:rPr>
              <w:t>261,937</w:t>
            </w:r>
          </w:p>
        </w:tc>
      </w:tr>
      <w:tr>
        <w:trPr>
          <w:trHeight w:val="27"/>
        </w:trPr>
        <w:tc>
          <w:tcPr>
            <w:tcW w:w="40" w:type="dxa"/>
            <w:vAlign w:val="bottom"/>
            <w:tcBorders>
              <w:bottom w:val="single" w:sz="8" w:color="CCEEFF"/>
            </w:tcBorders>
          </w:tcPr>
          <w:p>
            <w:pPr>
              <w:spacing w:after="0"/>
              <w:rPr>
                <w:sz w:val="2"/>
                <w:szCs w:val="2"/>
                <w:color w:val="auto"/>
              </w:rPr>
            </w:pPr>
          </w:p>
        </w:tc>
        <w:tc>
          <w:tcPr>
            <w:tcW w:w="860" w:type="dxa"/>
            <w:vAlign w:val="bottom"/>
            <w:tcBorders>
              <w:bottom w:val="single" w:sz="8" w:color="CCEEFF"/>
            </w:tcBorders>
          </w:tcPr>
          <w:p>
            <w:pPr>
              <w:spacing w:after="0"/>
              <w:rPr>
                <w:sz w:val="2"/>
                <w:szCs w:val="2"/>
                <w:color w:val="auto"/>
              </w:rPr>
            </w:pPr>
          </w:p>
        </w:tc>
        <w:tc>
          <w:tcPr>
            <w:tcW w:w="42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40" w:type="dxa"/>
            <w:vAlign w:val="bottom"/>
            <w:tcBorders>
              <w:bottom w:val="single" w:sz="8" w:color="CCEEFF"/>
            </w:tcBorders>
            <w:shd w:val="clear" w:color="auto" w:fill="CCEEFF"/>
          </w:tcPr>
          <w:p>
            <w:pPr>
              <w:spacing w:after="0"/>
              <w:rPr>
                <w:sz w:val="21"/>
                <w:szCs w:val="21"/>
                <w:color w:val="auto"/>
              </w:rPr>
            </w:pPr>
          </w:p>
        </w:tc>
        <w:tc>
          <w:tcPr>
            <w:tcW w:w="514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8"/>
                <w:szCs w:val="18"/>
                <w:color w:val="auto"/>
              </w:rPr>
              <w:t>Total principal outstanding</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273,625</w:t>
            </w:r>
          </w:p>
        </w:tc>
      </w:tr>
      <w:tr>
        <w:trPr>
          <w:trHeight w:val="243"/>
        </w:trPr>
        <w:tc>
          <w:tcPr>
            <w:tcW w:w="40" w:type="dxa"/>
            <w:vAlign w:val="bottom"/>
          </w:tcPr>
          <w:p>
            <w:pPr>
              <w:spacing w:after="0"/>
              <w:rPr>
                <w:sz w:val="21"/>
                <w:szCs w:val="21"/>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Unamortized debt discount</w:t>
            </w:r>
          </w:p>
        </w:tc>
        <w:tc>
          <w:tcPr>
            <w:tcW w:w="2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(2,273)</w:t>
            </w: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51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Unamortized debt issuance costs</w:t>
            </w:r>
          </w:p>
        </w:tc>
        <w:tc>
          <w:tcPr>
            <w:tcW w:w="2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(3,079)</w:t>
            </w:r>
          </w:p>
        </w:tc>
      </w:tr>
      <w:tr>
        <w:trPr>
          <w:trHeight w:val="237"/>
        </w:trPr>
        <w:tc>
          <w:tcPr>
            <w:tcW w:w="40" w:type="dxa"/>
            <w:vAlign w:val="bottom"/>
          </w:tcPr>
          <w:p>
            <w:pPr>
              <w:spacing w:after="0"/>
              <w:rPr>
                <w:sz w:val="20"/>
                <w:szCs w:val="20"/>
                <w:color w:val="auto"/>
              </w:rPr>
            </w:pPr>
          </w:p>
        </w:tc>
        <w:tc>
          <w:tcPr>
            <w:tcW w:w="5140" w:type="dxa"/>
            <w:vAlign w:val="bottom"/>
            <w:gridSpan w:val="2"/>
          </w:tcPr>
          <w:p>
            <w:pPr>
              <w:ind w:left="120"/>
              <w:spacing w:after="0"/>
              <w:rPr>
                <w:sz w:val="20"/>
                <w:szCs w:val="20"/>
                <w:color w:val="auto"/>
              </w:rPr>
            </w:pPr>
            <w:r>
              <w:rPr>
                <w:rFonts w:ascii="Arial" w:cs="Arial" w:eastAsia="Arial" w:hAnsi="Arial"/>
                <w:sz w:val="18"/>
                <w:szCs w:val="18"/>
                <w:color w:val="auto"/>
              </w:rPr>
              <w:t>Total</w:t>
            </w:r>
          </w:p>
        </w:tc>
        <w:tc>
          <w:tcPr>
            <w:tcW w:w="24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268,273</w:t>
            </w: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51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Less: current portion</w:t>
            </w:r>
          </w:p>
        </w:tc>
        <w:tc>
          <w:tcPr>
            <w:tcW w:w="2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(2,750)</w:t>
            </w:r>
          </w:p>
        </w:tc>
      </w:tr>
      <w:tr>
        <w:trPr>
          <w:trHeight w:val="237"/>
        </w:trPr>
        <w:tc>
          <w:tcPr>
            <w:tcW w:w="40" w:type="dxa"/>
            <w:vAlign w:val="bottom"/>
          </w:tcPr>
          <w:p>
            <w:pPr>
              <w:spacing w:after="0"/>
              <w:rPr>
                <w:sz w:val="20"/>
                <w:szCs w:val="20"/>
                <w:color w:val="auto"/>
              </w:rPr>
            </w:pPr>
          </w:p>
        </w:tc>
        <w:tc>
          <w:tcPr>
            <w:tcW w:w="5140" w:type="dxa"/>
            <w:vAlign w:val="bottom"/>
            <w:gridSpan w:val="2"/>
          </w:tcPr>
          <w:p>
            <w:pPr>
              <w:ind w:left="120"/>
              <w:spacing w:after="0"/>
              <w:rPr>
                <w:sz w:val="20"/>
                <w:szCs w:val="20"/>
                <w:color w:val="auto"/>
              </w:rPr>
            </w:pPr>
            <w:r>
              <w:rPr>
                <w:rFonts w:ascii="Arial" w:cs="Arial" w:eastAsia="Arial" w:hAnsi="Arial"/>
                <w:sz w:val="18"/>
                <w:szCs w:val="18"/>
                <w:color w:val="auto"/>
              </w:rPr>
              <w:t>Total long-term debt</w:t>
            </w: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265,523</w:t>
            </w:r>
          </w:p>
        </w:tc>
      </w:tr>
      <w:tr>
        <w:trPr>
          <w:trHeight w:val="27"/>
        </w:trPr>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0"/>
        </w:trPr>
        <w:tc>
          <w:tcPr>
            <w:tcW w:w="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2017 Revolving Facility</w:t>
      </w:r>
    </w:p>
    <w:p>
      <w:pPr>
        <w:spacing w:after="0" w:line="117" w:lineRule="exact"/>
        <w:rPr>
          <w:sz w:val="20"/>
          <w:szCs w:val="20"/>
          <w:color w:val="auto"/>
        </w:rPr>
      </w:pPr>
    </w:p>
    <w:p>
      <w:pPr>
        <w:ind w:right="140" w:firstLine="405"/>
        <w:spacing w:after="0" w:line="257" w:lineRule="auto"/>
        <w:rPr>
          <w:sz w:val="20"/>
          <w:szCs w:val="20"/>
          <w:color w:val="auto"/>
        </w:rPr>
      </w:pPr>
      <w:r>
        <w:rPr>
          <w:rFonts w:ascii="Arial" w:cs="Arial" w:eastAsia="Arial" w:hAnsi="Arial"/>
          <w:sz w:val="18"/>
          <w:szCs w:val="18"/>
          <w:color w:val="auto"/>
        </w:rPr>
        <w:t>Under the terms of the 2017 Revolving Facility, the lenders thereunder agreed to extend credit to the Company from time to time until March 30, 2022 (the “Revolving Termination Date”) consisting of revolving loans (the “Revolving Loans” and, together with the Term Loans, the “Loans”) in an aggregate principal amount not to exceed $75.0 million (the “Revolving Commitment”) at any time outstanding. The 2017 Revolving Facility includes a $20.0 million sub-facility for the issuance of letters of credit (the “Letters of Credit”). The Letters of Credit and the borrowings under the 2017 Revolving Facility are expected to be used for working capital and other general corporate purposes.</w:t>
      </w:r>
    </w:p>
    <w:p>
      <w:pPr>
        <w:spacing w:after="0" w:line="202"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Revolving Loans under the 2017 Revolving Facility bear interest, with pricing based from time to time at the Company’s election at (i) LIBOR plus a spread of 3.50% or (ii) the Base Rate (as defined in the Credit Agreement) plus a spread of 2.50%. The 2017 Revolving Facility also includes an unused line fee, which is set at 0.375% while the Company’s secured leverage ratio (as defined in the Credit Agreement) is greater than 3.00 to 1.00 and 0.25% when the Company’s secured leverage ratio is less than or equal to 3.00 to 1.00.</w:t>
      </w:r>
    </w:p>
    <w:p>
      <w:pPr>
        <w:spacing w:after="0" w:line="200" w:lineRule="exact"/>
        <w:rPr>
          <w:sz w:val="20"/>
          <w:szCs w:val="20"/>
          <w:color w:val="auto"/>
        </w:rPr>
      </w:pPr>
    </w:p>
    <w:p>
      <w:pPr>
        <w:ind w:right="200" w:firstLine="405"/>
        <w:spacing w:after="0" w:line="259" w:lineRule="auto"/>
        <w:rPr>
          <w:sz w:val="20"/>
          <w:szCs w:val="20"/>
          <w:color w:val="auto"/>
        </w:rPr>
      </w:pPr>
      <w:r>
        <w:rPr>
          <w:rFonts w:ascii="Arial" w:cs="Arial" w:eastAsia="Arial" w:hAnsi="Arial"/>
          <w:sz w:val="18"/>
          <w:szCs w:val="18"/>
          <w:color w:val="auto"/>
        </w:rPr>
        <w:t>The Company is permitted to voluntarily prepay the Revolving Loans, in whole or in part, or reduce or terminate the Revolving Commitment, in each case, without premium or penalty. On any business day on which the total amount of outstanding Revolving Loans and Letters of Credit exceeds the total Revolving Commitment, the Company must prepay the Revolving Loans in an amount equal to such excess. As of September 30, 2017, there were no outstanding borrowings under the 2017 Revolving Facility.</w:t>
      </w:r>
    </w:p>
    <w:p>
      <w:pPr>
        <w:spacing w:after="0" w:line="200" w:lineRule="exact"/>
        <w:rPr>
          <w:sz w:val="20"/>
          <w:szCs w:val="20"/>
          <w:color w:val="auto"/>
        </w:rPr>
      </w:pPr>
    </w:p>
    <w:p>
      <w:pPr>
        <w:spacing w:after="0" w:line="244" w:lineRule="exact"/>
        <w:rPr>
          <w:sz w:val="20"/>
          <w:szCs w:val="20"/>
          <w:color w:val="auto"/>
        </w:rPr>
      </w:pPr>
    </w:p>
    <w:p>
      <w:pPr>
        <w:jc w:val="center"/>
        <w:ind w:left="40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121" w:right="25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2017 Facility Covenants</w:t>
      </w:r>
    </w:p>
    <w:p>
      <w:pPr>
        <w:spacing w:after="0" w:line="117" w:lineRule="exact"/>
        <w:rPr>
          <w:sz w:val="20"/>
          <w:szCs w:val="20"/>
          <w:color w:val="auto"/>
        </w:rPr>
      </w:pPr>
    </w:p>
    <w:p>
      <w:pPr>
        <w:ind w:right="460" w:firstLine="405"/>
        <w:spacing w:after="0" w:line="286" w:lineRule="auto"/>
        <w:rPr>
          <w:sz w:val="20"/>
          <w:szCs w:val="20"/>
          <w:color w:val="auto"/>
        </w:rPr>
      </w:pPr>
      <w:r>
        <w:rPr>
          <w:rFonts w:ascii="Arial" w:cs="Arial" w:eastAsia="Arial" w:hAnsi="Arial"/>
          <w:sz w:val="17"/>
          <w:szCs w:val="17"/>
          <w:color w:val="auto"/>
        </w:rPr>
        <w:t>The 2017 Facility contains a number of affirmative, negative, reporting and financial covenants, in each case subject to certain exceptions and materiality thresholds. The 2017 Facility requires the Company to be in quarterly compliance, measured on a trailing four quarter basis, with a financial covenant. The maximum consolidated leverage ratio permitted by the financial covenant is displayed in the table below:</w:t>
      </w:r>
    </w:p>
    <w:p>
      <w:pPr>
        <w:spacing w:after="0" w:line="175" w:lineRule="exact"/>
        <w:rPr>
          <w:sz w:val="20"/>
          <w:szCs w:val="20"/>
          <w:color w:val="auto"/>
        </w:rPr>
      </w:pPr>
    </w:p>
    <w:p>
      <w:pPr>
        <w:jc w:val="center"/>
        <w:ind w:left="420"/>
        <w:spacing w:after="0"/>
        <w:rPr>
          <w:sz w:val="20"/>
          <w:szCs w:val="20"/>
          <w:color w:val="auto"/>
        </w:rPr>
      </w:pPr>
      <w:r>
        <w:rPr>
          <w:rFonts w:ascii="Arial" w:cs="Arial" w:eastAsia="Arial" w:hAnsi="Arial"/>
          <w:sz w:val="18"/>
          <w:szCs w:val="18"/>
          <w:b w:val="1"/>
          <w:bCs w:val="1"/>
          <w:color w:val="auto"/>
        </w:rPr>
        <w:t>2017 Facility Financial Covenant</w:t>
      </w:r>
    </w:p>
    <w:p>
      <w:pPr>
        <w:spacing w:after="0" w:line="384" w:lineRule="exact"/>
        <w:rPr>
          <w:sz w:val="20"/>
          <w:szCs w:val="20"/>
          <w:color w:val="auto"/>
        </w:rPr>
      </w:pPr>
    </w:p>
    <w:tbl>
      <w:tblPr>
        <w:tblLayout w:type="fixed"/>
        <w:tblInd w:w="2740" w:type="dxa"/>
        <w:tblCellMar>
          <w:top w:w="0" w:type="dxa"/>
          <w:left w:w="0" w:type="dxa"/>
          <w:bottom w:w="0" w:type="dxa"/>
          <w:right w:w="0" w:type="dxa"/>
        </w:tblCellMar>
      </w:tblPr>
      <w:tr>
        <w:trPr>
          <w:trHeight w:val="161"/>
        </w:trPr>
        <w:tc>
          <w:tcPr>
            <w:tcW w:w="3680" w:type="dxa"/>
            <w:vAlign w:val="bottom"/>
            <w:vMerge w:val="restart"/>
          </w:tcPr>
          <w:p>
            <w:pPr>
              <w:ind w:left="2120"/>
              <w:spacing w:after="0"/>
              <w:rPr>
                <w:sz w:val="20"/>
                <w:szCs w:val="20"/>
                <w:color w:val="auto"/>
              </w:rPr>
            </w:pPr>
            <w:r>
              <w:rPr>
                <w:rFonts w:ascii="Arial" w:cs="Arial" w:eastAsia="Arial" w:hAnsi="Arial"/>
                <w:sz w:val="14"/>
                <w:szCs w:val="14"/>
                <w:b w:val="1"/>
                <w:bCs w:val="1"/>
                <w:color w:val="auto"/>
              </w:rPr>
              <w:t>Period</w:t>
            </w:r>
          </w:p>
        </w:tc>
        <w:tc>
          <w:tcPr>
            <w:tcW w:w="2280" w:type="dxa"/>
            <w:vAlign w:val="bottom"/>
          </w:tcPr>
          <w:p>
            <w:pPr>
              <w:jc w:val="center"/>
              <w:ind w:left="877"/>
              <w:spacing w:after="0"/>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92"/>
        </w:trPr>
        <w:tc>
          <w:tcPr>
            <w:tcW w:w="3680" w:type="dxa"/>
            <w:vAlign w:val="bottom"/>
            <w:tcBorders>
              <w:bottom w:val="single" w:sz="8" w:color="auto"/>
            </w:tcBorders>
            <w:vMerge w:val="continue"/>
          </w:tcPr>
          <w:p>
            <w:pPr>
              <w:spacing w:after="0"/>
              <w:rPr>
                <w:sz w:val="16"/>
                <w:szCs w:val="16"/>
                <w:color w:val="auto"/>
              </w:rPr>
            </w:pPr>
          </w:p>
        </w:tc>
        <w:tc>
          <w:tcPr>
            <w:tcW w:w="2280" w:type="dxa"/>
            <w:vAlign w:val="bottom"/>
            <w:tcBorders>
              <w:bottom w:val="single" w:sz="8" w:color="auto"/>
            </w:tcBorders>
          </w:tcPr>
          <w:p>
            <w:pPr>
              <w:jc w:val="center"/>
              <w:ind w:left="897"/>
              <w:spacing w:after="0"/>
              <w:rPr>
                <w:sz w:val="20"/>
                <w:szCs w:val="20"/>
                <w:color w:val="auto"/>
              </w:rPr>
            </w:pPr>
            <w:r>
              <w:rPr>
                <w:rFonts w:ascii="Arial" w:cs="Arial" w:eastAsia="Arial" w:hAnsi="Arial"/>
                <w:sz w:val="14"/>
                <w:szCs w:val="14"/>
                <w:b w:val="1"/>
                <w:bCs w:val="1"/>
                <w:color w:val="auto"/>
                <w:w w:val="93"/>
              </w:rPr>
              <w:t>Leverage Ratio</w:t>
            </w:r>
          </w:p>
        </w:tc>
        <w:tc>
          <w:tcPr>
            <w:tcW w:w="0" w:type="dxa"/>
            <w:vAlign w:val="bottom"/>
          </w:tcPr>
          <w:p>
            <w:pPr>
              <w:spacing w:after="0"/>
              <w:rPr>
                <w:sz w:val="1"/>
                <w:szCs w:val="1"/>
                <w:color w:val="auto"/>
              </w:rPr>
            </w:pPr>
          </w:p>
        </w:tc>
      </w:tr>
      <w:tr>
        <w:trPr>
          <w:trHeight w:val="250"/>
        </w:trPr>
        <w:tc>
          <w:tcPr>
            <w:tcW w:w="3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Q3 2017 through Q1 2018</w:t>
            </w:r>
          </w:p>
        </w:tc>
        <w:tc>
          <w:tcPr>
            <w:tcW w:w="2280" w:type="dxa"/>
            <w:vAlign w:val="bottom"/>
            <w:tcBorders>
              <w:bottom w:val="single" w:sz="8" w:color="CCEEFF"/>
            </w:tcBorders>
            <w:shd w:val="clear" w:color="auto" w:fill="CCEEFF"/>
          </w:tcPr>
          <w:p>
            <w:pPr>
              <w:jc w:val="center"/>
              <w:ind w:left="897"/>
              <w:spacing w:after="0"/>
              <w:rPr>
                <w:sz w:val="20"/>
                <w:szCs w:val="20"/>
                <w:color w:val="auto"/>
              </w:rPr>
            </w:pPr>
            <w:r>
              <w:rPr>
                <w:rFonts w:ascii="Arial" w:cs="Arial" w:eastAsia="Arial" w:hAnsi="Arial"/>
                <w:sz w:val="18"/>
                <w:szCs w:val="18"/>
                <w:color w:val="auto"/>
                <w:w w:val="90"/>
              </w:rPr>
              <w:t>5.00 to 1.00</w:t>
            </w:r>
          </w:p>
        </w:tc>
        <w:tc>
          <w:tcPr>
            <w:tcW w:w="0" w:type="dxa"/>
            <w:vAlign w:val="bottom"/>
          </w:tcPr>
          <w:p>
            <w:pPr>
              <w:spacing w:after="0"/>
              <w:rPr>
                <w:sz w:val="1"/>
                <w:szCs w:val="1"/>
                <w:color w:val="auto"/>
              </w:rPr>
            </w:pPr>
          </w:p>
        </w:tc>
      </w:tr>
      <w:tr>
        <w:trPr>
          <w:trHeight w:val="243"/>
        </w:trPr>
        <w:tc>
          <w:tcPr>
            <w:tcW w:w="3680" w:type="dxa"/>
            <w:vAlign w:val="bottom"/>
          </w:tcPr>
          <w:p>
            <w:pPr>
              <w:ind w:left="20"/>
              <w:spacing w:after="0"/>
              <w:rPr>
                <w:sz w:val="20"/>
                <w:szCs w:val="20"/>
                <w:color w:val="auto"/>
              </w:rPr>
            </w:pPr>
            <w:r>
              <w:rPr>
                <w:rFonts w:ascii="Arial" w:cs="Arial" w:eastAsia="Arial" w:hAnsi="Arial"/>
                <w:sz w:val="18"/>
                <w:szCs w:val="18"/>
                <w:color w:val="auto"/>
              </w:rPr>
              <w:t>Q2 2018 through Q1 2019</w:t>
            </w:r>
          </w:p>
        </w:tc>
        <w:tc>
          <w:tcPr>
            <w:tcW w:w="2280" w:type="dxa"/>
            <w:vAlign w:val="bottom"/>
          </w:tcPr>
          <w:p>
            <w:pPr>
              <w:jc w:val="center"/>
              <w:ind w:left="897"/>
              <w:spacing w:after="0"/>
              <w:rPr>
                <w:sz w:val="20"/>
                <w:szCs w:val="20"/>
                <w:color w:val="auto"/>
              </w:rPr>
            </w:pPr>
            <w:r>
              <w:rPr>
                <w:rFonts w:ascii="Arial" w:cs="Arial" w:eastAsia="Arial" w:hAnsi="Arial"/>
                <w:sz w:val="18"/>
                <w:szCs w:val="18"/>
                <w:color w:val="auto"/>
                <w:w w:val="90"/>
              </w:rPr>
              <w:t>4.75 to 1.00</w:t>
            </w:r>
          </w:p>
        </w:tc>
        <w:tc>
          <w:tcPr>
            <w:tcW w:w="0" w:type="dxa"/>
            <w:vAlign w:val="bottom"/>
          </w:tcPr>
          <w:p>
            <w:pPr>
              <w:spacing w:after="0"/>
              <w:rPr>
                <w:sz w:val="1"/>
                <w:szCs w:val="1"/>
                <w:color w:val="auto"/>
              </w:rPr>
            </w:pPr>
          </w:p>
        </w:tc>
      </w:tr>
      <w:tr>
        <w:trPr>
          <w:trHeight w:val="27"/>
        </w:trPr>
        <w:tc>
          <w:tcPr>
            <w:tcW w:w="3680" w:type="dxa"/>
            <w:vAlign w:val="bottom"/>
          </w:tcPr>
          <w:p>
            <w:pPr>
              <w:spacing w:after="0"/>
              <w:rPr>
                <w:sz w:val="2"/>
                <w:szCs w:val="2"/>
                <w:color w:val="auto"/>
              </w:rPr>
            </w:pPr>
          </w:p>
        </w:tc>
        <w:tc>
          <w:tcPr>
            <w:tcW w:w="2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3680" w:type="dxa"/>
            <w:vAlign w:val="bottom"/>
            <w:shd w:val="clear" w:color="auto" w:fill="CCEEFF"/>
          </w:tcPr>
          <w:p>
            <w:pPr>
              <w:ind w:left="20"/>
              <w:spacing w:after="0"/>
              <w:rPr>
                <w:sz w:val="20"/>
                <w:szCs w:val="20"/>
                <w:color w:val="auto"/>
              </w:rPr>
            </w:pPr>
            <w:r>
              <w:rPr>
                <w:rFonts w:ascii="Arial" w:cs="Arial" w:eastAsia="Arial" w:hAnsi="Arial"/>
                <w:sz w:val="18"/>
                <w:szCs w:val="18"/>
                <w:color w:val="auto"/>
              </w:rPr>
              <w:t>Thereafter</w:t>
            </w:r>
          </w:p>
        </w:tc>
        <w:tc>
          <w:tcPr>
            <w:tcW w:w="2280" w:type="dxa"/>
            <w:vAlign w:val="bottom"/>
            <w:shd w:val="clear" w:color="auto" w:fill="CCEEFF"/>
          </w:tcPr>
          <w:p>
            <w:pPr>
              <w:jc w:val="center"/>
              <w:ind w:left="897"/>
              <w:spacing w:after="0"/>
              <w:rPr>
                <w:sz w:val="20"/>
                <w:szCs w:val="20"/>
                <w:color w:val="auto"/>
              </w:rPr>
            </w:pPr>
            <w:r>
              <w:rPr>
                <w:rFonts w:ascii="Arial" w:cs="Arial" w:eastAsia="Arial" w:hAnsi="Arial"/>
                <w:sz w:val="18"/>
                <w:szCs w:val="18"/>
                <w:color w:val="auto"/>
                <w:w w:val="90"/>
              </w:rPr>
              <w:t>4.50 to 1.00</w:t>
            </w:r>
          </w:p>
        </w:tc>
        <w:tc>
          <w:tcPr>
            <w:tcW w:w="0" w:type="dxa"/>
            <w:vAlign w:val="bottom"/>
          </w:tcPr>
          <w:p>
            <w:pPr>
              <w:spacing w:after="0"/>
              <w:rPr>
                <w:sz w:val="1"/>
                <w:szCs w:val="1"/>
                <w:color w:val="auto"/>
              </w:rPr>
            </w:pPr>
          </w:p>
        </w:tc>
      </w:tr>
      <w:tr>
        <w:trPr>
          <w:trHeight w:val="27"/>
        </w:trPr>
        <w:tc>
          <w:tcPr>
            <w:tcW w:w="3680" w:type="dxa"/>
            <w:vAlign w:val="bottom"/>
            <w:shd w:val="clear" w:color="auto" w:fill="CCEEFF"/>
          </w:tcPr>
          <w:p>
            <w:pPr>
              <w:spacing w:after="0"/>
              <w:rPr>
                <w:sz w:val="2"/>
                <w:szCs w:val="2"/>
                <w:color w:val="auto"/>
              </w:rPr>
            </w:pPr>
          </w:p>
        </w:tc>
        <w:tc>
          <w:tcPr>
            <w:tcW w:w="22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2017 Facility contains usual and customary restrictions on the ability of the Company and its subsidiaries to: (i) incur additional indebtedness</w:t>
      </w:r>
    </w:p>
    <w:p>
      <w:pPr>
        <w:spacing w:after="0" w:line="35" w:lineRule="exact"/>
        <w:rPr>
          <w:sz w:val="20"/>
          <w:szCs w:val="20"/>
          <w:color w:val="auto"/>
        </w:rPr>
      </w:pPr>
    </w:p>
    <w:p>
      <w:pPr>
        <w:ind w:right="600" w:firstLine="8"/>
        <w:spacing w:after="0" w:line="255" w:lineRule="auto"/>
        <w:tabs>
          <w:tab w:leader="none" w:pos="265" w:val="left"/>
        </w:tabs>
        <w:numPr>
          <w:ilvl w:val="0"/>
          <w:numId w:val="4"/>
        </w:numPr>
        <w:rPr>
          <w:rFonts w:ascii="Arial" w:cs="Arial" w:eastAsia="Arial" w:hAnsi="Arial"/>
          <w:sz w:val="18"/>
          <w:szCs w:val="18"/>
          <w:color w:val="auto"/>
        </w:rPr>
      </w:pPr>
      <w:r>
        <w:rPr>
          <w:rFonts w:ascii="Arial" w:cs="Arial" w:eastAsia="Arial" w:hAnsi="Arial"/>
          <w:sz w:val="18"/>
          <w:szCs w:val="18"/>
          <w:color w:val="auto"/>
        </w:rPr>
        <w:t>create liens; (iii) consolidate, merge, sell or otherwise dispose of all or substantially all of its assets; (iv) sell certain assets; (v) pay dividends on, repurchase or make distributions in respect of capital stock or make other restricted payments; (vi) make certain investments; (vii) repay subordinated indebtedness prior to stated maturity; and (viii) enter into certain transactions with its affiliates.</w:t>
      </w:r>
    </w:p>
    <w:p>
      <w:pPr>
        <w:spacing w:after="0" w:line="204"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Upon an event of default, the administrative agent under the Credit Agreement will have the right to declare the Loans and other obligations outstanding immediately due and payable and all commitments immediately terminated or reduced.</w:t>
      </w:r>
    </w:p>
    <w:p>
      <w:pPr>
        <w:spacing w:after="0" w:line="184" w:lineRule="exact"/>
        <w:rPr>
          <w:sz w:val="20"/>
          <w:szCs w:val="20"/>
          <w:color w:val="auto"/>
        </w:rPr>
      </w:pPr>
    </w:p>
    <w:p>
      <w:pPr>
        <w:ind w:right="380" w:firstLine="405"/>
        <w:spacing w:after="0" w:line="264" w:lineRule="auto"/>
        <w:rPr>
          <w:sz w:val="20"/>
          <w:szCs w:val="20"/>
          <w:color w:val="auto"/>
        </w:rPr>
      </w:pPr>
      <w:r>
        <w:rPr>
          <w:rFonts w:ascii="Arial" w:cs="Arial" w:eastAsia="Arial" w:hAnsi="Arial"/>
          <w:sz w:val="18"/>
          <w:szCs w:val="18"/>
          <w:color w:val="auto"/>
        </w:rPr>
        <w:t>The 2017 Facility is guaranteed by Holdings and Lantheus MI Real Estate, LLC (“LMI-RE”), and obligations under the 2017 Facility are generally secured by first priority liens over substantially all of the assets of each of LMI, Holdings and LMI-RE (subject to customary exclusions set forth in the transaction documents) owned as of March 30, 2017 or thereafter acquired.</w:t>
      </w:r>
    </w:p>
    <w:p>
      <w:pPr>
        <w:spacing w:after="0" w:line="3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Stock-Based Compensation</w:t>
      </w:r>
    </w:p>
    <w:p>
      <w:pPr>
        <w:spacing w:after="0" w:line="121" w:lineRule="exact"/>
        <w:rPr>
          <w:sz w:val="20"/>
          <w:szCs w:val="20"/>
          <w:color w:val="auto"/>
        </w:rPr>
      </w:pPr>
    </w:p>
    <w:p>
      <w:pPr>
        <w:ind w:right="360" w:firstLine="405"/>
        <w:spacing w:after="0" w:line="277" w:lineRule="auto"/>
        <w:rPr>
          <w:sz w:val="20"/>
          <w:szCs w:val="20"/>
          <w:color w:val="auto"/>
        </w:rPr>
      </w:pPr>
      <w:r>
        <w:rPr>
          <w:rFonts w:ascii="Arial" w:cs="Arial" w:eastAsia="Arial" w:hAnsi="Arial"/>
          <w:sz w:val="18"/>
          <w:szCs w:val="18"/>
          <w:color w:val="auto"/>
        </w:rPr>
        <w:t>The following table presents stock-based compensation expense recognized in the Company’s accompanying condensed consolidated statements of operations:</w:t>
      </w:r>
    </w:p>
    <w:p>
      <w:pPr>
        <w:spacing w:after="0" w:line="200" w:lineRule="exact"/>
        <w:rPr>
          <w:sz w:val="20"/>
          <w:szCs w:val="20"/>
          <w:color w:val="auto"/>
        </w:rPr>
      </w:pPr>
    </w:p>
    <w:p>
      <w:pPr>
        <w:spacing w:after="0" w:line="34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56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94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3"/>
              </w:rPr>
              <w:t>Three Months Ended</w:t>
            </w:r>
          </w:p>
        </w:tc>
        <w:tc>
          <w:tcPr>
            <w:tcW w:w="240" w:type="dxa"/>
            <w:vAlign w:val="bottom"/>
          </w:tcPr>
          <w:p>
            <w:pPr>
              <w:spacing w:after="0"/>
              <w:rPr>
                <w:sz w:val="14"/>
                <w:szCs w:val="14"/>
                <w:color w:val="auto"/>
              </w:rPr>
            </w:pPr>
          </w:p>
        </w:tc>
        <w:tc>
          <w:tcPr>
            <w:tcW w:w="1840" w:type="dxa"/>
            <w:vAlign w:val="bottom"/>
            <w:gridSpan w:val="4"/>
          </w:tcPr>
          <w:p>
            <w:pPr>
              <w:jc w:val="right"/>
              <w:ind w:right="313"/>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56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94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1"/>
              </w:rPr>
              <w:t>September 30,</w:t>
            </w:r>
          </w:p>
        </w:tc>
        <w:tc>
          <w:tcPr>
            <w:tcW w:w="240" w:type="dxa"/>
            <w:vAlign w:val="bottom"/>
          </w:tcPr>
          <w:p>
            <w:pPr>
              <w:spacing w:after="0"/>
              <w:rPr>
                <w:sz w:val="16"/>
                <w:szCs w:val="16"/>
                <w:color w:val="auto"/>
              </w:rPr>
            </w:pPr>
          </w:p>
        </w:tc>
        <w:tc>
          <w:tcPr>
            <w:tcW w:w="1840" w:type="dxa"/>
            <w:vAlign w:val="bottom"/>
            <w:gridSpan w:val="4"/>
          </w:tcPr>
          <w:p>
            <w:pPr>
              <w:jc w:val="right"/>
              <w:ind w:right="493"/>
              <w:spacing w:after="0"/>
              <w:rPr>
                <w:sz w:val="20"/>
                <w:szCs w:val="20"/>
                <w:color w:val="auto"/>
              </w:rPr>
            </w:pPr>
            <w:r>
              <w:rPr>
                <w:rFonts w:ascii="Arial" w:cs="Arial" w:eastAsia="Arial" w:hAnsi="Arial"/>
                <w:sz w:val="14"/>
                <w:szCs w:val="14"/>
                <w:b w:val="1"/>
                <w:bCs w:val="1"/>
                <w:color w:val="auto"/>
              </w:rPr>
              <w:t>September 30,</w:t>
            </w:r>
          </w:p>
        </w:tc>
      </w:tr>
      <w:tr>
        <w:trPr>
          <w:trHeight w:val="229"/>
        </w:trPr>
        <w:tc>
          <w:tcPr>
            <w:tcW w:w="6560" w:type="dxa"/>
            <w:vAlign w:val="bottom"/>
            <w:gridSpan w:val="3"/>
          </w:tcPr>
          <w:p>
            <w:pPr>
              <w:ind w:left="40"/>
              <w:spacing w:after="0"/>
              <w:rPr>
                <w:sz w:val="20"/>
                <w:szCs w:val="20"/>
                <w:color w:val="auto"/>
              </w:rPr>
            </w:pPr>
            <w:r>
              <w:rPr>
                <w:rFonts w:ascii="Arial" w:cs="Arial" w:eastAsia="Arial" w:hAnsi="Arial"/>
                <w:sz w:val="14"/>
                <w:szCs w:val="14"/>
                <w:b w:val="1"/>
                <w:bCs w:val="1"/>
                <w:color w:val="auto"/>
              </w:rPr>
              <w:t>(in thousands)</w:t>
            </w:r>
          </w:p>
        </w:tc>
        <w:tc>
          <w:tcPr>
            <w:tcW w:w="24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ind w:right="257"/>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ind w:right="273"/>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ind w:right="277"/>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2016</w:t>
            </w: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56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r>
        <w:trPr>
          <w:trHeight w:val="244"/>
        </w:trPr>
        <w:tc>
          <w:tcPr>
            <w:tcW w:w="656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Cost of goods sold</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198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514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259</w:t>
            </w:r>
          </w:p>
        </w:tc>
      </w:tr>
      <w:tr>
        <w:trPr>
          <w:trHeight w:val="243"/>
        </w:trPr>
        <w:tc>
          <w:tcPr>
            <w:tcW w:w="6560" w:type="dxa"/>
            <w:vAlign w:val="bottom"/>
            <w:gridSpan w:val="3"/>
          </w:tcPr>
          <w:p>
            <w:pPr>
              <w:ind w:left="40"/>
              <w:spacing w:after="0"/>
              <w:rPr>
                <w:sz w:val="20"/>
                <w:szCs w:val="20"/>
                <w:color w:val="auto"/>
              </w:rPr>
            </w:pPr>
            <w:r>
              <w:rPr>
                <w:rFonts w:ascii="Arial" w:cs="Arial" w:eastAsia="Arial" w:hAnsi="Arial"/>
                <w:sz w:val="18"/>
                <w:szCs w:val="18"/>
                <w:color w:val="auto"/>
              </w:rPr>
              <w:t>Sales and marketing</w:t>
            </w:r>
          </w:p>
        </w:tc>
        <w:tc>
          <w:tcPr>
            <w:tcW w:w="240" w:type="dxa"/>
            <w:vAlign w:val="bottom"/>
          </w:tcPr>
          <w:p>
            <w:pPr>
              <w:spacing w:after="0"/>
              <w:rPr>
                <w:sz w:val="21"/>
                <w:szCs w:val="21"/>
                <w:color w:val="auto"/>
              </w:rPr>
            </w:pPr>
          </w:p>
        </w:tc>
        <w:tc>
          <w:tcPr>
            <w:tcW w:w="740" w:type="dxa"/>
            <w:vAlign w:val="bottom"/>
          </w:tcPr>
          <w:p>
            <w:pPr>
              <w:jc w:val="right"/>
              <w:ind w:right="17"/>
              <w:spacing w:after="0"/>
              <w:rPr>
                <w:sz w:val="20"/>
                <w:szCs w:val="20"/>
                <w:color w:val="auto"/>
              </w:rPr>
            </w:pPr>
            <w:r>
              <w:rPr>
                <w:rFonts w:ascii="Arial" w:cs="Arial" w:eastAsia="Arial" w:hAnsi="Arial"/>
                <w:sz w:val="18"/>
                <w:szCs w:val="18"/>
                <w:color w:val="auto"/>
              </w:rPr>
              <w:t>183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123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jc w:val="right"/>
              <w:ind w:right="37"/>
              <w:spacing w:after="0"/>
              <w:rPr>
                <w:sz w:val="20"/>
                <w:szCs w:val="20"/>
                <w:color w:val="auto"/>
              </w:rPr>
            </w:pPr>
            <w:r>
              <w:rPr>
                <w:rFonts w:ascii="Arial" w:cs="Arial" w:eastAsia="Arial" w:hAnsi="Arial"/>
                <w:sz w:val="18"/>
                <w:szCs w:val="18"/>
                <w:color w:val="auto"/>
              </w:rPr>
              <w:t>474</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40" w:type="dxa"/>
            <w:vAlign w:val="bottom"/>
          </w:tcPr>
          <w:p>
            <w:pPr>
              <w:jc w:val="right"/>
              <w:ind w:right="13"/>
              <w:spacing w:after="0"/>
              <w:rPr>
                <w:sz w:val="20"/>
                <w:szCs w:val="20"/>
                <w:color w:val="auto"/>
              </w:rPr>
            </w:pPr>
            <w:r>
              <w:rPr>
                <w:rFonts w:ascii="Arial" w:cs="Arial" w:eastAsia="Arial" w:hAnsi="Arial"/>
                <w:sz w:val="18"/>
                <w:szCs w:val="18"/>
                <w:color w:val="auto"/>
              </w:rPr>
              <w:t>251</w:t>
            </w:r>
          </w:p>
        </w:tc>
      </w:tr>
      <w:tr>
        <w:trPr>
          <w:trHeight w:val="27"/>
        </w:trPr>
        <w:tc>
          <w:tcPr>
            <w:tcW w:w="40" w:type="dxa"/>
            <w:vAlign w:val="bottom"/>
          </w:tcPr>
          <w:p>
            <w:pPr>
              <w:spacing w:after="0"/>
              <w:rPr>
                <w:sz w:val="2"/>
                <w:szCs w:val="2"/>
                <w:color w:val="auto"/>
              </w:rPr>
            </w:pPr>
          </w:p>
        </w:tc>
        <w:tc>
          <w:tcPr>
            <w:tcW w:w="880" w:type="dxa"/>
            <w:vAlign w:val="bottom"/>
          </w:tcPr>
          <w:p>
            <w:pPr>
              <w:spacing w:after="0"/>
              <w:rPr>
                <w:sz w:val="2"/>
                <w:szCs w:val="2"/>
                <w:color w:val="auto"/>
              </w:rPr>
            </w:pPr>
          </w:p>
        </w:tc>
        <w:tc>
          <w:tcPr>
            <w:tcW w:w="5640" w:type="dxa"/>
            <w:vAlign w:val="bottom"/>
          </w:tcPr>
          <w:p>
            <w:pPr>
              <w:spacing w:after="0"/>
              <w:rPr>
                <w:sz w:val="2"/>
                <w:szCs w:val="2"/>
                <w:color w:val="auto"/>
              </w:rPr>
            </w:pPr>
          </w:p>
        </w:tc>
        <w:tc>
          <w:tcPr>
            <w:tcW w:w="2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40" w:type="dxa"/>
            <w:vAlign w:val="bottom"/>
          </w:tcPr>
          <w:p>
            <w:pPr>
              <w:spacing w:after="0"/>
              <w:rPr>
                <w:sz w:val="2"/>
                <w:szCs w:val="2"/>
                <w:color w:val="auto"/>
              </w:rPr>
            </w:pPr>
          </w:p>
        </w:tc>
      </w:tr>
      <w:tr>
        <w:trPr>
          <w:trHeight w:val="250"/>
        </w:trPr>
        <w:tc>
          <w:tcPr>
            <w:tcW w:w="656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General and administrative</w:t>
            </w:r>
          </w:p>
        </w:tc>
        <w:tc>
          <w:tcPr>
            <w:tcW w:w="2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1,089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487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2,315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1,065</w:t>
            </w:r>
          </w:p>
        </w:tc>
      </w:tr>
      <w:tr>
        <w:trPr>
          <w:trHeight w:val="243"/>
        </w:trPr>
        <w:tc>
          <w:tcPr>
            <w:tcW w:w="6560" w:type="dxa"/>
            <w:vAlign w:val="bottom"/>
            <w:gridSpan w:val="3"/>
          </w:tcPr>
          <w:p>
            <w:pPr>
              <w:ind w:left="40"/>
              <w:spacing w:after="0"/>
              <w:rPr>
                <w:sz w:val="20"/>
                <w:szCs w:val="20"/>
                <w:color w:val="auto"/>
              </w:rPr>
            </w:pPr>
            <w:r>
              <w:rPr>
                <w:rFonts w:ascii="Arial" w:cs="Arial" w:eastAsia="Arial" w:hAnsi="Arial"/>
                <w:sz w:val="18"/>
                <w:szCs w:val="18"/>
                <w:color w:val="auto"/>
              </w:rPr>
              <w:t>Research and development</w:t>
            </w:r>
          </w:p>
        </w:tc>
        <w:tc>
          <w:tcPr>
            <w:tcW w:w="240" w:type="dxa"/>
            <w:vAlign w:val="bottom"/>
          </w:tcPr>
          <w:p>
            <w:pPr>
              <w:spacing w:after="0"/>
              <w:rPr>
                <w:sz w:val="21"/>
                <w:szCs w:val="21"/>
                <w:color w:val="auto"/>
              </w:rPr>
            </w:pPr>
          </w:p>
        </w:tc>
        <w:tc>
          <w:tcPr>
            <w:tcW w:w="740" w:type="dxa"/>
            <w:vAlign w:val="bottom"/>
          </w:tcPr>
          <w:p>
            <w:pPr>
              <w:jc w:val="right"/>
              <w:ind w:right="17"/>
              <w:spacing w:after="0"/>
              <w:rPr>
                <w:sz w:val="20"/>
                <w:szCs w:val="20"/>
                <w:color w:val="auto"/>
              </w:rPr>
            </w:pPr>
            <w:r>
              <w:rPr>
                <w:rFonts w:ascii="Arial" w:cs="Arial" w:eastAsia="Arial" w:hAnsi="Arial"/>
                <w:sz w:val="18"/>
                <w:szCs w:val="18"/>
                <w:color w:val="auto"/>
              </w:rPr>
              <w:t>187</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147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jc w:val="right"/>
              <w:ind w:right="37"/>
              <w:spacing w:after="0"/>
              <w:rPr>
                <w:sz w:val="20"/>
                <w:szCs w:val="20"/>
                <w:color w:val="auto"/>
              </w:rPr>
            </w:pPr>
            <w:r>
              <w:rPr>
                <w:rFonts w:ascii="Arial" w:cs="Arial" w:eastAsia="Arial" w:hAnsi="Arial"/>
                <w:sz w:val="18"/>
                <w:szCs w:val="18"/>
                <w:color w:val="auto"/>
              </w:rPr>
              <w:t>461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40" w:type="dxa"/>
            <w:vAlign w:val="bottom"/>
          </w:tcPr>
          <w:p>
            <w:pPr>
              <w:jc w:val="right"/>
              <w:ind w:right="13"/>
              <w:spacing w:after="0"/>
              <w:rPr>
                <w:sz w:val="20"/>
                <w:szCs w:val="20"/>
                <w:color w:val="auto"/>
              </w:rPr>
            </w:pPr>
            <w:r>
              <w:rPr>
                <w:rFonts w:ascii="Arial" w:cs="Arial" w:eastAsia="Arial" w:hAnsi="Arial"/>
                <w:sz w:val="18"/>
                <w:szCs w:val="18"/>
                <w:color w:val="auto"/>
              </w:rPr>
              <w:t>294</w:t>
            </w:r>
          </w:p>
        </w:tc>
      </w:tr>
      <w:tr>
        <w:trPr>
          <w:trHeight w:val="27"/>
        </w:trPr>
        <w:tc>
          <w:tcPr>
            <w:tcW w:w="4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c>
          <w:tcPr>
            <w:tcW w:w="56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r>
      <w:tr>
        <w:trPr>
          <w:trHeight w:val="269"/>
        </w:trPr>
        <w:tc>
          <w:tcPr>
            <w:tcW w:w="40" w:type="dxa"/>
            <w:vAlign w:val="bottom"/>
            <w:tcBorders>
              <w:bottom w:val="single" w:sz="8" w:color="CCEEFF"/>
            </w:tcBorders>
            <w:shd w:val="clear" w:color="auto" w:fill="CCEEFF"/>
          </w:tcPr>
          <w:p>
            <w:pPr>
              <w:spacing w:after="0"/>
              <w:rPr>
                <w:sz w:val="22"/>
                <w:szCs w:val="22"/>
                <w:color w:val="auto"/>
              </w:rPr>
            </w:pPr>
          </w:p>
        </w:tc>
        <w:tc>
          <w:tcPr>
            <w:tcW w:w="652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Total stock-based compensation expense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1,657</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877</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3,764</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1,869</w:t>
            </w: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56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r>
    </w:tbl>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Increase in Shares Reserved Under the 2015 Equity Incentive Plan</w:t>
      </w:r>
    </w:p>
    <w:p>
      <w:pPr>
        <w:spacing w:after="0" w:line="117" w:lineRule="exact"/>
        <w:rPr>
          <w:sz w:val="20"/>
          <w:szCs w:val="20"/>
          <w:color w:val="auto"/>
        </w:rPr>
      </w:pPr>
    </w:p>
    <w:p>
      <w:pPr>
        <w:ind w:right="120" w:firstLine="405"/>
        <w:spacing w:after="0" w:line="264" w:lineRule="auto"/>
        <w:rPr>
          <w:sz w:val="20"/>
          <w:szCs w:val="20"/>
          <w:color w:val="auto"/>
        </w:rPr>
      </w:pPr>
      <w:r>
        <w:rPr>
          <w:rFonts w:ascii="Arial" w:cs="Arial" w:eastAsia="Arial" w:hAnsi="Arial"/>
          <w:sz w:val="18"/>
          <w:szCs w:val="18"/>
          <w:color w:val="auto"/>
        </w:rPr>
        <w:t>At the Company’s annual meeting of stockholders, held on April 27, 2017 (the “Annual Meeting”), the Company’s stockholders approved an amendment to the 2015 Equity Incentive Plan to increase the number of shares of common stock reserved for issuance thereunder by 1,200,000 shares, to an aggregate of 5,755,277 shares.</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Stock Purchase Plan</w:t>
      </w:r>
    </w:p>
    <w:p>
      <w:pPr>
        <w:spacing w:after="0" w:line="117" w:lineRule="exact"/>
        <w:rPr>
          <w:sz w:val="20"/>
          <w:szCs w:val="20"/>
          <w:color w:val="auto"/>
        </w:rPr>
      </w:pPr>
    </w:p>
    <w:p>
      <w:pPr>
        <w:ind w:right="20" w:firstLine="405"/>
        <w:spacing w:after="0" w:line="255" w:lineRule="auto"/>
        <w:rPr>
          <w:sz w:val="20"/>
          <w:szCs w:val="20"/>
          <w:color w:val="auto"/>
        </w:rPr>
      </w:pPr>
      <w:r>
        <w:rPr>
          <w:rFonts w:ascii="Arial" w:cs="Arial" w:eastAsia="Arial" w:hAnsi="Arial"/>
          <w:sz w:val="18"/>
          <w:szCs w:val="18"/>
          <w:color w:val="auto"/>
        </w:rPr>
        <w:t>At the Annual Meeting, the Company’s stockholders also approved the 2017 Employee Stock Purchase Plan (“2017 ESPP”), which authorized the issuance of up to 250,000 shares of common stock thereunder. Under the terms of the 2017 ESPP, eligible U.S. employees can elect to acquire shares of the Company’s common stock through periodic payroll deductions during a series of six month offering periods, which will generally begin in March and September of each year. Purchases under the 2017 ESPP are effected on the last business day of each offering period at a 15% discount to the closing price on that day. The 2017 ESPP was implemented, subject to stockholder approval, on March 10, 2017, and the first purchases thereunder were made on September 13, 2017.</w:t>
      </w:r>
    </w:p>
    <w:p>
      <w:pPr>
        <w:sectPr>
          <w:pgSz w:w="11900" w:h="16838" w:orient="portrait"/>
          <w:cols w:equalWidth="0" w:num="1">
            <w:col w:w="11400"/>
          </w:cols>
          <w:pgMar w:left="240" w:top="121" w:right="259" w:bottom="1440" w:gutter="0" w:footer="0" w:header="0"/>
        </w:sectPr>
      </w:pPr>
    </w:p>
    <w:p>
      <w:pPr>
        <w:spacing w:after="0" w:line="200" w:lineRule="exact"/>
        <w:rPr>
          <w:sz w:val="20"/>
          <w:szCs w:val="20"/>
          <w:color w:val="auto"/>
        </w:rPr>
      </w:pPr>
    </w:p>
    <w:p>
      <w:pPr>
        <w:spacing w:after="0" w:line="250" w:lineRule="exact"/>
        <w:rPr>
          <w:sz w:val="20"/>
          <w:szCs w:val="20"/>
          <w:color w:val="auto"/>
        </w:rPr>
      </w:pPr>
    </w:p>
    <w:p>
      <w:pPr>
        <w:jc w:val="center"/>
        <w:ind w:left="400"/>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00"/>
          </w:cols>
          <w:pgMar w:left="240" w:top="121" w:right="259" w:bottom="1440" w:gutter="0" w:footer="0" w:header="0"/>
          <w:type w:val="continuous"/>
        </w:sectPr>
      </w:pPr>
    </w:p>
    <w:bookmarkStart w:id="14" w:name="page15"/>
    <w:bookmarkEnd w:id="1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Net Income Per Common Share</w:t>
      </w:r>
    </w:p>
    <w:p>
      <w:pPr>
        <w:spacing w:after="0" w:line="121" w:lineRule="exact"/>
        <w:rPr>
          <w:sz w:val="20"/>
          <w:szCs w:val="20"/>
          <w:color w:val="auto"/>
        </w:rPr>
      </w:pPr>
    </w:p>
    <w:p>
      <w:pPr>
        <w:ind w:right="40" w:firstLine="405"/>
        <w:spacing w:after="0" w:line="276" w:lineRule="auto"/>
        <w:rPr>
          <w:sz w:val="20"/>
          <w:szCs w:val="20"/>
          <w:color w:val="auto"/>
        </w:rPr>
      </w:pPr>
      <w:r>
        <w:rPr>
          <w:rFonts w:ascii="Arial" w:cs="Arial" w:eastAsia="Arial" w:hAnsi="Arial"/>
          <w:sz w:val="17"/>
          <w:szCs w:val="17"/>
          <w:color w:val="auto"/>
        </w:rPr>
        <w:t>Basic net income per common share is computed by dividing net income by the weighted-average number of shares of common stock outstanding during the period. Diluted net income per common share is computed by dividing net income by the weighted-average number of shares of common stock outstanding during the period, plus the potential dilutive effect of other securities if those securities were converted or exercised. During periods in which the Company incurs net losses, both basic and diluted loss per share is calculated by dividing the net loss by the weighted-average shares outstanding and potentially dilutive securities are excluded from the calculation because their effect would be antidilutive.</w:t>
      </w:r>
    </w:p>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8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93"/>
              </w:rPr>
              <w:t>Three Months Ended</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900" w:type="dxa"/>
            <w:vAlign w:val="bottom"/>
            <w:gridSpan w:val="5"/>
          </w:tcPr>
          <w:p>
            <w:pPr>
              <w:jc w:val="right"/>
              <w:ind w:right="312"/>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3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29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gridSpan w:val="4"/>
          </w:tcPr>
          <w:p>
            <w:pPr>
              <w:jc w:val="center"/>
              <w:ind w:right="240"/>
              <w:spacing w:after="0"/>
              <w:rPr>
                <w:sz w:val="20"/>
                <w:szCs w:val="20"/>
                <w:color w:val="auto"/>
              </w:rPr>
            </w:pPr>
            <w:r>
              <w:rPr>
                <w:rFonts w:ascii="Arial" w:cs="Arial" w:eastAsia="Arial" w:hAnsi="Arial"/>
                <w:sz w:val="14"/>
                <w:szCs w:val="14"/>
                <w:b w:val="1"/>
                <w:bCs w:val="1"/>
                <w:color w:val="auto"/>
                <w:w w:val="91"/>
              </w:rPr>
              <w:t>September 30,</w:t>
            </w:r>
          </w:p>
        </w:tc>
        <w:tc>
          <w:tcPr>
            <w:tcW w:w="8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gridSpan w:val="5"/>
          </w:tcPr>
          <w:p>
            <w:pPr>
              <w:jc w:val="right"/>
              <w:ind w:right="492"/>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229"/>
        </w:trPr>
        <w:tc>
          <w:tcPr>
            <w:tcW w:w="340" w:type="dxa"/>
            <w:vAlign w:val="bottom"/>
          </w:tcPr>
          <w:p>
            <w:pPr>
              <w:spacing w:after="0"/>
              <w:rPr>
                <w:sz w:val="19"/>
                <w:szCs w:val="19"/>
                <w:color w:val="auto"/>
              </w:rPr>
            </w:pPr>
          </w:p>
        </w:tc>
        <w:tc>
          <w:tcPr>
            <w:tcW w:w="5440" w:type="dxa"/>
            <w:vAlign w:val="bottom"/>
            <w:gridSpan w:val="3"/>
          </w:tcPr>
          <w:p>
            <w:pPr>
              <w:spacing w:after="0"/>
              <w:rPr>
                <w:sz w:val="20"/>
                <w:szCs w:val="20"/>
                <w:color w:val="auto"/>
              </w:rPr>
            </w:pPr>
            <w:r>
              <w:rPr>
                <w:rFonts w:ascii="Arial" w:cs="Arial" w:eastAsia="Arial" w:hAnsi="Arial"/>
                <w:sz w:val="14"/>
                <w:szCs w:val="14"/>
                <w:b w:val="1"/>
                <w:bCs w:val="1"/>
                <w:color w:val="auto"/>
              </w:rPr>
              <w:t>(in thousands, except per share amounts)</w:t>
            </w: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tcPr>
          <w:p>
            <w:pPr>
              <w:jc w:val="right"/>
              <w:ind w:right="354"/>
              <w:spacing w:after="0"/>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19"/>
                <w:szCs w:val="19"/>
                <w:color w:val="auto"/>
              </w:rPr>
            </w:pPr>
          </w:p>
        </w:tc>
        <w:tc>
          <w:tcPr>
            <w:tcW w:w="720" w:type="dxa"/>
            <w:vAlign w:val="bottom"/>
          </w:tcPr>
          <w:p>
            <w:pPr>
              <w:ind w:left="160"/>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jc w:val="right"/>
              <w:ind w:right="134"/>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jc w:val="right"/>
              <w:ind w:right="252"/>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1"/>
        </w:trPr>
        <w:tc>
          <w:tcPr>
            <w:tcW w:w="340" w:type="dxa"/>
            <w:vAlign w:val="bottom"/>
          </w:tcPr>
          <w:p>
            <w:pPr>
              <w:spacing w:after="0" w:line="20" w:lineRule="exact"/>
              <w:rPr>
                <w:sz w:val="1"/>
                <w:szCs w:val="1"/>
                <w:color w:val="auto"/>
              </w:rPr>
            </w:pPr>
          </w:p>
        </w:tc>
        <w:tc>
          <w:tcPr>
            <w:tcW w:w="1180" w:type="dxa"/>
            <w:vAlign w:val="bottom"/>
            <w:tcBorders>
              <w:top w:val="single" w:sz="8" w:color="auto"/>
              <w:bottom w:val="single" w:sz="8" w:color="CCEEFF"/>
            </w:tcBorders>
          </w:tcPr>
          <w:p>
            <w:pPr>
              <w:spacing w:after="0" w:line="20" w:lineRule="exact"/>
              <w:rPr>
                <w:sz w:val="1"/>
                <w:szCs w:val="1"/>
                <w:color w:val="auto"/>
              </w:rPr>
            </w:pPr>
          </w:p>
        </w:tc>
        <w:tc>
          <w:tcPr>
            <w:tcW w:w="1320" w:type="dxa"/>
            <w:vAlign w:val="bottom"/>
            <w:tcBorders>
              <w:top w:val="single" w:sz="8" w:color="auto"/>
              <w:bottom w:val="single" w:sz="8" w:color="CCEEFF"/>
            </w:tcBorders>
          </w:tcPr>
          <w:p>
            <w:pPr>
              <w:spacing w:after="0" w:line="20" w:lineRule="exact"/>
              <w:rPr>
                <w:sz w:val="1"/>
                <w:szCs w:val="1"/>
                <w:color w:val="auto"/>
              </w:rPr>
            </w:pPr>
          </w:p>
        </w:tc>
        <w:tc>
          <w:tcPr>
            <w:tcW w:w="29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7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9"/>
        </w:trPr>
        <w:tc>
          <w:tcPr>
            <w:tcW w:w="340" w:type="dxa"/>
            <w:vAlign w:val="bottom"/>
            <w:tcBorders>
              <w:right w:val="single" w:sz="8" w:color="CCEEFF"/>
            </w:tcBorders>
          </w:tcPr>
          <w:p>
            <w:pPr>
              <w:spacing w:after="0"/>
              <w:rPr>
                <w:sz w:val="22"/>
                <w:szCs w:val="22"/>
                <w:color w:val="auto"/>
              </w:rPr>
            </w:pPr>
          </w:p>
        </w:tc>
        <w:tc>
          <w:tcPr>
            <w:tcW w:w="544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Net income</w:t>
            </w:r>
          </w:p>
        </w:tc>
        <w:tc>
          <w:tcPr>
            <w:tcW w:w="24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right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right w:val="single" w:sz="8" w:color="CCEEFF"/>
            </w:tcBorders>
            <w:shd w:val="clear" w:color="auto" w:fill="CCEEFF"/>
          </w:tcPr>
          <w:p>
            <w:pPr>
              <w:jc w:val="right"/>
              <w:ind w:right="114"/>
              <w:spacing w:after="0"/>
              <w:rPr>
                <w:sz w:val="20"/>
                <w:szCs w:val="20"/>
                <w:color w:val="auto"/>
              </w:rPr>
            </w:pPr>
            <w:r>
              <w:rPr>
                <w:rFonts w:ascii="Arial" w:cs="Arial" w:eastAsia="Arial" w:hAnsi="Arial"/>
                <w:sz w:val="18"/>
                <w:szCs w:val="18"/>
                <w:color w:val="auto"/>
              </w:rPr>
              <w:t>8,526</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4,220</w:t>
            </w:r>
          </w:p>
        </w:tc>
        <w:tc>
          <w:tcPr>
            <w:tcW w:w="100" w:type="dxa"/>
            <w:vAlign w:val="bottom"/>
            <w:tcBorders>
              <w:bottom w:val="single" w:sz="8" w:color="CCEEFF"/>
              <w:right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26,259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21,893</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544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8"/>
                <w:szCs w:val="18"/>
                <w:color w:val="auto"/>
              </w:rPr>
              <w:t>Basic weighted-average common shares outstanding</w:t>
            </w:r>
          </w:p>
        </w:tc>
        <w:tc>
          <w:tcPr>
            <w:tcW w:w="24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340" w:type="dxa"/>
            <w:vAlign w:val="bottom"/>
          </w:tcPr>
          <w:p>
            <w:pPr>
              <w:spacing w:after="0"/>
              <w:rPr>
                <w:sz w:val="19"/>
                <w:szCs w:val="19"/>
                <w:color w:val="auto"/>
              </w:rPr>
            </w:pPr>
          </w:p>
        </w:tc>
        <w:tc>
          <w:tcPr>
            <w:tcW w:w="5440" w:type="dxa"/>
            <w:vAlign w:val="bottom"/>
            <w:gridSpan w:val="3"/>
            <w:vMerge w:val="continue"/>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tcPr>
          <w:p>
            <w:pPr>
              <w:jc w:val="right"/>
              <w:ind w:right="114"/>
              <w:spacing w:after="0"/>
              <w:rPr>
                <w:sz w:val="20"/>
                <w:szCs w:val="20"/>
                <w:color w:val="auto"/>
              </w:rPr>
            </w:pPr>
            <w:r>
              <w:rPr>
                <w:rFonts w:ascii="Arial" w:cs="Arial" w:eastAsia="Arial" w:hAnsi="Arial"/>
                <w:sz w:val="18"/>
                <w:szCs w:val="18"/>
                <w:color w:val="auto"/>
              </w:rPr>
              <w:t>37,393</w:t>
            </w: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31,221</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37,174</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jc w:val="right"/>
              <w:ind w:right="12"/>
              <w:spacing w:after="0"/>
              <w:rPr>
                <w:sz w:val="20"/>
                <w:szCs w:val="20"/>
                <w:color w:val="auto"/>
              </w:rPr>
            </w:pPr>
            <w:r>
              <w:rPr>
                <w:rFonts w:ascii="Arial" w:cs="Arial" w:eastAsia="Arial" w:hAnsi="Arial"/>
                <w:sz w:val="18"/>
                <w:szCs w:val="18"/>
                <w:color w:val="auto"/>
              </w:rPr>
              <w:t>30,658</w:t>
            </w:r>
          </w:p>
        </w:tc>
        <w:tc>
          <w:tcPr>
            <w:tcW w:w="0" w:type="dxa"/>
            <w:vAlign w:val="bottom"/>
          </w:tcPr>
          <w:p>
            <w:pPr>
              <w:spacing w:after="0"/>
              <w:rPr>
                <w:sz w:val="1"/>
                <w:szCs w:val="1"/>
                <w:color w:val="auto"/>
              </w:rPr>
            </w:pPr>
          </w:p>
        </w:tc>
      </w:tr>
      <w:tr>
        <w:trPr>
          <w:trHeight w:val="27"/>
        </w:trPr>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940" w:type="dxa"/>
            <w:vAlign w:val="bottom"/>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40" w:type="dxa"/>
            <w:vAlign w:val="bottom"/>
            <w:tcBorders>
              <w:right w:val="single" w:sz="8" w:color="CCEEFF"/>
            </w:tcBorders>
          </w:tcPr>
          <w:p>
            <w:pPr>
              <w:spacing w:after="0"/>
              <w:rPr>
                <w:sz w:val="21"/>
                <w:szCs w:val="21"/>
                <w:color w:val="auto"/>
              </w:rPr>
            </w:pPr>
          </w:p>
        </w:tc>
        <w:tc>
          <w:tcPr>
            <w:tcW w:w="5440" w:type="dxa"/>
            <w:vAlign w:val="bottom"/>
            <w:tcBorders>
              <w:bottom w:val="single" w:sz="8" w:color="CCEEFF"/>
            </w:tcBorders>
            <w:gridSpan w:val="3"/>
            <w:shd w:val="clear" w:color="auto" w:fill="CCEEFF"/>
          </w:tcPr>
          <w:p>
            <w:pPr>
              <w:ind w:left="120"/>
              <w:spacing w:after="0"/>
              <w:rPr>
                <w:sz w:val="20"/>
                <w:szCs w:val="20"/>
                <w:color w:val="auto"/>
              </w:rPr>
            </w:pPr>
            <w:r>
              <w:rPr>
                <w:rFonts w:ascii="Arial" w:cs="Arial" w:eastAsia="Arial" w:hAnsi="Arial"/>
                <w:sz w:val="18"/>
                <w:szCs w:val="18"/>
                <w:color w:val="auto"/>
              </w:rPr>
              <w:t>Effect of dilutive stock options</w:t>
            </w:r>
          </w:p>
        </w:tc>
        <w:tc>
          <w:tcPr>
            <w:tcW w:w="2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right w:val="single" w:sz="8" w:color="CCEEFF"/>
            </w:tcBorders>
            <w:shd w:val="clear" w:color="auto" w:fill="CCEEFF"/>
          </w:tcPr>
          <w:p>
            <w:pPr>
              <w:jc w:val="right"/>
              <w:ind w:right="114"/>
              <w:spacing w:after="0"/>
              <w:rPr>
                <w:sz w:val="20"/>
                <w:szCs w:val="20"/>
                <w:color w:val="auto"/>
              </w:rPr>
            </w:pPr>
            <w:r>
              <w:rPr>
                <w:rFonts w:ascii="Arial" w:cs="Arial" w:eastAsia="Arial" w:hAnsi="Arial"/>
                <w:sz w:val="18"/>
                <w:szCs w:val="18"/>
                <w:color w:val="auto"/>
              </w:rPr>
              <w:t>318</w:t>
            </w:r>
          </w:p>
        </w:tc>
        <w:tc>
          <w:tcPr>
            <w:tcW w:w="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1,084</w:t>
            </w:r>
          </w:p>
        </w:tc>
        <w:tc>
          <w:tcPr>
            <w:tcW w:w="100" w:type="dxa"/>
            <w:vAlign w:val="bottom"/>
            <w:tcBorders>
              <w:bottom w:val="single" w:sz="8" w:color="CCEEFF"/>
              <w:right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371</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391</w:t>
            </w:r>
          </w:p>
        </w:tc>
        <w:tc>
          <w:tcPr>
            <w:tcW w:w="0" w:type="dxa"/>
            <w:vAlign w:val="bottom"/>
          </w:tcPr>
          <w:p>
            <w:pPr>
              <w:spacing w:after="0"/>
              <w:rPr>
                <w:sz w:val="1"/>
                <w:szCs w:val="1"/>
                <w:color w:val="auto"/>
              </w:rPr>
            </w:pPr>
          </w:p>
        </w:tc>
      </w:tr>
      <w:tr>
        <w:trPr>
          <w:trHeight w:val="243"/>
        </w:trPr>
        <w:tc>
          <w:tcPr>
            <w:tcW w:w="340" w:type="dxa"/>
            <w:vAlign w:val="bottom"/>
          </w:tcPr>
          <w:p>
            <w:pPr>
              <w:spacing w:after="0"/>
              <w:rPr>
                <w:sz w:val="21"/>
                <w:szCs w:val="21"/>
                <w:color w:val="auto"/>
              </w:rPr>
            </w:pPr>
          </w:p>
        </w:tc>
        <w:tc>
          <w:tcPr>
            <w:tcW w:w="5440" w:type="dxa"/>
            <w:vAlign w:val="bottom"/>
            <w:gridSpan w:val="3"/>
          </w:tcPr>
          <w:p>
            <w:pPr>
              <w:ind w:left="120"/>
              <w:spacing w:after="0"/>
              <w:rPr>
                <w:sz w:val="20"/>
                <w:szCs w:val="20"/>
                <w:color w:val="auto"/>
              </w:rPr>
            </w:pPr>
            <w:r>
              <w:rPr>
                <w:rFonts w:ascii="Arial" w:cs="Arial" w:eastAsia="Arial" w:hAnsi="Arial"/>
                <w:sz w:val="18"/>
                <w:szCs w:val="18"/>
                <w:color w:val="auto"/>
              </w:rPr>
              <w:t>Effect of dilutive restricted stock awards</w:t>
            </w:r>
          </w:p>
        </w:tc>
        <w:tc>
          <w:tcPr>
            <w:tcW w:w="2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60" w:type="dxa"/>
            <w:vAlign w:val="bottom"/>
          </w:tcPr>
          <w:p>
            <w:pPr>
              <w:jc w:val="right"/>
              <w:ind w:right="114"/>
              <w:spacing w:after="0"/>
              <w:rPr>
                <w:sz w:val="20"/>
                <w:szCs w:val="20"/>
                <w:color w:val="auto"/>
              </w:rPr>
            </w:pPr>
            <w:r>
              <w:rPr>
                <w:rFonts w:ascii="Arial" w:cs="Arial" w:eastAsia="Arial" w:hAnsi="Arial"/>
                <w:sz w:val="18"/>
                <w:szCs w:val="18"/>
                <w:color w:val="auto"/>
              </w:rPr>
              <w:t>1,410</w:t>
            </w:r>
          </w:p>
        </w:tc>
        <w:tc>
          <w:tcPr>
            <w:tcW w:w="20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97</w:t>
            </w: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1,426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40" w:type="dxa"/>
            <w:vAlign w:val="bottom"/>
          </w:tcPr>
          <w:p>
            <w:pPr>
              <w:spacing w:after="0"/>
              <w:rPr>
                <w:sz w:val="2"/>
                <w:szCs w:val="2"/>
                <w:color w:val="auto"/>
              </w:rPr>
            </w:pPr>
          </w:p>
        </w:tc>
        <w:tc>
          <w:tcPr>
            <w:tcW w:w="1180" w:type="dxa"/>
            <w:vAlign w:val="bottom"/>
            <w:tcBorders>
              <w:bottom w:val="single" w:sz="8" w:color="CCEEFF"/>
            </w:tcBorders>
          </w:tcPr>
          <w:p>
            <w:pPr>
              <w:spacing w:after="0"/>
              <w:rPr>
                <w:sz w:val="2"/>
                <w:szCs w:val="2"/>
                <w:color w:val="auto"/>
              </w:rPr>
            </w:pPr>
          </w:p>
        </w:tc>
        <w:tc>
          <w:tcPr>
            <w:tcW w:w="1320" w:type="dxa"/>
            <w:vAlign w:val="bottom"/>
            <w:tcBorders>
              <w:bottom w:val="single" w:sz="8" w:color="CCEEFF"/>
            </w:tcBorders>
          </w:tcPr>
          <w:p>
            <w:pPr>
              <w:spacing w:after="0"/>
              <w:rPr>
                <w:sz w:val="2"/>
                <w:szCs w:val="2"/>
                <w:color w:val="auto"/>
              </w:rPr>
            </w:pPr>
          </w:p>
        </w:tc>
        <w:tc>
          <w:tcPr>
            <w:tcW w:w="294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7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40" w:type="dxa"/>
            <w:vAlign w:val="bottom"/>
            <w:tcBorders>
              <w:right w:val="single" w:sz="8" w:color="CCEEFF"/>
            </w:tcBorders>
          </w:tcPr>
          <w:p>
            <w:pPr>
              <w:spacing w:after="0"/>
              <w:rPr>
                <w:sz w:val="22"/>
                <w:szCs w:val="22"/>
                <w:color w:val="auto"/>
              </w:rPr>
            </w:pPr>
          </w:p>
        </w:tc>
        <w:tc>
          <w:tcPr>
            <w:tcW w:w="544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Diluted weighted-average common shares outstanding</w:t>
            </w:r>
          </w:p>
        </w:tc>
        <w:tc>
          <w:tcPr>
            <w:tcW w:w="24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right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right w:val="single" w:sz="8" w:color="CCEEFF"/>
            </w:tcBorders>
            <w:shd w:val="clear" w:color="auto" w:fill="CCEEFF"/>
          </w:tcPr>
          <w:p>
            <w:pPr>
              <w:jc w:val="right"/>
              <w:ind w:right="114"/>
              <w:spacing w:after="0"/>
              <w:rPr>
                <w:sz w:val="20"/>
                <w:szCs w:val="20"/>
                <w:color w:val="auto"/>
              </w:rPr>
            </w:pPr>
            <w:r>
              <w:rPr>
                <w:rFonts w:ascii="Arial" w:cs="Arial" w:eastAsia="Arial" w:hAnsi="Arial"/>
                <w:sz w:val="18"/>
                <w:szCs w:val="18"/>
                <w:color w:val="auto"/>
              </w:rPr>
              <w:t>39,121</w:t>
            </w:r>
          </w:p>
        </w:tc>
        <w:tc>
          <w:tcPr>
            <w:tcW w:w="2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32,402</w:t>
            </w:r>
          </w:p>
        </w:tc>
        <w:tc>
          <w:tcPr>
            <w:tcW w:w="100" w:type="dxa"/>
            <w:vAlign w:val="bottom"/>
            <w:tcBorders>
              <w:bottom w:val="single" w:sz="8" w:color="CCEEFF"/>
              <w:right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38,971</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31,049</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544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8"/>
                <w:szCs w:val="18"/>
                <w:color w:val="auto"/>
              </w:rPr>
              <w:t>Basic income per common share outstanding</w:t>
            </w:r>
          </w:p>
        </w:tc>
        <w:tc>
          <w:tcPr>
            <w:tcW w:w="24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340" w:type="dxa"/>
            <w:vAlign w:val="bottom"/>
          </w:tcPr>
          <w:p>
            <w:pPr>
              <w:spacing w:after="0"/>
              <w:rPr>
                <w:sz w:val="19"/>
                <w:szCs w:val="19"/>
                <w:color w:val="auto"/>
              </w:rPr>
            </w:pPr>
          </w:p>
        </w:tc>
        <w:tc>
          <w:tcPr>
            <w:tcW w:w="5440" w:type="dxa"/>
            <w:vAlign w:val="bottom"/>
            <w:gridSpan w:val="3"/>
            <w:vMerge w:val="continue"/>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14"/>
              <w:spacing w:after="0"/>
              <w:rPr>
                <w:sz w:val="20"/>
                <w:szCs w:val="20"/>
                <w:color w:val="auto"/>
              </w:rPr>
            </w:pPr>
            <w:r>
              <w:rPr>
                <w:rFonts w:ascii="Arial" w:cs="Arial" w:eastAsia="Arial" w:hAnsi="Arial"/>
                <w:sz w:val="18"/>
                <w:szCs w:val="18"/>
                <w:color w:val="auto"/>
              </w:rPr>
              <w:t>0.23</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0.14</w:t>
            </w:r>
          </w:p>
        </w:tc>
        <w:tc>
          <w:tcPr>
            <w:tcW w:w="100" w:type="dxa"/>
            <w:vAlign w:val="bottom"/>
          </w:tcPr>
          <w:p>
            <w:pPr>
              <w:spacing w:after="0"/>
              <w:rPr>
                <w:sz w:val="19"/>
                <w:szCs w:val="19"/>
                <w:color w:val="auto"/>
              </w:rPr>
            </w:pP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0.71</w:t>
            </w:r>
          </w:p>
        </w:tc>
        <w:tc>
          <w:tcPr>
            <w:tcW w:w="120" w:type="dxa"/>
            <w:vAlign w:val="bottom"/>
          </w:tcPr>
          <w:p>
            <w:pPr>
              <w:spacing w:after="0"/>
              <w:rPr>
                <w:sz w:val="19"/>
                <w:szCs w:val="19"/>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ind w:right="12"/>
              <w:spacing w:after="0"/>
              <w:rPr>
                <w:sz w:val="20"/>
                <w:szCs w:val="20"/>
                <w:color w:val="auto"/>
              </w:rPr>
            </w:pPr>
            <w:r>
              <w:rPr>
                <w:rFonts w:ascii="Arial" w:cs="Arial" w:eastAsia="Arial" w:hAnsi="Arial"/>
                <w:sz w:val="18"/>
                <w:szCs w:val="18"/>
                <w:color w:val="auto"/>
              </w:rPr>
              <w:t>0.71</w:t>
            </w:r>
          </w:p>
        </w:tc>
        <w:tc>
          <w:tcPr>
            <w:tcW w:w="0" w:type="dxa"/>
            <w:vAlign w:val="bottom"/>
          </w:tcPr>
          <w:p>
            <w:pPr>
              <w:spacing w:after="0"/>
              <w:rPr>
                <w:sz w:val="1"/>
                <w:szCs w:val="1"/>
                <w:color w:val="auto"/>
              </w:rPr>
            </w:pPr>
          </w:p>
        </w:tc>
      </w:tr>
      <w:tr>
        <w:trPr>
          <w:trHeight w:val="67"/>
        </w:trPr>
        <w:tc>
          <w:tcPr>
            <w:tcW w:w="340" w:type="dxa"/>
            <w:vAlign w:val="bottom"/>
          </w:tcPr>
          <w:p>
            <w:pPr>
              <w:spacing w:after="0"/>
              <w:rPr>
                <w:sz w:val="5"/>
                <w:szCs w:val="5"/>
                <w:color w:val="auto"/>
              </w:rPr>
            </w:pPr>
          </w:p>
        </w:tc>
        <w:tc>
          <w:tcPr>
            <w:tcW w:w="1180" w:type="dxa"/>
            <w:vAlign w:val="bottom"/>
            <w:tcBorders>
              <w:bottom w:val="single" w:sz="8" w:color="CCEEFF"/>
            </w:tcBorders>
          </w:tcPr>
          <w:p>
            <w:pPr>
              <w:spacing w:after="0"/>
              <w:rPr>
                <w:sz w:val="5"/>
                <w:szCs w:val="5"/>
                <w:color w:val="auto"/>
              </w:rPr>
            </w:pPr>
          </w:p>
        </w:tc>
        <w:tc>
          <w:tcPr>
            <w:tcW w:w="1320" w:type="dxa"/>
            <w:vAlign w:val="bottom"/>
            <w:tcBorders>
              <w:bottom w:val="single" w:sz="8" w:color="CCEEFF"/>
            </w:tcBorders>
          </w:tcPr>
          <w:p>
            <w:pPr>
              <w:spacing w:after="0"/>
              <w:rPr>
                <w:sz w:val="5"/>
                <w:szCs w:val="5"/>
                <w:color w:val="auto"/>
              </w:rPr>
            </w:pPr>
          </w:p>
        </w:tc>
        <w:tc>
          <w:tcPr>
            <w:tcW w:w="294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720" w:type="dxa"/>
            <w:vAlign w:val="bottom"/>
            <w:tcBorders>
              <w:bottom w:val="single" w:sz="8" w:color="CCEEFF"/>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80" w:type="dxa"/>
            <w:vAlign w:val="bottom"/>
            <w:tcBorders>
              <w:bottom w:val="single" w:sz="8" w:color="CCEEFF"/>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340" w:type="dxa"/>
            <w:vAlign w:val="bottom"/>
            <w:tcBorders>
              <w:right w:val="single" w:sz="8" w:color="CCEEFF"/>
            </w:tcBorders>
          </w:tcPr>
          <w:p>
            <w:pPr>
              <w:spacing w:after="0"/>
              <w:rPr>
                <w:sz w:val="21"/>
                <w:szCs w:val="21"/>
                <w:color w:val="auto"/>
              </w:rPr>
            </w:pPr>
          </w:p>
        </w:tc>
        <w:tc>
          <w:tcPr>
            <w:tcW w:w="5440" w:type="dxa"/>
            <w:vAlign w:val="bottom"/>
            <w:tcBorders>
              <w:bottom w:val="single" w:sz="8" w:color="CCEEFF"/>
            </w:tcBorders>
            <w:gridSpan w:val="3"/>
            <w:shd w:val="clear" w:color="auto" w:fill="CCEEFF"/>
          </w:tcPr>
          <w:p>
            <w:pPr>
              <w:spacing w:after="0" w:line="196" w:lineRule="exact"/>
              <w:rPr>
                <w:sz w:val="20"/>
                <w:szCs w:val="20"/>
                <w:color w:val="auto"/>
              </w:rPr>
            </w:pPr>
            <w:r>
              <w:rPr>
                <w:rFonts w:ascii="Arial" w:cs="Arial" w:eastAsia="Arial" w:hAnsi="Arial"/>
                <w:sz w:val="18"/>
                <w:szCs w:val="18"/>
                <w:color w:val="auto"/>
              </w:rPr>
              <w:t>Diluted income per common share outstanding</w:t>
            </w:r>
          </w:p>
        </w:tc>
        <w:tc>
          <w:tcPr>
            <w:tcW w:w="2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right w:val="single" w:sz="8" w:color="CCEEFF"/>
            </w:tcBorders>
            <w:shd w:val="clear" w:color="auto" w:fill="CCEEFF"/>
          </w:tcPr>
          <w:p>
            <w:pPr>
              <w:jc w:val="right"/>
              <w:ind w:right="114"/>
              <w:spacing w:after="0"/>
              <w:rPr>
                <w:sz w:val="20"/>
                <w:szCs w:val="20"/>
                <w:color w:val="auto"/>
              </w:rPr>
            </w:pPr>
            <w:r>
              <w:rPr>
                <w:rFonts w:ascii="Arial" w:cs="Arial" w:eastAsia="Arial" w:hAnsi="Arial"/>
                <w:sz w:val="18"/>
                <w:szCs w:val="18"/>
                <w:color w:val="auto"/>
              </w:rPr>
              <w:t>0.22</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0.13</w:t>
            </w:r>
          </w:p>
        </w:tc>
        <w:tc>
          <w:tcPr>
            <w:tcW w:w="100" w:type="dxa"/>
            <w:vAlign w:val="bottom"/>
            <w:tcBorders>
              <w:bottom w:val="single" w:sz="8" w:color="CCEEFF"/>
              <w:right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0.67</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0.71</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118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tcPr>
          <w:p>
            <w:pPr>
              <w:spacing w:after="0" w:line="20" w:lineRule="exact"/>
              <w:rPr>
                <w:sz w:val="1"/>
                <w:szCs w:val="1"/>
                <w:color w:val="auto"/>
              </w:rPr>
            </w:pPr>
          </w:p>
        </w:tc>
        <w:tc>
          <w:tcPr>
            <w:tcW w:w="29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3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340" w:type="dxa"/>
            <w:vAlign w:val="bottom"/>
            <w:tcBorders>
              <w:right w:val="single" w:sz="8" w:color="CCEEFF"/>
            </w:tcBorders>
          </w:tcPr>
          <w:p>
            <w:pPr>
              <w:spacing w:after="0"/>
              <w:rPr>
                <w:sz w:val="21"/>
                <w:szCs w:val="21"/>
                <w:color w:val="auto"/>
              </w:rPr>
            </w:pPr>
          </w:p>
        </w:tc>
        <w:tc>
          <w:tcPr>
            <w:tcW w:w="544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w w:val="96"/>
              </w:rPr>
              <w:t>Antidilutive securities excluded from diluted income per common share</w:t>
            </w:r>
          </w:p>
        </w:tc>
        <w:tc>
          <w:tcPr>
            <w:tcW w:w="2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right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right w:val="single" w:sz="8" w:color="CCEEFF"/>
            </w:tcBorders>
            <w:shd w:val="clear" w:color="auto" w:fill="CCEEFF"/>
          </w:tcPr>
          <w:p>
            <w:pPr>
              <w:jc w:val="right"/>
              <w:ind w:right="114"/>
              <w:spacing w:after="0"/>
              <w:rPr>
                <w:sz w:val="20"/>
                <w:szCs w:val="20"/>
                <w:color w:val="auto"/>
              </w:rPr>
            </w:pPr>
            <w:r>
              <w:rPr>
                <w:rFonts w:ascii="Arial" w:cs="Arial" w:eastAsia="Arial" w:hAnsi="Arial"/>
                <w:sz w:val="18"/>
                <w:szCs w:val="18"/>
                <w:color w:val="auto"/>
              </w:rPr>
              <w:t>322</w:t>
            </w:r>
          </w:p>
        </w:tc>
        <w:tc>
          <w:tcPr>
            <w:tcW w:w="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448</w:t>
            </w:r>
          </w:p>
        </w:tc>
        <w:tc>
          <w:tcPr>
            <w:tcW w:w="100" w:type="dxa"/>
            <w:vAlign w:val="bottom"/>
            <w:tcBorders>
              <w:bottom w:val="single" w:sz="8" w:color="CCEEFF"/>
              <w:right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378</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1,873</w:t>
            </w:r>
          </w:p>
        </w:tc>
        <w:tc>
          <w:tcPr>
            <w:tcW w:w="0" w:type="dxa"/>
            <w:vAlign w:val="bottom"/>
          </w:tcPr>
          <w:p>
            <w:pPr>
              <w:spacing w:after="0"/>
              <w:rPr>
                <w:sz w:val="1"/>
                <w:szCs w:val="1"/>
                <w:color w:val="auto"/>
              </w:rPr>
            </w:pPr>
          </w:p>
        </w:tc>
      </w:tr>
      <w:tr>
        <w:trPr>
          <w:trHeight w:val="20"/>
        </w:trPr>
        <w:tc>
          <w:tcPr>
            <w:tcW w:w="340" w:type="dxa"/>
            <w:vAlign w:val="bottom"/>
            <w:tcBorders>
              <w:right w:val="single" w:sz="8" w:color="CCEEFF"/>
            </w:tcBorders>
          </w:tcPr>
          <w:p>
            <w:pPr>
              <w:spacing w:after="0" w:line="20" w:lineRule="exact"/>
              <w:rPr>
                <w:sz w:val="1"/>
                <w:szCs w:val="1"/>
                <w:color w:val="auto"/>
              </w:rPr>
            </w:pPr>
          </w:p>
        </w:tc>
        <w:tc>
          <w:tcPr>
            <w:tcW w:w="1180" w:type="dxa"/>
            <w:vAlign w:val="bottom"/>
            <w:shd w:val="clear" w:color="auto" w:fill="CCEEFF"/>
          </w:tcPr>
          <w:p>
            <w:pPr>
              <w:spacing w:after="0" w:line="20" w:lineRule="exact"/>
              <w:rPr>
                <w:sz w:val="1"/>
                <w:szCs w:val="1"/>
                <w:color w:val="auto"/>
              </w:rPr>
            </w:pPr>
          </w:p>
        </w:tc>
        <w:tc>
          <w:tcPr>
            <w:tcW w:w="1320" w:type="dxa"/>
            <w:vAlign w:val="bottom"/>
            <w:shd w:val="clear" w:color="auto" w:fill="CCEEFF"/>
          </w:tcPr>
          <w:p>
            <w:pPr>
              <w:spacing w:after="0" w:line="20" w:lineRule="exact"/>
              <w:rPr>
                <w:sz w:val="1"/>
                <w:szCs w:val="1"/>
                <w:color w:val="auto"/>
              </w:rPr>
            </w:pPr>
          </w:p>
        </w:tc>
        <w:tc>
          <w:tcPr>
            <w:tcW w:w="294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720" w:type="dxa"/>
            <w:vAlign w:val="bottom"/>
            <w:shd w:val="clear" w:color="auto" w:fill="CCEEFF"/>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86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Borders>
              <w:right w:val="single" w:sz="8" w:color="CCEEFF"/>
            </w:tcBorders>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5780" w:type="dxa"/>
            <w:vAlign w:val="bottom"/>
            <w:gridSpan w:val="4"/>
            <w:vMerge w:val="restart"/>
          </w:tcPr>
          <w:p>
            <w:pPr>
              <w:spacing w:after="0"/>
              <w:rPr>
                <w:sz w:val="20"/>
                <w:szCs w:val="20"/>
                <w:color w:val="auto"/>
              </w:rPr>
            </w:pPr>
            <w:r>
              <w:rPr>
                <w:rFonts w:ascii="Arial" w:cs="Arial" w:eastAsia="Arial" w:hAnsi="Arial"/>
                <w:sz w:val="18"/>
                <w:szCs w:val="18"/>
                <w:b w:val="1"/>
                <w:bCs w:val="1"/>
                <w:color w:val="auto"/>
              </w:rPr>
              <w:t>11. Other (Income) Expense</w:t>
            </w:r>
          </w:p>
        </w:tc>
        <w:tc>
          <w:tcPr>
            <w:tcW w:w="2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8"/>
        </w:trPr>
        <w:tc>
          <w:tcPr>
            <w:tcW w:w="5780" w:type="dxa"/>
            <w:vAlign w:val="bottom"/>
            <w:gridSpan w:val="4"/>
            <w:vMerge w:val="continue"/>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40" w:type="dxa"/>
            <w:vAlign w:val="bottom"/>
          </w:tcPr>
          <w:p>
            <w:pPr>
              <w:spacing w:after="0"/>
              <w:rPr>
                <w:sz w:val="24"/>
                <w:szCs w:val="24"/>
                <w:color w:val="auto"/>
              </w:rPr>
            </w:pPr>
          </w:p>
        </w:tc>
        <w:tc>
          <w:tcPr>
            <w:tcW w:w="5440" w:type="dxa"/>
            <w:vAlign w:val="bottom"/>
            <w:gridSpan w:val="3"/>
          </w:tcPr>
          <w:p>
            <w:pPr>
              <w:ind w:left="80"/>
              <w:spacing w:after="0"/>
              <w:rPr>
                <w:sz w:val="20"/>
                <w:szCs w:val="20"/>
                <w:color w:val="auto"/>
              </w:rPr>
            </w:pPr>
            <w:r>
              <w:rPr>
                <w:rFonts w:ascii="Arial" w:cs="Arial" w:eastAsia="Arial" w:hAnsi="Arial"/>
                <w:sz w:val="18"/>
                <w:szCs w:val="18"/>
                <w:color w:val="auto"/>
              </w:rPr>
              <w:t>Other (income) expense consisted of the following:</w:t>
            </w: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8"/>
        </w:trPr>
        <w:tc>
          <w:tcPr>
            <w:tcW w:w="3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920" w:type="dxa"/>
            <w:vAlign w:val="bottom"/>
            <w:gridSpan w:val="4"/>
          </w:tcPr>
          <w:p>
            <w:pPr>
              <w:jc w:val="right"/>
              <w:ind w:right="394"/>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24"/>
                <w:szCs w:val="24"/>
                <w:color w:val="auto"/>
              </w:rPr>
            </w:pPr>
          </w:p>
        </w:tc>
        <w:tc>
          <w:tcPr>
            <w:tcW w:w="2000" w:type="dxa"/>
            <w:vAlign w:val="bottom"/>
            <w:gridSpan w:val="7"/>
          </w:tcPr>
          <w:p>
            <w:pPr>
              <w:ind w:left="160"/>
              <w:spacing w:after="0"/>
              <w:rPr>
                <w:sz w:val="20"/>
                <w:szCs w:val="20"/>
                <w:color w:val="auto"/>
              </w:rPr>
            </w:pPr>
            <w:r>
              <w:rPr>
                <w:rFonts w:ascii="Arial" w:cs="Arial" w:eastAsia="Arial" w:hAnsi="Arial"/>
                <w:sz w:val="14"/>
                <w:szCs w:val="14"/>
                <w:b w:val="1"/>
                <w:bCs w:val="1"/>
                <w:color w:val="auto"/>
              </w:rPr>
              <w:t>Nine Months Ended</w:t>
            </w:r>
          </w:p>
        </w:tc>
        <w:tc>
          <w:tcPr>
            <w:tcW w:w="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3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29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920" w:type="dxa"/>
            <w:vAlign w:val="bottom"/>
            <w:gridSpan w:val="4"/>
          </w:tcPr>
          <w:p>
            <w:pPr>
              <w:jc w:val="right"/>
              <w:ind w:right="614"/>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2000" w:type="dxa"/>
            <w:vAlign w:val="bottom"/>
            <w:gridSpan w:val="7"/>
          </w:tcPr>
          <w:p>
            <w:pPr>
              <w:ind w:left="340"/>
              <w:spacing w:after="0"/>
              <w:rPr>
                <w:sz w:val="20"/>
                <w:szCs w:val="20"/>
                <w:color w:val="auto"/>
              </w:rPr>
            </w:pPr>
            <w:r>
              <w:rPr>
                <w:rFonts w:ascii="Arial" w:cs="Arial" w:eastAsia="Arial" w:hAnsi="Arial"/>
                <w:sz w:val="14"/>
                <w:szCs w:val="14"/>
                <w:b w:val="1"/>
                <w:bCs w:val="1"/>
                <w:color w:val="auto"/>
              </w:rPr>
              <w:t>September 30,</w:t>
            </w:r>
          </w:p>
        </w:tc>
        <w:tc>
          <w:tcPr>
            <w:tcW w:w="2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4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42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b w:val="1"/>
                <w:bCs w:val="1"/>
                <w:color w:val="auto"/>
              </w:rPr>
              <w:t>(in thousands)</w:t>
            </w:r>
          </w:p>
        </w:tc>
        <w:tc>
          <w:tcPr>
            <w:tcW w:w="24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5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860" w:type="dxa"/>
            <w:vAlign w:val="bottom"/>
            <w:tcBorders>
              <w:top w:val="single" w:sz="8" w:color="auto"/>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2016</w:t>
            </w:r>
          </w:p>
        </w:tc>
        <w:tc>
          <w:tcPr>
            <w:tcW w:w="200" w:type="dxa"/>
            <w:vAlign w:val="bottom"/>
            <w:tcBorders>
              <w:top w:val="single" w:sz="8" w:color="auto"/>
              <w:bottom w:val="single" w:sz="8" w:color="auto"/>
            </w:tcBorders>
          </w:tcPr>
          <w:p>
            <w:pPr>
              <w:spacing w:after="0"/>
              <w:rPr>
                <w:sz w:val="22"/>
                <w:szCs w:val="22"/>
                <w:color w:val="auto"/>
              </w:rPr>
            </w:pPr>
          </w:p>
        </w:tc>
        <w:tc>
          <w:tcPr>
            <w:tcW w:w="720" w:type="dxa"/>
            <w:vAlign w:val="bottom"/>
            <w:tcBorders>
              <w:top w:val="single" w:sz="8" w:color="auto"/>
              <w:bottom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bottom w:val="single" w:sz="8" w:color="CCEEFF"/>
            </w:tcBorders>
          </w:tcPr>
          <w:p>
            <w:pPr>
              <w:spacing w:after="0"/>
              <w:rPr>
                <w:sz w:val="22"/>
                <w:szCs w:val="22"/>
                <w:color w:val="auto"/>
              </w:rPr>
            </w:pPr>
          </w:p>
        </w:tc>
        <w:tc>
          <w:tcPr>
            <w:tcW w:w="80" w:type="dxa"/>
            <w:vAlign w:val="bottom"/>
            <w:tcBorders>
              <w:top w:val="single" w:sz="8" w:color="auto"/>
              <w:bottom w:val="single" w:sz="8" w:color="auto"/>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80" w:type="dxa"/>
            <w:vAlign w:val="bottom"/>
            <w:tcBorders>
              <w:top w:val="single" w:sz="8" w:color="auto"/>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34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42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Foreign currency (gains) losses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(414)</w:t>
            </w:r>
          </w:p>
        </w:tc>
        <w:tc>
          <w:tcPr>
            <w:tcW w:w="120" w:type="dxa"/>
            <w:vAlign w:val="bottom"/>
            <w:tcBorders>
              <w:bottom w:val="single" w:sz="8" w:color="CCEEFF"/>
              <w:right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right w:val="single" w:sz="8" w:color="CCEEFF"/>
            </w:tcBorders>
            <w:shd w:val="clear" w:color="auto" w:fill="CCEEFF"/>
          </w:tcPr>
          <w:p>
            <w:pPr>
              <w:jc w:val="right"/>
              <w:ind w:right="154"/>
              <w:spacing w:after="0"/>
              <w:rPr>
                <w:sz w:val="20"/>
                <w:szCs w:val="20"/>
                <w:color w:val="auto"/>
              </w:rPr>
            </w:pPr>
            <w:r>
              <w:rPr>
                <w:rFonts w:ascii="Arial" w:cs="Arial" w:eastAsia="Arial" w:hAnsi="Arial"/>
                <w:sz w:val="18"/>
                <w:szCs w:val="18"/>
                <w:color w:val="auto"/>
              </w:rPr>
              <w:t>349</w:t>
            </w:r>
          </w:p>
        </w:tc>
        <w:tc>
          <w:tcPr>
            <w:tcW w:w="2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(554)</w:t>
            </w:r>
          </w:p>
        </w:tc>
        <w:tc>
          <w:tcPr>
            <w:tcW w:w="100" w:type="dxa"/>
            <w:vAlign w:val="bottom"/>
            <w:tcBorders>
              <w:bottom w:val="single" w:sz="8" w:color="CCEEFF"/>
              <w:right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4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4260" w:type="dxa"/>
            <w:vAlign w:val="bottom"/>
            <w:gridSpan w:val="2"/>
          </w:tcPr>
          <w:p>
            <w:pPr>
              <w:ind w:left="20"/>
              <w:spacing w:after="0"/>
              <w:rPr>
                <w:sz w:val="20"/>
                <w:szCs w:val="20"/>
                <w:color w:val="auto"/>
              </w:rPr>
            </w:pPr>
            <w:r>
              <w:rPr>
                <w:rFonts w:ascii="Arial" w:cs="Arial" w:eastAsia="Arial" w:hAnsi="Arial"/>
                <w:sz w:val="18"/>
                <w:szCs w:val="18"/>
                <w:color w:val="auto"/>
              </w:rPr>
              <w:t>Tax indemnification income</w:t>
            </w:r>
          </w:p>
        </w:tc>
        <w:tc>
          <w:tcPr>
            <w:tcW w:w="24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(489)</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60" w:type="dxa"/>
            <w:vAlign w:val="bottom"/>
          </w:tcPr>
          <w:p>
            <w:pPr>
              <w:jc w:val="right"/>
              <w:ind w:right="94"/>
              <w:spacing w:after="0"/>
              <w:rPr>
                <w:sz w:val="20"/>
                <w:szCs w:val="20"/>
                <w:color w:val="auto"/>
              </w:rPr>
            </w:pPr>
            <w:r>
              <w:rPr>
                <w:rFonts w:ascii="Arial" w:cs="Arial" w:eastAsia="Arial" w:hAnsi="Arial"/>
                <w:sz w:val="18"/>
                <w:szCs w:val="18"/>
                <w:color w:val="auto"/>
              </w:rPr>
              <w:t>(196)</w:t>
            </w:r>
          </w:p>
        </w:tc>
        <w:tc>
          <w:tcPr>
            <w:tcW w:w="20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(1,469)</w:t>
            </w: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(632)</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940" w:type="dxa"/>
            <w:vAlign w:val="bottom"/>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42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Other income</w:t>
            </w:r>
          </w:p>
        </w:tc>
        <w:tc>
          <w:tcPr>
            <w:tcW w:w="24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20" w:type="dxa"/>
            <w:vAlign w:val="bottom"/>
            <w:tcBorders>
              <w:bottom w:val="single" w:sz="8" w:color="CCEEFF"/>
              <w:right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right w:val="single" w:sz="8" w:color="CCEEFF"/>
            </w:tcBorders>
            <w:shd w:val="clear" w:color="auto" w:fill="CCEEFF"/>
          </w:tcPr>
          <w:p>
            <w:pPr>
              <w:jc w:val="right"/>
              <w:ind w:right="94"/>
              <w:spacing w:after="0"/>
              <w:rPr>
                <w:sz w:val="20"/>
                <w:szCs w:val="20"/>
                <w:color w:val="auto"/>
              </w:rPr>
            </w:pPr>
            <w:r>
              <w:rPr>
                <w:rFonts w:ascii="Arial" w:cs="Arial" w:eastAsia="Arial" w:hAnsi="Arial"/>
                <w:sz w:val="18"/>
                <w:szCs w:val="18"/>
                <w:color w:val="auto"/>
              </w:rPr>
              <w:t>(5)</w:t>
            </w:r>
          </w:p>
        </w:tc>
        <w:tc>
          <w:tcPr>
            <w:tcW w:w="20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right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3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4260" w:type="dxa"/>
            <w:vAlign w:val="bottom"/>
            <w:gridSpan w:val="2"/>
          </w:tcPr>
          <w:p>
            <w:pPr>
              <w:ind w:left="380"/>
              <w:spacing w:after="0"/>
              <w:rPr>
                <w:sz w:val="20"/>
                <w:szCs w:val="20"/>
                <w:color w:val="auto"/>
              </w:rPr>
            </w:pPr>
            <w:r>
              <w:rPr>
                <w:rFonts w:ascii="Arial" w:cs="Arial" w:eastAsia="Arial" w:hAnsi="Arial"/>
                <w:sz w:val="18"/>
                <w:szCs w:val="18"/>
                <w:color w:val="auto"/>
              </w:rPr>
              <w:t>Total other (income) expense</w:t>
            </w: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(908)</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tcPr>
          <w:p>
            <w:pPr>
              <w:jc w:val="right"/>
              <w:ind w:right="154"/>
              <w:spacing w:after="0"/>
              <w:rPr>
                <w:sz w:val="20"/>
                <w:szCs w:val="20"/>
                <w:color w:val="auto"/>
              </w:rPr>
            </w:pPr>
            <w:r>
              <w:rPr>
                <w:rFonts w:ascii="Arial" w:cs="Arial" w:eastAsia="Arial" w:hAnsi="Arial"/>
                <w:sz w:val="18"/>
                <w:szCs w:val="18"/>
                <w:color w:val="auto"/>
              </w:rPr>
              <w:t>148</w:t>
            </w:r>
          </w:p>
        </w:tc>
        <w:tc>
          <w:tcPr>
            <w:tcW w:w="200" w:type="dxa"/>
            <w:vAlign w:val="bottom"/>
            <w:tcBorders>
              <w:top w:val="single" w:sz="8" w:color="auto"/>
            </w:tcBorders>
          </w:tcPr>
          <w:p>
            <w:pPr>
              <w:jc w:val="right"/>
              <w:ind w:right="36"/>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(2,037)</w:t>
            </w:r>
          </w:p>
        </w:tc>
        <w:tc>
          <w:tcPr>
            <w:tcW w:w="100" w:type="dxa"/>
            <w:vAlign w:val="bottom"/>
          </w:tcPr>
          <w:p>
            <w:pPr>
              <w:spacing w:after="0"/>
              <w:rPr>
                <w:sz w:val="20"/>
                <w:szCs w:val="20"/>
                <w:color w:val="auto"/>
              </w:rPr>
            </w:pPr>
          </w:p>
        </w:tc>
        <w:tc>
          <w:tcPr>
            <w:tcW w:w="260" w:type="dxa"/>
            <w:vAlign w:val="bottom"/>
            <w:tcBorders>
              <w:top w:val="single" w:sz="8" w:color="auto"/>
            </w:tcBorders>
            <w:gridSpan w:val="2"/>
          </w:tcPr>
          <w:p>
            <w:pPr>
              <w:jc w:val="right"/>
              <w:ind w:right="140"/>
              <w:spacing w:after="0"/>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(317)</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9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9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Legal Proceedings and Contingencies</w:t>
      </w:r>
    </w:p>
    <w:p>
      <w:pPr>
        <w:spacing w:after="0" w:line="121"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From time to time, the Company is a party to various legal proceedings arising in the ordinary course of business. In addition, the Company has in the past been, and may in the future be, subject to investigations by governmental and regulatory authorities, which expose it to greater risks associated with litigation, regulatory or other proceedings, as a result of which the Company could be required to pay significant fines or penalties. The outcome of litigation, regulatory or other proceedings cannot be predicted with certainty, and some lawsuits, claims, actions or proceedings may be disposed of unfavorably to the Company. In addition, intellectual property disputes often have a risk of injunctive relief which, if imposed against the Company, could materially and adversely affect its financial condition or results of operations.</w:t>
      </w:r>
    </w:p>
    <w:p>
      <w:pPr>
        <w:spacing w:after="0" w:line="207" w:lineRule="exact"/>
        <w:rPr>
          <w:sz w:val="20"/>
          <w:szCs w:val="20"/>
          <w:color w:val="auto"/>
        </w:rPr>
      </w:pPr>
    </w:p>
    <w:p>
      <w:pPr>
        <w:jc w:val="both"/>
        <w:ind w:right="240" w:firstLine="405"/>
        <w:spacing w:after="0" w:line="264" w:lineRule="auto"/>
        <w:rPr>
          <w:sz w:val="20"/>
          <w:szCs w:val="20"/>
          <w:color w:val="auto"/>
        </w:rPr>
      </w:pPr>
      <w:r>
        <w:rPr>
          <w:rFonts w:ascii="Arial" w:cs="Arial" w:eastAsia="Arial" w:hAnsi="Arial"/>
          <w:sz w:val="18"/>
          <w:szCs w:val="18"/>
          <w:color w:val="auto"/>
        </w:rPr>
        <w:t>As of September 30, 2017, the Company has no material ongoing litigation in which the Company was a party or any material ongoing regulatory or other proceedings and had no knowledge of any investigations by government or regulatory authorities in which the Company is a target that could have a material adverse effect on its current business.</w:t>
      </w:r>
    </w:p>
    <w:p>
      <w:pPr>
        <w:spacing w:after="0" w:line="200" w:lineRule="exact"/>
        <w:rPr>
          <w:sz w:val="20"/>
          <w:szCs w:val="20"/>
          <w:color w:val="auto"/>
        </w:rPr>
      </w:pPr>
    </w:p>
    <w:p>
      <w:pPr>
        <w:spacing w:after="0" w:line="238"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60"/>
          </w:cols>
          <w:pgMar w:left="240" w:top="121" w:right="29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Related Party Transactions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Related party expenses consisted of the following:</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54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40" w:type="dxa"/>
            <w:vAlign w:val="bottom"/>
            <w:gridSpan w:val="5"/>
          </w:tcPr>
          <w:p>
            <w:pPr>
              <w:ind w:left="8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620" w:type="dxa"/>
            <w:vAlign w:val="bottom"/>
            <w:gridSpan w:val="4"/>
          </w:tcPr>
          <w:p>
            <w:pPr>
              <w:jc w:val="right"/>
              <w:ind w:right="194"/>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540" w:type="dxa"/>
            <w:vAlign w:val="bottom"/>
          </w:tcPr>
          <w:p>
            <w:pPr>
              <w:spacing w:after="0"/>
              <w:rPr>
                <w:sz w:val="16"/>
                <w:szCs w:val="16"/>
                <w:color w:val="auto"/>
              </w:rPr>
            </w:pPr>
          </w:p>
        </w:tc>
        <w:tc>
          <w:tcPr>
            <w:tcW w:w="35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740" w:type="dxa"/>
            <w:vAlign w:val="bottom"/>
            <w:gridSpan w:val="5"/>
          </w:tcPr>
          <w:p>
            <w:pPr>
              <w:ind w:left="300"/>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1620" w:type="dxa"/>
            <w:vAlign w:val="bottom"/>
            <w:gridSpan w:val="4"/>
          </w:tcPr>
          <w:p>
            <w:pPr>
              <w:jc w:val="right"/>
              <w:ind w:right="374"/>
              <w:spacing w:after="0"/>
              <w:rPr>
                <w:sz w:val="20"/>
                <w:szCs w:val="20"/>
                <w:color w:val="auto"/>
              </w:rPr>
            </w:pPr>
            <w:r>
              <w:rPr>
                <w:rFonts w:ascii="Arial" w:cs="Arial" w:eastAsia="Arial" w:hAnsi="Arial"/>
                <w:sz w:val="14"/>
                <w:szCs w:val="14"/>
                <w:b w:val="1"/>
                <w:bCs w:val="1"/>
                <w:color w:val="auto"/>
              </w:rPr>
              <w:t>September 30,</w:t>
            </w:r>
          </w:p>
        </w:tc>
      </w:tr>
      <w:tr>
        <w:trPr>
          <w:trHeight w:val="229"/>
        </w:trPr>
        <w:tc>
          <w:tcPr>
            <w:tcW w:w="3460" w:type="dxa"/>
            <w:vAlign w:val="bottom"/>
            <w:gridSpan w:val="3"/>
          </w:tcPr>
          <w:p>
            <w:pPr>
              <w:ind w:left="40"/>
              <w:spacing w:after="0"/>
              <w:rPr>
                <w:sz w:val="20"/>
                <w:szCs w:val="20"/>
                <w:color w:val="auto"/>
              </w:rPr>
            </w:pPr>
            <w:r>
              <w:rPr>
                <w:rFonts w:ascii="Arial" w:cs="Arial" w:eastAsia="Arial" w:hAnsi="Arial"/>
                <w:sz w:val="14"/>
                <w:szCs w:val="14"/>
                <w:b w:val="1"/>
                <w:bCs w:val="1"/>
                <w:color w:val="auto"/>
              </w:rPr>
              <w:t>(in thousands)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1"/>
              </w:rPr>
              <w:t>Transaction Type</w:t>
            </w:r>
          </w:p>
        </w:tc>
        <w:tc>
          <w:tcPr>
            <w:tcW w:w="20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ind w:left="100"/>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ind w:right="19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2016</w:t>
            </w: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2540" w:type="dxa"/>
            <w:vAlign w:val="bottom"/>
            <w:tcBorders>
              <w:bottom w:val="single" w:sz="8" w:color="CCEEFF"/>
            </w:tcBorders>
          </w:tcPr>
          <w:p>
            <w:pPr>
              <w:spacing w:after="0" w:line="20" w:lineRule="exact"/>
              <w:rPr>
                <w:sz w:val="1"/>
                <w:szCs w:val="1"/>
                <w:color w:val="auto"/>
              </w:rPr>
            </w:pPr>
          </w:p>
        </w:tc>
        <w:tc>
          <w:tcPr>
            <w:tcW w:w="35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r>
        <w:trPr>
          <w:trHeight w:val="222"/>
        </w:trPr>
        <w:tc>
          <w:tcPr>
            <w:tcW w:w="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2540" w:type="dxa"/>
            <w:vAlign w:val="bottom"/>
            <w:shd w:val="clear" w:color="auto" w:fill="CCEEFF"/>
          </w:tcPr>
          <w:p>
            <w:pPr>
              <w:spacing w:after="0"/>
              <w:rPr>
                <w:sz w:val="19"/>
                <w:szCs w:val="19"/>
                <w:color w:val="auto"/>
              </w:rPr>
            </w:pPr>
          </w:p>
        </w:tc>
        <w:tc>
          <w:tcPr>
            <w:tcW w:w="35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Offering costs paid on behalf of Avista pursuant</w:t>
            </w:r>
          </w:p>
        </w:tc>
        <w:tc>
          <w:tcPr>
            <w:tcW w:w="2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r>
      <w:tr>
        <w:trPr>
          <w:trHeight w:val="237"/>
        </w:trPr>
        <w:tc>
          <w:tcPr>
            <w:tcW w:w="346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w w:val="94"/>
              </w:rPr>
              <w:t>Avista Capital Partners, L.P. and its affiliates*</w:t>
            </w:r>
          </w:p>
        </w:tc>
        <w:tc>
          <w:tcPr>
            <w:tcW w:w="35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to registration rights agreement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326</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r>
      <w:tr>
        <w:trPr>
          <w:trHeight w:val="243"/>
        </w:trPr>
        <w:tc>
          <w:tcPr>
            <w:tcW w:w="3460" w:type="dxa"/>
            <w:vAlign w:val="bottom"/>
            <w:gridSpan w:val="3"/>
          </w:tcPr>
          <w:p>
            <w:pPr>
              <w:ind w:left="40"/>
              <w:spacing w:after="0"/>
              <w:rPr>
                <w:sz w:val="20"/>
                <w:szCs w:val="20"/>
                <w:color w:val="auto"/>
              </w:rPr>
            </w:pPr>
            <w:r>
              <w:rPr>
                <w:rFonts w:ascii="Arial" w:cs="Arial" w:eastAsia="Arial" w:hAnsi="Arial"/>
                <w:sz w:val="18"/>
                <w:szCs w:val="18"/>
                <w:color w:val="auto"/>
              </w:rPr>
              <w:t>INC Research Holdings, Inc. (“INC”)**</w:t>
            </w:r>
          </w:p>
        </w:tc>
        <w:tc>
          <w:tcPr>
            <w:tcW w:w="3540" w:type="dxa"/>
            <w:vAlign w:val="bottom"/>
          </w:tcPr>
          <w:p>
            <w:pPr>
              <w:jc w:val="center"/>
              <w:spacing w:after="0"/>
              <w:rPr>
                <w:sz w:val="20"/>
                <w:szCs w:val="20"/>
                <w:color w:val="auto"/>
              </w:rPr>
            </w:pPr>
            <w:r>
              <w:rPr>
                <w:rFonts w:ascii="Arial" w:cs="Arial" w:eastAsia="Arial" w:hAnsi="Arial"/>
                <w:sz w:val="18"/>
                <w:szCs w:val="18"/>
                <w:color w:val="auto"/>
                <w:w w:val="89"/>
              </w:rPr>
              <w:t>Pharmacovigilance services</w:t>
            </w:r>
          </w:p>
        </w:tc>
        <w:tc>
          <w:tcPr>
            <w:tcW w:w="200" w:type="dxa"/>
            <w:vAlign w:val="bottom"/>
          </w:tcPr>
          <w:p>
            <w:pPr>
              <w:spacing w:after="0"/>
              <w:rPr>
                <w:sz w:val="21"/>
                <w:szCs w:val="21"/>
                <w:color w:val="auto"/>
              </w:rPr>
            </w:pPr>
          </w:p>
        </w:tc>
        <w:tc>
          <w:tcPr>
            <w:tcW w:w="78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Arial" w:cs="Arial" w:eastAsia="Arial" w:hAnsi="Arial"/>
                <w:sz w:val="18"/>
                <w:szCs w:val="18"/>
                <w:color w:val="auto"/>
              </w:rPr>
              <w:t>293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Arial" w:cs="Arial" w:eastAsia="Arial" w:hAnsi="Arial"/>
                <w:sz w:val="18"/>
                <w:szCs w:val="18"/>
                <w:color w:val="auto"/>
              </w:rPr>
              <w:t>647</w:t>
            </w:r>
          </w:p>
        </w:tc>
      </w:tr>
      <w:tr>
        <w:trPr>
          <w:trHeight w:val="27"/>
        </w:trPr>
        <w:tc>
          <w:tcPr>
            <w:tcW w:w="40" w:type="dxa"/>
            <w:vAlign w:val="bottom"/>
          </w:tcPr>
          <w:p>
            <w:pPr>
              <w:spacing w:after="0"/>
              <w:rPr>
                <w:sz w:val="2"/>
                <w:szCs w:val="2"/>
                <w:color w:val="auto"/>
              </w:rPr>
            </w:pPr>
          </w:p>
        </w:tc>
        <w:tc>
          <w:tcPr>
            <w:tcW w:w="880" w:type="dxa"/>
            <w:vAlign w:val="bottom"/>
          </w:tcPr>
          <w:p>
            <w:pPr>
              <w:spacing w:after="0"/>
              <w:rPr>
                <w:sz w:val="2"/>
                <w:szCs w:val="2"/>
                <w:color w:val="auto"/>
              </w:rPr>
            </w:pPr>
          </w:p>
        </w:tc>
        <w:tc>
          <w:tcPr>
            <w:tcW w:w="2540" w:type="dxa"/>
            <w:vAlign w:val="bottom"/>
          </w:tcPr>
          <w:p>
            <w:pPr>
              <w:spacing w:after="0"/>
              <w:rPr>
                <w:sz w:val="2"/>
                <w:szCs w:val="2"/>
                <w:color w:val="auto"/>
              </w:rPr>
            </w:pPr>
          </w:p>
        </w:tc>
        <w:tc>
          <w:tcPr>
            <w:tcW w:w="35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70"/>
        </w:trPr>
        <w:tc>
          <w:tcPr>
            <w:tcW w:w="346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VWR Scientific*</w:t>
            </w:r>
          </w:p>
        </w:tc>
        <w:tc>
          <w:tcPr>
            <w:tcW w:w="35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2"/>
              </w:rPr>
              <w:t>Inventory supplies</w:t>
            </w:r>
          </w:p>
        </w:tc>
        <w:tc>
          <w:tcPr>
            <w:tcW w:w="2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297</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245</w:t>
            </w:r>
          </w:p>
        </w:tc>
      </w:tr>
      <w:tr>
        <w:trPr>
          <w:trHeight w:val="257"/>
        </w:trPr>
        <w:tc>
          <w:tcPr>
            <w:tcW w:w="40" w:type="dxa"/>
            <w:vAlign w:val="bottom"/>
          </w:tcPr>
          <w:p>
            <w:pPr>
              <w:spacing w:after="0"/>
              <w:rPr>
                <w:sz w:val="22"/>
                <w:szCs w:val="22"/>
                <w:color w:val="auto"/>
              </w:rPr>
            </w:pPr>
          </w:p>
        </w:tc>
        <w:tc>
          <w:tcPr>
            <w:tcW w:w="3420" w:type="dxa"/>
            <w:vAlign w:val="bottom"/>
            <w:gridSpan w:val="2"/>
          </w:tcPr>
          <w:p>
            <w:pPr>
              <w:ind w:left="340"/>
              <w:spacing w:after="0"/>
              <w:rPr>
                <w:sz w:val="20"/>
                <w:szCs w:val="20"/>
                <w:color w:val="auto"/>
              </w:rPr>
            </w:pPr>
            <w:r>
              <w:rPr>
                <w:rFonts w:ascii="Arial" w:cs="Arial" w:eastAsia="Arial" w:hAnsi="Arial"/>
                <w:sz w:val="18"/>
                <w:szCs w:val="18"/>
                <w:color w:val="auto"/>
              </w:rPr>
              <w:t>Total related party expenses</w:t>
            </w:r>
          </w:p>
        </w:tc>
        <w:tc>
          <w:tcPr>
            <w:tcW w:w="354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bottom w:val="single" w:sz="8" w:color="auto"/>
            </w:tcBorders>
          </w:tcPr>
          <w:p>
            <w:pPr>
              <w:ind w:left="4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353</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auto"/>
            </w:tcBorders>
          </w:tcPr>
          <w:p>
            <w:pPr>
              <w:jc w:val="right"/>
              <w:ind w:right="18"/>
              <w:spacing w:after="0"/>
              <w:rPr>
                <w:sz w:val="20"/>
                <w:szCs w:val="20"/>
                <w:color w:val="auto"/>
              </w:rPr>
            </w:pPr>
            <w:r>
              <w:rPr>
                <w:rFonts w:ascii="Arial" w:cs="Arial" w:eastAsia="Arial" w:hAnsi="Arial"/>
                <w:sz w:val="18"/>
                <w:szCs w:val="18"/>
                <w:color w:val="auto"/>
              </w:rPr>
              <w:t>623</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892</w:t>
            </w:r>
          </w:p>
        </w:tc>
      </w:tr>
      <w:tr>
        <w:trPr>
          <w:trHeight w:val="20"/>
        </w:trPr>
        <w:tc>
          <w:tcPr>
            <w:tcW w:w="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bl>
    <w:p>
      <w:pPr>
        <w:spacing w:after="0" w:line="215" w:lineRule="exact"/>
        <w:rPr>
          <w:sz w:val="20"/>
          <w:szCs w:val="20"/>
          <w:color w:val="auto"/>
        </w:rPr>
      </w:pPr>
    </w:p>
    <w:p>
      <w:pPr>
        <w:ind w:firstLine="413"/>
        <w:spacing w:after="0" w:line="279" w:lineRule="auto"/>
        <w:tabs>
          <w:tab w:leader="none" w:pos="540" w:val="left"/>
        </w:tabs>
        <w:numPr>
          <w:ilvl w:val="0"/>
          <w:numId w:val="5"/>
        </w:numPr>
        <w:rPr>
          <w:rFonts w:ascii="Arial" w:cs="Arial" w:eastAsia="Arial" w:hAnsi="Arial"/>
          <w:sz w:val="17"/>
          <w:szCs w:val="17"/>
          <w:color w:val="auto"/>
        </w:rPr>
      </w:pPr>
      <w:r>
        <w:rPr>
          <w:rFonts w:ascii="Arial" w:cs="Arial" w:eastAsia="Arial" w:hAnsi="Arial"/>
          <w:sz w:val="17"/>
          <w:szCs w:val="17"/>
          <w:color w:val="auto"/>
        </w:rPr>
        <w:t>During the quarter ended September 30, 2017, Avista Capital Partners, L.P., Avista Capital Partners (Offshore), L.P. and ACP-Lantern Co-Invest, LLC (collectively, “Avista”) distributed approximately 6.3 million shares of common stock of the Company in the aggregate, representing the remainder of their holdings in the Company. The transactions were effected as distributions-in-kind of the Company’s common stock to the investors in those investment funds. As such, Avista and VWR Scientific (an entity in which Avista had an interest) are no longer related parties.</w:t>
      </w:r>
    </w:p>
    <w:p>
      <w:pPr>
        <w:spacing w:after="0" w:line="185" w:lineRule="exact"/>
        <w:rPr>
          <w:sz w:val="20"/>
          <w:szCs w:val="20"/>
          <w:color w:val="auto"/>
        </w:rPr>
      </w:pPr>
    </w:p>
    <w:p>
      <w:pPr>
        <w:ind w:right="180" w:firstLine="413"/>
        <w:spacing w:after="0" w:line="264" w:lineRule="auto"/>
        <w:tabs>
          <w:tab w:leader="none" w:pos="630" w:val="left"/>
        </w:tabs>
        <w:numPr>
          <w:ilvl w:val="0"/>
          <w:numId w:val="6"/>
        </w:numPr>
        <w:rPr>
          <w:rFonts w:ascii="Arial" w:cs="Arial" w:eastAsia="Arial" w:hAnsi="Arial"/>
          <w:sz w:val="18"/>
          <w:szCs w:val="18"/>
          <w:color w:val="auto"/>
        </w:rPr>
      </w:pPr>
      <w:r>
        <w:rPr>
          <w:rFonts w:ascii="Arial" w:cs="Arial" w:eastAsia="Arial" w:hAnsi="Arial"/>
          <w:sz w:val="18"/>
          <w:szCs w:val="18"/>
          <w:color w:val="auto"/>
        </w:rPr>
        <w:t>During the year ended December 31, 2016, investment funds affiliated with Avista disposed of shares of INC common stock held by them. As a result, such investment funds were no longer a principal owner of INC. Related party expenses included in this table represent expenses incurred during the period under which investment funds affiliated with Avista held an investment in INC.</w:t>
      </w:r>
    </w:p>
    <w:p>
      <w:pPr>
        <w:spacing w:after="0" w:line="19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Amounts billed and unbilled for related parties included in accounts payable and accrued expenses are immaterial at December 31, 2016.</w:t>
      </w: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Segment Information</w:t>
      </w:r>
    </w:p>
    <w:p>
      <w:pPr>
        <w:spacing w:after="0" w:line="121" w:lineRule="exact"/>
        <w:rPr>
          <w:sz w:val="20"/>
          <w:szCs w:val="20"/>
          <w:color w:val="auto"/>
        </w:rPr>
      </w:pPr>
    </w:p>
    <w:p>
      <w:pPr>
        <w:ind w:right="120" w:firstLine="405"/>
        <w:spacing w:after="0" w:line="302" w:lineRule="auto"/>
        <w:rPr>
          <w:sz w:val="20"/>
          <w:szCs w:val="20"/>
          <w:color w:val="auto"/>
        </w:rPr>
      </w:pPr>
      <w:r>
        <w:rPr>
          <w:rFonts w:ascii="Arial" w:cs="Arial" w:eastAsia="Arial" w:hAnsi="Arial"/>
          <w:sz w:val="16"/>
          <w:szCs w:val="16"/>
          <w:color w:val="auto"/>
        </w:rPr>
        <w:t>The Company reports two operating segments, U.S. and International, based on geographic customer base. The results of these operating segments are regularly reviewed by the Company’s chief operating decision maker, the President and Chief Executive Officer. The Company’s segments derive revenues through the manufacture, marketing, selling and distribution of medical imaging products, focused primarily on cardiovascular diagnostic imaging. All goodwill has been allocated to the U.S. operating segment. The Company does not identify or allocate assets to its segments.</w:t>
      </w:r>
    </w:p>
    <w:p>
      <w:pPr>
        <w:spacing w:after="0" w:line="16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Selected information for each operating segment is as follows:</w:t>
      </w:r>
    </w:p>
    <w:p>
      <w:pPr>
        <w:spacing w:after="0" w:line="380" w:lineRule="exact"/>
        <w:rPr>
          <w:sz w:val="20"/>
          <w:szCs w:val="20"/>
          <w:color w:val="auto"/>
        </w:rPr>
      </w:pPr>
    </w:p>
    <w:tbl>
      <w:tblPr>
        <w:tblLayout w:type="fixed"/>
        <w:tblInd w:w="14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94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93"/>
              </w:rPr>
              <w:t>Three Months Ended</w:t>
            </w:r>
          </w:p>
        </w:tc>
        <w:tc>
          <w:tcPr>
            <w:tcW w:w="200" w:type="dxa"/>
            <w:vAlign w:val="bottom"/>
          </w:tcPr>
          <w:p>
            <w:pPr>
              <w:spacing w:after="0"/>
              <w:rPr>
                <w:sz w:val="14"/>
                <w:szCs w:val="14"/>
                <w:color w:val="auto"/>
              </w:rPr>
            </w:pPr>
          </w:p>
        </w:tc>
        <w:tc>
          <w:tcPr>
            <w:tcW w:w="1880" w:type="dxa"/>
            <w:vAlign w:val="bottom"/>
            <w:gridSpan w:val="4"/>
          </w:tcPr>
          <w:p>
            <w:pPr>
              <w:jc w:val="right"/>
              <w:ind w:right="331"/>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35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4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1"/>
              </w:rPr>
              <w:t>September 30,</w:t>
            </w:r>
          </w:p>
        </w:tc>
        <w:tc>
          <w:tcPr>
            <w:tcW w:w="200" w:type="dxa"/>
            <w:vAlign w:val="bottom"/>
          </w:tcPr>
          <w:p>
            <w:pPr>
              <w:spacing w:after="0"/>
              <w:rPr>
                <w:sz w:val="16"/>
                <w:szCs w:val="16"/>
                <w:color w:val="auto"/>
              </w:rPr>
            </w:pPr>
          </w:p>
        </w:tc>
        <w:tc>
          <w:tcPr>
            <w:tcW w:w="1880" w:type="dxa"/>
            <w:vAlign w:val="bottom"/>
            <w:gridSpan w:val="4"/>
          </w:tcPr>
          <w:p>
            <w:pPr>
              <w:jc w:val="right"/>
              <w:ind w:right="511"/>
              <w:spacing w:after="0"/>
              <w:rPr>
                <w:sz w:val="20"/>
                <w:szCs w:val="20"/>
                <w:color w:val="auto"/>
              </w:rPr>
            </w:pPr>
            <w:r>
              <w:rPr>
                <w:rFonts w:ascii="Arial" w:cs="Arial" w:eastAsia="Arial" w:hAnsi="Arial"/>
                <w:sz w:val="14"/>
                <w:szCs w:val="14"/>
                <w:b w:val="1"/>
                <w:bCs w:val="1"/>
                <w:color w:val="auto"/>
              </w:rPr>
              <w:t>September 30,</w:t>
            </w:r>
          </w:p>
        </w:tc>
      </w:tr>
      <w:tr>
        <w:trPr>
          <w:trHeight w:val="229"/>
        </w:trPr>
        <w:tc>
          <w:tcPr>
            <w:tcW w:w="20" w:type="dxa"/>
            <w:vAlign w:val="bottom"/>
          </w:tcPr>
          <w:p>
            <w:pPr>
              <w:spacing w:after="0"/>
              <w:rPr>
                <w:sz w:val="19"/>
                <w:szCs w:val="19"/>
                <w:color w:val="auto"/>
              </w:rPr>
            </w:pPr>
          </w:p>
        </w:tc>
        <w:tc>
          <w:tcPr>
            <w:tcW w:w="4380" w:type="dxa"/>
            <w:vAlign w:val="bottom"/>
            <w:gridSpan w:val="2"/>
          </w:tcPr>
          <w:p>
            <w:pPr>
              <w:spacing w:after="0"/>
              <w:rPr>
                <w:sz w:val="20"/>
                <w:szCs w:val="20"/>
                <w:color w:val="auto"/>
              </w:rPr>
            </w:pPr>
            <w:r>
              <w:rPr>
                <w:rFonts w:ascii="Arial" w:cs="Arial" w:eastAsia="Arial" w:hAnsi="Arial"/>
                <w:sz w:val="14"/>
                <w:szCs w:val="14"/>
                <w:b w:val="1"/>
                <w:bCs w:val="1"/>
                <w:color w:val="auto"/>
              </w:rPr>
              <w:t>(in thousands)</w:t>
            </w:r>
          </w:p>
        </w:tc>
        <w:tc>
          <w:tcPr>
            <w:tcW w:w="2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ind w:right="27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jc w:val="right"/>
              <w:ind w:right="271"/>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jc w:val="right"/>
              <w:ind w:right="271"/>
              <w:spacing w:after="0"/>
              <w:rPr>
                <w:sz w:val="20"/>
                <w:szCs w:val="20"/>
                <w:color w:val="auto"/>
              </w:rPr>
            </w:pPr>
            <w:r>
              <w:rPr>
                <w:rFonts w:ascii="Arial" w:cs="Arial" w:eastAsia="Arial" w:hAnsi="Arial"/>
                <w:sz w:val="14"/>
                <w:szCs w:val="14"/>
                <w:b w:val="1"/>
                <w:bCs w:val="1"/>
                <w:color w:val="auto"/>
              </w:rPr>
              <w:t>2016</w:t>
            </w: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35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43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Revenues from external customers</w:t>
            </w: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4380" w:type="dxa"/>
            <w:vAlign w:val="bottom"/>
            <w:gridSpan w:val="2"/>
          </w:tcPr>
          <w:p>
            <w:pPr>
              <w:spacing w:after="0"/>
              <w:rPr>
                <w:sz w:val="20"/>
                <w:szCs w:val="20"/>
                <w:color w:val="auto"/>
              </w:rPr>
            </w:pPr>
            <w:r>
              <w:rPr>
                <w:rFonts w:ascii="Arial" w:cs="Arial" w:eastAsia="Arial" w:hAnsi="Arial"/>
                <w:sz w:val="18"/>
                <w:szCs w:val="18"/>
                <w:color w:val="auto"/>
              </w:rPr>
              <w:t>U.S.</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69,579</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62,621</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ind w:right="14"/>
              <w:spacing w:after="0"/>
              <w:rPr>
                <w:sz w:val="20"/>
                <w:szCs w:val="20"/>
                <w:color w:val="auto"/>
              </w:rPr>
            </w:pPr>
            <w:r>
              <w:rPr>
                <w:rFonts w:ascii="Arial" w:cs="Arial" w:eastAsia="Arial" w:hAnsi="Arial"/>
                <w:sz w:val="18"/>
                <w:szCs w:val="18"/>
                <w:color w:val="auto"/>
              </w:rPr>
              <w:t>218,706</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192,687</w:t>
            </w:r>
          </w:p>
        </w:tc>
      </w:tr>
      <w:tr>
        <w:trPr>
          <w:trHeight w:val="27"/>
        </w:trPr>
        <w:tc>
          <w:tcPr>
            <w:tcW w:w="20" w:type="dxa"/>
            <w:vAlign w:val="bottom"/>
          </w:tcPr>
          <w:p>
            <w:pPr>
              <w:spacing w:after="0"/>
              <w:rPr>
                <w:sz w:val="2"/>
                <w:szCs w:val="2"/>
                <w:color w:val="auto"/>
              </w:rPr>
            </w:pPr>
          </w:p>
        </w:tc>
        <w:tc>
          <w:tcPr>
            <w:tcW w:w="880" w:type="dxa"/>
            <w:vAlign w:val="bottom"/>
          </w:tcPr>
          <w:p>
            <w:pPr>
              <w:spacing w:after="0"/>
              <w:rPr>
                <w:sz w:val="2"/>
                <w:szCs w:val="2"/>
                <w:color w:val="auto"/>
              </w:rPr>
            </w:pPr>
          </w:p>
        </w:tc>
        <w:tc>
          <w:tcPr>
            <w:tcW w:w="35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43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International</w:t>
            </w: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10,362</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10,442</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31,431</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34,816</w:t>
            </w:r>
          </w:p>
        </w:tc>
      </w:tr>
      <w:tr>
        <w:trPr>
          <w:trHeight w:val="237"/>
        </w:trPr>
        <w:tc>
          <w:tcPr>
            <w:tcW w:w="20" w:type="dxa"/>
            <w:vAlign w:val="bottom"/>
          </w:tcPr>
          <w:p>
            <w:pPr>
              <w:spacing w:after="0"/>
              <w:rPr>
                <w:sz w:val="20"/>
                <w:szCs w:val="20"/>
                <w:color w:val="auto"/>
              </w:rPr>
            </w:pPr>
          </w:p>
        </w:tc>
        <w:tc>
          <w:tcPr>
            <w:tcW w:w="4380" w:type="dxa"/>
            <w:vAlign w:val="bottom"/>
            <w:gridSpan w:val="2"/>
          </w:tcPr>
          <w:p>
            <w:pPr>
              <w:ind w:left="360"/>
              <w:spacing w:after="0"/>
              <w:rPr>
                <w:sz w:val="20"/>
                <w:szCs w:val="20"/>
                <w:color w:val="auto"/>
              </w:rPr>
            </w:pPr>
            <w:r>
              <w:rPr>
                <w:rFonts w:ascii="Arial" w:cs="Arial" w:eastAsia="Arial" w:hAnsi="Arial"/>
                <w:sz w:val="18"/>
                <w:szCs w:val="18"/>
                <w:color w:val="auto"/>
              </w:rPr>
              <w:t>Total revenues from external customers</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79,941</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73,063</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250,137</w:t>
            </w:r>
          </w:p>
        </w:tc>
        <w:tc>
          <w:tcPr>
            <w:tcW w:w="120" w:type="dxa"/>
            <w:vAlign w:val="bottom"/>
          </w:tcPr>
          <w:p>
            <w:pPr>
              <w:spacing w:after="0"/>
              <w:rPr>
                <w:sz w:val="20"/>
                <w:szCs w:val="20"/>
                <w:color w:val="auto"/>
              </w:rPr>
            </w:pPr>
          </w:p>
        </w:tc>
        <w:tc>
          <w:tcPr>
            <w:tcW w:w="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227,503</w:t>
            </w:r>
          </w:p>
        </w:tc>
      </w:tr>
      <w:tr>
        <w:trPr>
          <w:trHeight w:val="67"/>
        </w:trPr>
        <w:tc>
          <w:tcPr>
            <w:tcW w:w="20" w:type="dxa"/>
            <w:vAlign w:val="bottom"/>
            <w:tcBorders>
              <w:bottom w:val="single" w:sz="8" w:color="CCEEFF"/>
            </w:tcBorders>
          </w:tcPr>
          <w:p>
            <w:pPr>
              <w:spacing w:after="0"/>
              <w:rPr>
                <w:sz w:val="5"/>
                <w:szCs w:val="5"/>
                <w:color w:val="auto"/>
              </w:rPr>
            </w:pPr>
          </w:p>
        </w:tc>
        <w:tc>
          <w:tcPr>
            <w:tcW w:w="880" w:type="dxa"/>
            <w:vAlign w:val="bottom"/>
            <w:tcBorders>
              <w:bottom w:val="single" w:sz="8" w:color="CCEEFF"/>
            </w:tcBorders>
          </w:tcPr>
          <w:p>
            <w:pPr>
              <w:spacing w:after="0"/>
              <w:rPr>
                <w:sz w:val="5"/>
                <w:szCs w:val="5"/>
                <w:color w:val="auto"/>
              </w:rPr>
            </w:pPr>
          </w:p>
        </w:tc>
        <w:tc>
          <w:tcPr>
            <w:tcW w:w="35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r>
      <w:tr>
        <w:trPr>
          <w:trHeight w:val="231"/>
        </w:trPr>
        <w:tc>
          <w:tcPr>
            <w:tcW w:w="20" w:type="dxa"/>
            <w:vAlign w:val="bottom"/>
            <w:tcBorders>
              <w:bottom w:val="single" w:sz="8" w:color="CCEEFF"/>
            </w:tcBorders>
            <w:shd w:val="clear" w:color="auto" w:fill="CCEEFF"/>
          </w:tcPr>
          <w:p>
            <w:pPr>
              <w:spacing w:after="0"/>
              <w:rPr>
                <w:sz w:val="20"/>
                <w:szCs w:val="20"/>
                <w:color w:val="auto"/>
              </w:rPr>
            </w:pPr>
          </w:p>
        </w:tc>
        <w:tc>
          <w:tcPr>
            <w:tcW w:w="4380" w:type="dxa"/>
            <w:vAlign w:val="bottom"/>
            <w:tcBorders>
              <w:bottom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Operating income</w:t>
            </w:r>
          </w:p>
        </w:tc>
        <w:tc>
          <w:tcPr>
            <w:tcW w:w="22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r>
      <w:tr>
        <w:trPr>
          <w:trHeight w:val="243"/>
        </w:trPr>
        <w:tc>
          <w:tcPr>
            <w:tcW w:w="20" w:type="dxa"/>
            <w:vAlign w:val="bottom"/>
          </w:tcPr>
          <w:p>
            <w:pPr>
              <w:spacing w:after="0"/>
              <w:rPr>
                <w:sz w:val="21"/>
                <w:szCs w:val="21"/>
                <w:color w:val="auto"/>
              </w:rPr>
            </w:pPr>
          </w:p>
        </w:tc>
        <w:tc>
          <w:tcPr>
            <w:tcW w:w="4380" w:type="dxa"/>
            <w:vAlign w:val="bottom"/>
            <w:gridSpan w:val="2"/>
          </w:tcPr>
          <w:p>
            <w:pPr>
              <w:spacing w:after="0"/>
              <w:rPr>
                <w:sz w:val="20"/>
                <w:szCs w:val="20"/>
                <w:color w:val="auto"/>
              </w:rPr>
            </w:pPr>
            <w:r>
              <w:rPr>
                <w:rFonts w:ascii="Arial" w:cs="Arial" w:eastAsia="Arial" w:hAnsi="Arial"/>
                <w:sz w:val="18"/>
                <w:szCs w:val="18"/>
                <w:color w:val="auto"/>
              </w:rPr>
              <w:t>U.S.</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12,243</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11,649</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ind w:right="14"/>
              <w:spacing w:after="0"/>
              <w:rPr>
                <w:sz w:val="20"/>
                <w:szCs w:val="20"/>
                <w:color w:val="auto"/>
              </w:rPr>
            </w:pPr>
            <w:r>
              <w:rPr>
                <w:rFonts w:ascii="Arial" w:cs="Arial" w:eastAsia="Arial" w:hAnsi="Arial"/>
                <w:sz w:val="18"/>
                <w:szCs w:val="18"/>
                <w:color w:val="auto"/>
              </w:rPr>
              <w:t>40,306</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35,941</w:t>
            </w:r>
          </w:p>
        </w:tc>
      </w:tr>
      <w:tr>
        <w:trPr>
          <w:trHeight w:val="27"/>
        </w:trPr>
        <w:tc>
          <w:tcPr>
            <w:tcW w:w="20" w:type="dxa"/>
            <w:vAlign w:val="bottom"/>
          </w:tcPr>
          <w:p>
            <w:pPr>
              <w:spacing w:after="0"/>
              <w:rPr>
                <w:sz w:val="2"/>
                <w:szCs w:val="2"/>
                <w:color w:val="auto"/>
              </w:rPr>
            </w:pPr>
          </w:p>
        </w:tc>
        <w:tc>
          <w:tcPr>
            <w:tcW w:w="880" w:type="dxa"/>
            <w:vAlign w:val="bottom"/>
          </w:tcPr>
          <w:p>
            <w:pPr>
              <w:spacing w:after="0"/>
              <w:rPr>
                <w:sz w:val="2"/>
                <w:szCs w:val="2"/>
                <w:color w:val="auto"/>
              </w:rPr>
            </w:pPr>
          </w:p>
        </w:tc>
        <w:tc>
          <w:tcPr>
            <w:tcW w:w="35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43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International</w:t>
            </w: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579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2,340</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8,506</w:t>
            </w:r>
          </w:p>
        </w:tc>
      </w:tr>
      <w:tr>
        <w:trPr>
          <w:trHeight w:val="237"/>
        </w:trPr>
        <w:tc>
          <w:tcPr>
            <w:tcW w:w="20" w:type="dxa"/>
            <w:vAlign w:val="bottom"/>
          </w:tcPr>
          <w:p>
            <w:pPr>
              <w:spacing w:after="0"/>
              <w:rPr>
                <w:sz w:val="20"/>
                <w:szCs w:val="20"/>
                <w:color w:val="auto"/>
              </w:rPr>
            </w:pPr>
          </w:p>
        </w:tc>
        <w:tc>
          <w:tcPr>
            <w:tcW w:w="4380" w:type="dxa"/>
            <w:vAlign w:val="bottom"/>
            <w:gridSpan w:val="2"/>
          </w:tcPr>
          <w:p>
            <w:pPr>
              <w:ind w:left="360"/>
              <w:spacing w:after="0"/>
              <w:rPr>
                <w:sz w:val="20"/>
                <w:szCs w:val="20"/>
                <w:color w:val="auto"/>
              </w:rPr>
            </w:pPr>
            <w:r>
              <w:rPr>
                <w:rFonts w:ascii="Arial" w:cs="Arial" w:eastAsia="Arial" w:hAnsi="Arial"/>
                <w:sz w:val="18"/>
                <w:szCs w:val="18"/>
                <w:color w:val="auto"/>
              </w:rPr>
              <w:t>Total operating income</w:t>
            </w: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12,822</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12,595</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42,646</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44,447</w:t>
            </w:r>
          </w:p>
        </w:tc>
      </w:tr>
      <w:tr>
        <w:trPr>
          <w:trHeight w:val="27"/>
        </w:trPr>
        <w:tc>
          <w:tcPr>
            <w:tcW w:w="20" w:type="dxa"/>
            <w:vAlign w:val="bottom"/>
          </w:tcPr>
          <w:p>
            <w:pPr>
              <w:spacing w:after="0"/>
              <w:rPr>
                <w:sz w:val="2"/>
                <w:szCs w:val="2"/>
                <w:color w:val="auto"/>
              </w:rPr>
            </w:pPr>
          </w:p>
        </w:tc>
        <w:tc>
          <w:tcPr>
            <w:tcW w:w="880" w:type="dxa"/>
            <w:vAlign w:val="bottom"/>
          </w:tcPr>
          <w:p>
            <w:pPr>
              <w:spacing w:after="0"/>
              <w:rPr>
                <w:sz w:val="2"/>
                <w:szCs w:val="2"/>
                <w:color w:val="auto"/>
              </w:rPr>
            </w:pPr>
          </w:p>
        </w:tc>
        <w:tc>
          <w:tcPr>
            <w:tcW w:w="35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3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4,442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6,792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14,147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20,799</w:t>
            </w:r>
          </w:p>
        </w:tc>
      </w:tr>
      <w:tr>
        <w:trPr>
          <w:trHeight w:val="243"/>
        </w:trPr>
        <w:tc>
          <w:tcPr>
            <w:tcW w:w="20" w:type="dxa"/>
            <w:vAlign w:val="bottom"/>
          </w:tcPr>
          <w:p>
            <w:pPr>
              <w:spacing w:after="0"/>
              <w:rPr>
                <w:sz w:val="21"/>
                <w:szCs w:val="21"/>
                <w:color w:val="auto"/>
              </w:rPr>
            </w:pPr>
          </w:p>
        </w:tc>
        <w:tc>
          <w:tcPr>
            <w:tcW w:w="4380" w:type="dxa"/>
            <w:vAlign w:val="bottom"/>
            <w:gridSpan w:val="2"/>
          </w:tcPr>
          <w:p>
            <w:pPr>
              <w:spacing w:after="0"/>
              <w:rPr>
                <w:sz w:val="20"/>
                <w:szCs w:val="20"/>
                <w:color w:val="auto"/>
              </w:rPr>
            </w:pPr>
            <w:r>
              <w:rPr>
                <w:rFonts w:ascii="Arial" w:cs="Arial" w:eastAsia="Arial" w:hAnsi="Arial"/>
                <w:sz w:val="18"/>
                <w:szCs w:val="18"/>
                <w:color w:val="auto"/>
              </w:rPr>
              <w:t>Debt retirement costs</w:t>
            </w:r>
          </w:p>
        </w:tc>
        <w:tc>
          <w:tcPr>
            <w:tcW w:w="220" w:type="dxa"/>
            <w:vAlign w:val="bottom"/>
          </w:tcPr>
          <w:p>
            <w:pPr>
              <w:spacing w:after="0"/>
              <w:rPr>
                <w:sz w:val="21"/>
                <w:szCs w:val="21"/>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1,415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1,415</w:t>
            </w:r>
          </w:p>
        </w:tc>
      </w:tr>
      <w:tr>
        <w:trPr>
          <w:trHeight w:val="27"/>
        </w:trPr>
        <w:tc>
          <w:tcPr>
            <w:tcW w:w="20" w:type="dxa"/>
            <w:vAlign w:val="bottom"/>
          </w:tcPr>
          <w:p>
            <w:pPr>
              <w:spacing w:after="0"/>
              <w:rPr>
                <w:sz w:val="2"/>
                <w:szCs w:val="2"/>
                <w:color w:val="auto"/>
              </w:rPr>
            </w:pPr>
          </w:p>
        </w:tc>
        <w:tc>
          <w:tcPr>
            <w:tcW w:w="880" w:type="dxa"/>
            <w:vAlign w:val="bottom"/>
          </w:tcPr>
          <w:p>
            <w:pPr>
              <w:spacing w:after="0"/>
              <w:rPr>
                <w:sz w:val="2"/>
                <w:szCs w:val="2"/>
                <w:color w:val="auto"/>
              </w:rPr>
            </w:pPr>
          </w:p>
        </w:tc>
        <w:tc>
          <w:tcPr>
            <w:tcW w:w="35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43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Loss on extinguishment of debt</w:t>
            </w:r>
          </w:p>
        </w:tc>
        <w:tc>
          <w:tcPr>
            <w:tcW w:w="2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2,161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20" w:type="dxa"/>
            <w:vAlign w:val="bottom"/>
          </w:tcPr>
          <w:p>
            <w:pPr>
              <w:spacing w:after="0"/>
              <w:rPr>
                <w:sz w:val="21"/>
                <w:szCs w:val="21"/>
                <w:color w:val="auto"/>
              </w:rPr>
            </w:pPr>
          </w:p>
        </w:tc>
        <w:tc>
          <w:tcPr>
            <w:tcW w:w="4380" w:type="dxa"/>
            <w:vAlign w:val="bottom"/>
            <w:gridSpan w:val="2"/>
          </w:tcPr>
          <w:p>
            <w:pPr>
              <w:spacing w:after="0"/>
              <w:rPr>
                <w:sz w:val="20"/>
                <w:szCs w:val="20"/>
                <w:color w:val="auto"/>
              </w:rPr>
            </w:pPr>
            <w:r>
              <w:rPr>
                <w:rFonts w:ascii="Arial" w:cs="Arial" w:eastAsia="Arial" w:hAnsi="Arial"/>
                <w:sz w:val="18"/>
                <w:szCs w:val="18"/>
                <w:color w:val="auto"/>
              </w:rPr>
              <w:t>Other (income) expense</w:t>
            </w:r>
          </w:p>
        </w:tc>
        <w:tc>
          <w:tcPr>
            <w:tcW w:w="22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(908)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148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(2,037)</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(317)</w:t>
            </w:r>
          </w:p>
        </w:tc>
      </w:tr>
      <w:tr>
        <w:trPr>
          <w:trHeight w:val="27"/>
        </w:trPr>
        <w:tc>
          <w:tcPr>
            <w:tcW w:w="2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c>
          <w:tcPr>
            <w:tcW w:w="35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269"/>
        </w:trPr>
        <w:tc>
          <w:tcPr>
            <w:tcW w:w="20" w:type="dxa"/>
            <w:vAlign w:val="bottom"/>
            <w:tcBorders>
              <w:bottom w:val="single" w:sz="8" w:color="CCEEFF"/>
            </w:tcBorders>
            <w:shd w:val="clear" w:color="auto" w:fill="CCEEFF"/>
          </w:tcPr>
          <w:p>
            <w:pPr>
              <w:spacing w:after="0"/>
              <w:rPr>
                <w:sz w:val="22"/>
                <w:szCs w:val="22"/>
                <w:color w:val="auto"/>
              </w:rPr>
            </w:pPr>
          </w:p>
        </w:tc>
        <w:tc>
          <w:tcPr>
            <w:tcW w:w="4380" w:type="dxa"/>
            <w:vAlign w:val="bottom"/>
            <w:tcBorders>
              <w:bottom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Income before income taxes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9,288</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4,240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28,375</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22,550</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35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380"/>
          </w:cols>
          <w:pgMar w:left="240" w:top="121" w:right="279" w:bottom="1440" w:gutter="0" w:footer="0" w:header="0"/>
        </w:sectPr>
      </w:pPr>
    </w:p>
    <w:p>
      <w:pPr>
        <w:spacing w:after="0" w:line="258" w:lineRule="exact"/>
        <w:rPr>
          <w:sz w:val="20"/>
          <w:szCs w:val="20"/>
          <w:color w:val="auto"/>
        </w:rPr>
      </w:pPr>
    </w:p>
    <w:p>
      <w:pPr>
        <w:jc w:val="center"/>
        <w:ind w:left="400"/>
        <w:spacing w:after="0"/>
        <w:rPr>
          <w:sz w:val="20"/>
          <w:szCs w:val="20"/>
          <w:color w:val="auto"/>
        </w:rPr>
      </w:pPr>
      <w:r>
        <w:rPr>
          <w:rFonts w:ascii="Arial" w:cs="Arial" w:eastAsia="Arial" w:hAnsi="Arial"/>
          <w:sz w:val="16"/>
          <w:szCs w:val="16"/>
          <w:color w:val="auto"/>
        </w:rPr>
        <w:t>13</w:t>
      </w:r>
    </w:p>
    <w:p>
      <w:pPr>
        <w:sectPr>
          <w:pgSz w:w="11900" w:h="16838" w:orient="portrait"/>
          <w:cols w:equalWidth="0" w:num="1">
            <w:col w:w="11380"/>
          </w:cols>
          <w:pgMar w:left="240" w:top="121" w:right="279" w:bottom="1440" w:gutter="0" w:footer="0" w:header="0"/>
          <w:type w:val="continuous"/>
        </w:sectPr>
      </w:pPr>
    </w:p>
    <w:bookmarkStart w:id="16" w:name="page17"/>
    <w:bookmarkEnd w:id="1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Subsequent Events</w:t>
      </w:r>
    </w:p>
    <w:p>
      <w:pPr>
        <w:spacing w:after="0" w:line="121" w:lineRule="exact"/>
        <w:rPr>
          <w:sz w:val="20"/>
          <w:szCs w:val="20"/>
          <w:color w:val="auto"/>
        </w:rPr>
      </w:pPr>
    </w:p>
    <w:p>
      <w:pPr>
        <w:ind w:firstLine="405"/>
        <w:spacing w:after="0" w:line="279" w:lineRule="auto"/>
        <w:rPr>
          <w:sz w:val="20"/>
          <w:szCs w:val="20"/>
          <w:color w:val="auto"/>
        </w:rPr>
      </w:pPr>
      <w:r>
        <w:rPr>
          <w:rFonts w:ascii="Arial" w:cs="Arial" w:eastAsia="Arial" w:hAnsi="Arial"/>
          <w:sz w:val="17"/>
          <w:szCs w:val="17"/>
          <w:color w:val="auto"/>
        </w:rPr>
        <w:t>On October 30, 2017, LMI entered into a binding commercial supply arrangement pursuant to which LMI will supply Cardinal Health with TechneLite generators, Xenon, Neurolite and other products through 2018. The supply arrangement specifies pricing levels and requires Cardinal Health to purchase minimum volumes of certain products from LMI during certain periods. The supply arrangement will expire on December 31, 2018 and may be terminated upon the occurrence of specified events, including a material breach by the other party and certain force majeure events.</w:t>
      </w:r>
    </w:p>
    <w:p>
      <w:pPr>
        <w:spacing w:after="0" w:line="200" w:lineRule="exact"/>
        <w:rPr>
          <w:sz w:val="20"/>
          <w:szCs w:val="20"/>
          <w:color w:val="auto"/>
        </w:rPr>
      </w:pPr>
    </w:p>
    <w:p>
      <w:pPr>
        <w:spacing w:after="0" w:line="228"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00"/>
          </w:cols>
          <w:pgMar w:left="240" w:top="121" w:right="3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60" w:lineRule="exact"/>
        <w:rPr>
          <w:sz w:val="20"/>
          <w:szCs w:val="20"/>
          <w:color w:val="auto"/>
        </w:rPr>
      </w:pPr>
    </w:p>
    <w:p>
      <w:pPr>
        <w:ind w:right="4000"/>
        <w:spacing w:after="0" w:line="385" w:lineRule="auto"/>
        <w:rPr>
          <w:sz w:val="20"/>
          <w:szCs w:val="20"/>
          <w:color w:val="auto"/>
        </w:rPr>
      </w:pPr>
      <w:r>
        <w:rPr>
          <w:rFonts w:ascii="Arial" w:cs="Arial" w:eastAsia="Arial" w:hAnsi="Arial"/>
          <w:sz w:val="18"/>
          <w:szCs w:val="18"/>
          <w:b w:val="1"/>
          <w:bCs w:val="1"/>
          <w:color w:val="auto"/>
        </w:rPr>
        <w:t>Item 2. Management’s Discussion and Analysis of Financial Condition and Results of Operations Cautionary Note Regarding Forward-Looking Statements</w:t>
      </w:r>
    </w:p>
    <w:p>
      <w:pPr>
        <w:spacing w:after="0" w:line="2" w:lineRule="exact"/>
        <w:rPr>
          <w:sz w:val="20"/>
          <w:szCs w:val="20"/>
          <w:color w:val="auto"/>
        </w:rPr>
      </w:pPr>
    </w:p>
    <w:p>
      <w:pPr>
        <w:ind w:firstLine="405"/>
        <w:spacing w:after="0" w:line="285" w:lineRule="auto"/>
        <w:rPr>
          <w:sz w:val="20"/>
          <w:szCs w:val="20"/>
          <w:color w:val="auto"/>
        </w:rPr>
      </w:pPr>
      <w:r>
        <w:rPr>
          <w:rFonts w:ascii="Arial" w:cs="Arial" w:eastAsia="Arial" w:hAnsi="Arial"/>
          <w:sz w:val="16"/>
          <w:szCs w:val="16"/>
          <w:color w:val="auto"/>
        </w:rPr>
        <w:t>Some of the statements contained in this Quarterly Report on Form 10-Q are forward-looking statements within the meaning of Section 27A of the Securities Act of 1933, as amended, and Section 21E of the Securities Exchange Act of 1934, as amended (the “Exchange Act”). These forward-looking statements, including, in particular, statements about our plans, strategies, prospects and industry estimates are subject to risks and uncertainties. These statements identify prospective information and include words such as “anticipates,” “intends,” “plans,” “seeks,” “believes,” “estimates,” “expects,” “should,” “could,” “predicts,” “hopes” and similar expressions. Examples of forward-looking statements include, but are not limited to, statements we make regarding:</w:t>
      </w:r>
    </w:p>
    <w:p>
      <w:pPr>
        <w:spacing w:after="0" w:line="2" w:lineRule="exact"/>
        <w:rPr>
          <w:sz w:val="20"/>
          <w:szCs w:val="20"/>
          <w:color w:val="auto"/>
        </w:rPr>
      </w:pPr>
    </w:p>
    <w:p>
      <w:pPr>
        <w:ind w:right="80" w:firstLine="8"/>
        <w:spacing w:after="0" w:line="286" w:lineRule="auto"/>
        <w:tabs>
          <w:tab w:leader="none" w:pos="215" w:val="left"/>
        </w:tabs>
        <w:numPr>
          <w:ilvl w:val="0"/>
          <w:numId w:val="7"/>
        </w:numPr>
        <w:rPr>
          <w:rFonts w:ascii="Arial" w:cs="Arial" w:eastAsia="Arial" w:hAnsi="Arial"/>
          <w:sz w:val="16"/>
          <w:szCs w:val="16"/>
          <w:color w:val="auto"/>
        </w:rPr>
      </w:pPr>
      <w:r>
        <w:rPr>
          <w:rFonts w:ascii="Arial" w:cs="Arial" w:eastAsia="Arial" w:hAnsi="Arial"/>
          <w:sz w:val="16"/>
          <w:szCs w:val="16"/>
          <w:color w:val="auto"/>
        </w:rPr>
        <w:t>our outlook and expectations including, without limitation, in connection with continued market expansion and penetration for our commercial products, particularly DEFINITY in the face of increased competition and future patent and regulatory exclusivity expirations; (ii) our outlook and expectations in connection with future performance of Xenon in the face of increased competition; (iii) our outlook and expectations related to our ability to maintain and profitably renew our key customer contracts; and (iv) our outlook and expectations related to products manufactured at Jubilant HollisterStier (“JHS”) and global isotope supply. Forward-looking statements are based on our current expectations and assumptions regarding our business, the economy and other future conditions. Because forward-looking statements relate to the future, such statements are subject to inherent uncertainties, risks and changes in circumstances that are difficult to predict. Our actual results may differ materially from those contemplated by the forward-looking statements. Such statements are neither statements of historical fact nor guarantees or assurances of future performance. The matters referred to in the forward-looking statements contained in this Quarterly Report on Form 10-Q may not in fact occur. We caution you therefore, against relying on any of these forward-looking statements. Important factors that could cause actual results to differ materially from those in the forward-looking statements include regional, national or global political, economic, business, competitive, market and regulatory conditions and the following:</w:t>
      </w:r>
    </w:p>
    <w:p>
      <w:pPr>
        <w:spacing w:after="0" w:line="58" w:lineRule="exact"/>
        <w:rPr>
          <w:rFonts w:ascii="Arial" w:cs="Arial" w:eastAsia="Arial" w:hAnsi="Arial"/>
          <w:sz w:val="16"/>
          <w:szCs w:val="16"/>
          <w:color w:val="auto"/>
        </w:rPr>
      </w:pPr>
    </w:p>
    <w:p>
      <w:pPr>
        <w:ind w:left="660" w:right="120" w:hanging="166"/>
        <w:spacing w:after="0" w:line="264" w:lineRule="auto"/>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Our ability to continue to increase segment penetration for DEFINITY in suboptimal echocardiograms in the face of increased segment competition from other echocardiography contrast agents, including Optison from GE Healthcare Limited (“GE Healthcare”) and Lumason from Bracco Diagnostics Inc. (“Bracco”) and future patent and regulatory exclusivity expirations;</w:t>
      </w:r>
    </w:p>
    <w:p>
      <w:pPr>
        <w:spacing w:after="0" w:line="73" w:lineRule="exact"/>
        <w:rPr>
          <w:rFonts w:ascii="Arial" w:cs="Arial" w:eastAsia="Arial" w:hAnsi="Arial"/>
          <w:sz w:val="18"/>
          <w:szCs w:val="18"/>
          <w:color w:val="auto"/>
        </w:rPr>
      </w:pPr>
    </w:p>
    <w:p>
      <w:pPr>
        <w:ind w:left="660" w:right="60" w:hanging="166"/>
        <w:spacing w:after="0" w:line="308" w:lineRule="auto"/>
        <w:tabs>
          <w:tab w:leader="none" w:pos="660" w:val="left"/>
        </w:tabs>
        <w:numPr>
          <w:ilvl w:val="1"/>
          <w:numId w:val="7"/>
        </w:numPr>
        <w:rPr>
          <w:rFonts w:ascii="Arial" w:cs="Arial" w:eastAsia="Arial" w:hAnsi="Arial"/>
          <w:sz w:val="17"/>
          <w:szCs w:val="17"/>
          <w:color w:val="auto"/>
        </w:rPr>
      </w:pPr>
      <w:r>
        <w:rPr>
          <w:rFonts w:ascii="Arial" w:cs="Arial" w:eastAsia="Arial" w:hAnsi="Arial"/>
          <w:sz w:val="17"/>
          <w:szCs w:val="17"/>
          <w:color w:val="auto"/>
        </w:rPr>
        <w:t>Risks associated with revenues and unit volumes for Xenon in pulmonary studies and the potential competition in this generic segment from Curium (formerly known as Mallinckrodt Nuclear Imaging; purchased by IBA Molecular in January 2017 and renamed Curium in April 2017);</w:t>
      </w:r>
    </w:p>
    <w:p>
      <w:pPr>
        <w:spacing w:after="0" w:line="38" w:lineRule="exact"/>
        <w:rPr>
          <w:rFonts w:ascii="Arial" w:cs="Arial" w:eastAsia="Arial" w:hAnsi="Arial"/>
          <w:sz w:val="17"/>
          <w:szCs w:val="17"/>
          <w:color w:val="auto"/>
        </w:rPr>
      </w:pPr>
    </w:p>
    <w:p>
      <w:pPr>
        <w:ind w:left="660" w:right="220" w:hanging="166"/>
        <w:spacing w:after="0" w:line="342" w:lineRule="auto"/>
        <w:tabs>
          <w:tab w:leader="none" w:pos="660" w:val="left"/>
        </w:tabs>
        <w:numPr>
          <w:ilvl w:val="1"/>
          <w:numId w:val="7"/>
        </w:numPr>
        <w:rPr>
          <w:rFonts w:ascii="Arial" w:cs="Arial" w:eastAsia="Arial" w:hAnsi="Arial"/>
          <w:sz w:val="16"/>
          <w:szCs w:val="16"/>
          <w:color w:val="auto"/>
        </w:rPr>
      </w:pPr>
      <w:r>
        <w:rPr>
          <w:rFonts w:ascii="Arial" w:cs="Arial" w:eastAsia="Arial" w:hAnsi="Arial"/>
          <w:sz w:val="16"/>
          <w:szCs w:val="16"/>
          <w:color w:val="auto"/>
        </w:rPr>
        <w:t>Our dependence on key customers for our medical imaging products, and our ability to maintain and profitably renew our contracts with those key customers, including Cardinal Health (“Cardinal”), United Pharmacy Partners (“UPPI”), GE Healthcare and Triad Isotopes (“Triad”);</w:t>
      </w:r>
    </w:p>
    <w:p>
      <w:pPr>
        <w:spacing w:after="0" w:line="15" w:lineRule="exact"/>
        <w:rPr>
          <w:rFonts w:ascii="Arial" w:cs="Arial" w:eastAsia="Arial" w:hAnsi="Arial"/>
          <w:sz w:val="16"/>
          <w:szCs w:val="16"/>
          <w:color w:val="auto"/>
        </w:rPr>
      </w:pPr>
    </w:p>
    <w:p>
      <w:pPr>
        <w:ind w:left="660" w:hanging="166"/>
        <w:spacing w:after="0"/>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Our dependence upon third parties for the manufacture and supply of a substantial portion of our products, including DEFINITY at JHS;</w:t>
      </w:r>
    </w:p>
    <w:p>
      <w:pPr>
        <w:spacing w:after="0" w:line="117" w:lineRule="exact"/>
        <w:rPr>
          <w:rFonts w:ascii="Arial" w:cs="Arial" w:eastAsia="Arial" w:hAnsi="Arial"/>
          <w:sz w:val="18"/>
          <w:szCs w:val="18"/>
          <w:color w:val="auto"/>
        </w:rPr>
      </w:pPr>
    </w:p>
    <w:p>
      <w:pPr>
        <w:ind w:left="660" w:right="40" w:hanging="166"/>
        <w:spacing w:after="0" w:line="277" w:lineRule="auto"/>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Risks associated with the technology transfer programs to secure production of our products at alternate contract manufacturer sites, including a next generation DEFINITY product at Samsung BioLogics (“SBL”) in South Korea;</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Risks associated with the manufacturing and distribution of our products and the regulatory requirements related thereto;</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The instability of the global Molybdenum-99 (“Moly”) supply;</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1"/>
          <w:numId w:val="7"/>
        </w:numPr>
        <w:rPr>
          <w:rFonts w:ascii="Arial" w:cs="Arial" w:eastAsia="Arial" w:hAnsi="Arial"/>
          <w:sz w:val="16"/>
          <w:szCs w:val="16"/>
          <w:color w:val="auto"/>
        </w:rPr>
      </w:pPr>
      <w:r>
        <w:rPr>
          <w:rFonts w:ascii="Arial" w:cs="Arial" w:eastAsia="Arial" w:hAnsi="Arial"/>
          <w:sz w:val="16"/>
          <w:szCs w:val="16"/>
          <w:color w:val="auto"/>
        </w:rPr>
        <w:t>The dependence of certain of our customers upon third-party healthcare payors and the uncertainty of third-party coverage and reimbursement rates;</w:t>
      </w:r>
    </w:p>
    <w:p>
      <w:pPr>
        <w:spacing w:after="0" w:line="140" w:lineRule="exact"/>
        <w:rPr>
          <w:rFonts w:ascii="Arial" w:cs="Arial" w:eastAsia="Arial" w:hAnsi="Arial"/>
          <w:sz w:val="16"/>
          <w:szCs w:val="16"/>
          <w:color w:val="auto"/>
        </w:rPr>
      </w:pPr>
    </w:p>
    <w:p>
      <w:pPr>
        <w:ind w:left="660" w:right="200" w:hanging="166"/>
        <w:spacing w:after="0" w:line="277" w:lineRule="auto"/>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Uncertainties regarding the impact of on-going U.S. healthcare reform proposals on our business, including related reimbursements for our current and potential future products;</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Our being subject to extensive government regulation and our potential inability to comply with those regulations;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Potential liability associated with our marketing and sales practices;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The occurrence of any serious or unanticipated side effects with our products;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Our exposure to potential product liability claims and environmental liability;</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1"/>
          <w:numId w:val="7"/>
        </w:numPr>
        <w:rPr>
          <w:rFonts w:ascii="Arial" w:cs="Arial" w:eastAsia="Arial" w:hAnsi="Arial"/>
          <w:sz w:val="18"/>
          <w:szCs w:val="18"/>
          <w:color w:val="auto"/>
        </w:rPr>
      </w:pPr>
      <w:r>
        <w:rPr>
          <w:rFonts w:ascii="Arial" w:cs="Arial" w:eastAsia="Arial" w:hAnsi="Arial"/>
          <w:sz w:val="18"/>
          <w:szCs w:val="18"/>
          <w:color w:val="auto"/>
        </w:rPr>
        <w:t>Risks associated with our lead agent in development, flurpiridaz F 18, including:</w:t>
      </w:r>
    </w:p>
    <w:p>
      <w:pPr>
        <w:spacing w:after="0" w:line="117" w:lineRule="exact"/>
        <w:rPr>
          <w:rFonts w:ascii="Arial" w:cs="Arial" w:eastAsia="Arial" w:hAnsi="Arial"/>
          <w:sz w:val="18"/>
          <w:szCs w:val="18"/>
          <w:color w:val="auto"/>
        </w:rPr>
      </w:pPr>
    </w:p>
    <w:p>
      <w:pPr>
        <w:ind w:left="1300" w:hanging="158"/>
        <w:spacing w:after="0"/>
        <w:tabs>
          <w:tab w:leader="none" w:pos="1300" w:val="left"/>
        </w:tabs>
        <w:numPr>
          <w:ilvl w:val="2"/>
          <w:numId w:val="7"/>
        </w:numPr>
        <w:rPr>
          <w:rFonts w:ascii="Arial" w:cs="Arial" w:eastAsia="Arial" w:hAnsi="Arial"/>
          <w:sz w:val="18"/>
          <w:szCs w:val="18"/>
          <w:color w:val="auto"/>
        </w:rPr>
      </w:pPr>
      <w:r>
        <w:rPr>
          <w:rFonts w:ascii="Arial" w:cs="Arial" w:eastAsia="Arial" w:hAnsi="Arial"/>
          <w:sz w:val="18"/>
          <w:szCs w:val="18"/>
          <w:color w:val="auto"/>
        </w:rPr>
        <w:t>The ability of GE Healthcare to successfully complete the Phase III development program;</w:t>
      </w:r>
    </w:p>
    <w:p>
      <w:pPr>
        <w:spacing w:after="0" w:line="117" w:lineRule="exact"/>
        <w:rPr>
          <w:rFonts w:ascii="Arial" w:cs="Arial" w:eastAsia="Arial" w:hAnsi="Arial"/>
          <w:sz w:val="18"/>
          <w:szCs w:val="18"/>
          <w:color w:val="auto"/>
        </w:rPr>
      </w:pPr>
    </w:p>
    <w:p>
      <w:pPr>
        <w:ind w:left="1300" w:hanging="158"/>
        <w:spacing w:after="0"/>
        <w:tabs>
          <w:tab w:leader="none" w:pos="1300" w:val="left"/>
        </w:tabs>
        <w:numPr>
          <w:ilvl w:val="2"/>
          <w:numId w:val="7"/>
        </w:numPr>
        <w:rPr>
          <w:rFonts w:ascii="Arial" w:cs="Arial" w:eastAsia="Arial" w:hAnsi="Arial"/>
          <w:sz w:val="18"/>
          <w:szCs w:val="18"/>
          <w:color w:val="auto"/>
        </w:rPr>
      </w:pPr>
      <w:r>
        <w:rPr>
          <w:rFonts w:ascii="Arial" w:cs="Arial" w:eastAsia="Arial" w:hAnsi="Arial"/>
          <w:sz w:val="18"/>
          <w:szCs w:val="18"/>
          <w:color w:val="auto"/>
        </w:rPr>
        <w:t>The ability to obtain Food and Drug Administration (“FDA”) approval; and</w:t>
      </w:r>
    </w:p>
    <w:p>
      <w:pPr>
        <w:spacing w:after="0" w:line="117" w:lineRule="exact"/>
        <w:rPr>
          <w:rFonts w:ascii="Arial" w:cs="Arial" w:eastAsia="Arial" w:hAnsi="Arial"/>
          <w:sz w:val="18"/>
          <w:szCs w:val="18"/>
          <w:color w:val="auto"/>
        </w:rPr>
      </w:pPr>
    </w:p>
    <w:p>
      <w:pPr>
        <w:ind w:left="1300" w:hanging="158"/>
        <w:spacing w:after="0"/>
        <w:tabs>
          <w:tab w:leader="none" w:pos="1300" w:val="left"/>
        </w:tabs>
        <w:numPr>
          <w:ilvl w:val="2"/>
          <w:numId w:val="7"/>
        </w:numPr>
        <w:rPr>
          <w:rFonts w:ascii="Arial" w:cs="Arial" w:eastAsia="Arial" w:hAnsi="Arial"/>
          <w:sz w:val="18"/>
          <w:szCs w:val="18"/>
          <w:color w:val="auto"/>
        </w:rPr>
      </w:pPr>
      <w:r>
        <w:rPr>
          <w:rFonts w:ascii="Arial" w:cs="Arial" w:eastAsia="Arial" w:hAnsi="Arial"/>
          <w:sz w:val="18"/>
          <w:szCs w:val="18"/>
          <w:color w:val="auto"/>
        </w:rPr>
        <w:t>The ability to gain post-approval market acceptance and adequate reimbursement;</w:t>
      </w:r>
    </w:p>
    <w:p>
      <w:pPr>
        <w:spacing w:after="0" w:line="200" w:lineRule="exact"/>
        <w:rPr>
          <w:sz w:val="20"/>
          <w:szCs w:val="20"/>
          <w:color w:val="auto"/>
        </w:rPr>
      </w:pPr>
    </w:p>
    <w:p>
      <w:pPr>
        <w:spacing w:after="0" w:line="282"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121"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64" w:lineRule="exact"/>
        <w:rPr>
          <w:sz w:val="20"/>
          <w:szCs w:val="20"/>
          <w:color w:val="auto"/>
        </w:rPr>
      </w:pPr>
    </w:p>
    <w:p>
      <w:pPr>
        <w:ind w:left="660" w:right="400" w:hanging="166"/>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extensive costs, time and uncertainty associated with new product development, including further product development relying on external development partners or potentially developed internally;</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inability to introduce new products and adapt to an evolving technology and diagnostic landscape;</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inability to identify and in-license or acquire additional products to grow our business;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inability to protect our intellectual property and the risk of claims that we have infringed on the intellectual property of others;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Risks associated with prevailing economic or political conditions and events and financial, business and other factors beyond our control;</w:t>
      </w:r>
    </w:p>
    <w:p>
      <w:pPr>
        <w:spacing w:after="0" w:line="128" w:lineRule="exact"/>
        <w:rPr>
          <w:rFonts w:ascii="Arial" w:cs="Arial" w:eastAsia="Arial" w:hAnsi="Arial"/>
          <w:sz w:val="17"/>
          <w:szCs w:val="17"/>
          <w:color w:val="auto"/>
        </w:rPr>
      </w:pPr>
    </w:p>
    <w:p>
      <w:pPr>
        <w:ind w:left="660" w:hanging="166"/>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Risks associated with our international operations;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inability to adequately protect our facilities, equipment and technology infrastructure;</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inability to hire or retain skilled employees and key personnel;</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Risks related to our outstanding indebtedness and our ability to satisfy those obligations;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Costs and other risks associated with the Sarbanes-Oxley Act and the Dodd-Frank Act;</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inability to utilize or limitations in our ability to utilize net operating loss carryforwards to reduce our future tax liability;</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Risks related to the ownership of our common stock; and</w:t>
      </w:r>
    </w:p>
    <w:p>
      <w:pPr>
        <w:spacing w:after="0" w:line="117" w:lineRule="exact"/>
        <w:rPr>
          <w:rFonts w:ascii="Arial" w:cs="Arial" w:eastAsia="Arial" w:hAnsi="Arial"/>
          <w:sz w:val="18"/>
          <w:szCs w:val="18"/>
          <w:color w:val="auto"/>
        </w:rPr>
      </w:pPr>
    </w:p>
    <w:p>
      <w:pPr>
        <w:ind w:left="660" w:right="40" w:hanging="166"/>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Other factors that are described in Part I, Item 1A. “Risk Factors” in our Annual Report on Form 10-K for the year ended December 31, 2016 and in Part II—Item 1A. “Risk Factors” of this Quarterly Report on Form 10-Q.</w:t>
      </w:r>
    </w:p>
    <w:p>
      <w:pPr>
        <w:spacing w:after="0" w:line="184" w:lineRule="exact"/>
        <w:rPr>
          <w:sz w:val="20"/>
          <w:szCs w:val="20"/>
          <w:color w:val="auto"/>
        </w:rPr>
      </w:pPr>
    </w:p>
    <w:p>
      <w:pPr>
        <w:ind w:firstLine="405"/>
        <w:spacing w:after="0" w:line="302" w:lineRule="auto"/>
        <w:rPr>
          <w:sz w:val="20"/>
          <w:szCs w:val="20"/>
          <w:color w:val="auto"/>
        </w:rPr>
      </w:pPr>
      <w:r>
        <w:rPr>
          <w:rFonts w:ascii="Arial" w:cs="Arial" w:eastAsia="Arial" w:hAnsi="Arial"/>
          <w:sz w:val="16"/>
          <w:szCs w:val="16"/>
          <w:color w:val="auto"/>
        </w:rPr>
        <w:t>Factors that could cause or contribute to such differences include, but are not limited to, those that are discussed in other documents we file with the SEC. Any forward-looking statement made by us in this Quarterly Report on Form 10-Q speaks only as of the date on which it is made. Factors or events that could cause our actual results to differ may emerge from time to time, and it is not possible for us to predict all of them. We undertake no obligation to publicly update any forward-looking statement, whether as a result of new information, future developments or otherwise, except as may be required by law.</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Information</w:t>
      </w:r>
    </w:p>
    <w:p>
      <w:pPr>
        <w:spacing w:after="0" w:line="121" w:lineRule="exact"/>
        <w:rPr>
          <w:sz w:val="20"/>
          <w:szCs w:val="20"/>
          <w:color w:val="auto"/>
        </w:rPr>
      </w:pPr>
    </w:p>
    <w:p>
      <w:pPr>
        <w:ind w:right="20" w:firstLine="405"/>
        <w:spacing w:after="0" w:line="257" w:lineRule="auto"/>
        <w:rPr>
          <w:sz w:val="20"/>
          <w:szCs w:val="20"/>
          <w:color w:val="auto"/>
        </w:rPr>
      </w:pPr>
      <w:r>
        <w:rPr>
          <w:rFonts w:ascii="Arial" w:cs="Arial" w:eastAsia="Arial" w:hAnsi="Arial"/>
          <w:sz w:val="18"/>
          <w:szCs w:val="18"/>
          <w:color w:val="auto"/>
        </w:rPr>
        <w:t>We routinely make available important information, including copies of our annual, periodic and current reports filed or furnished with the SEC under the Exchange Act, free of charge on our website at http://www.investor.lantheus.com. We recognize our website as a key channel of distribution to reach public investors and as a means of disclosing material non-public information to comply with our disclosure obligations under SEC Regulation FD. Information contained on our website shall not be deemed incorporated into, or to be part of, this Quarterly Report on Form 10-Q, and any website references are not intended to be made through active hyperlinks.</w:t>
      </w:r>
    </w:p>
    <w:p>
      <w:pPr>
        <w:spacing w:after="0" w:line="202"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i w:val="1"/>
          <w:iCs w:val="1"/>
          <w:color w:val="auto"/>
        </w:rPr>
        <w:t>The following discussion and analysis of our financial condition and results of operations should be read together with the condensed consolidated financial statements and the related notes included in Item 1 of this Quarterly Report on Form 10-Q as well as the other factors described in Part I, Item 1A. “Risk Factors” in our Annual Report on Form 10-K for the year ended December 31, 2016 and in Part II— Item 1A. “Risk Factors” of this Quarterly Report on Form 10-Q.</w:t>
      </w:r>
    </w:p>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w:t>
      </w:r>
    </w:p>
    <w:p>
      <w:pPr>
        <w:spacing w:after="0" w:line="117"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We are a global leader in the development, manufacture and commercialization of innovative diagnostic medical imaging agents and products that assist clinicians in the diagnosis and treatment of cardiovascular and other diseases. Clinicians use our imaging agents and products across a range of imaging modalities, including echocardiography and nuclear imaging. We believe that the resulting improved diagnostic information enables healthcare providers to better detect and characterize, or rule out, disease, potentially achieving improved patient outcomes, reducing patient risk and limiting overall costs for payers and the entire healthcare system.</w:t>
      </w:r>
    </w:p>
    <w:p>
      <w:pPr>
        <w:spacing w:after="0" w:line="202" w:lineRule="exact"/>
        <w:rPr>
          <w:sz w:val="20"/>
          <w:szCs w:val="20"/>
          <w:color w:val="auto"/>
        </w:rPr>
      </w:pPr>
    </w:p>
    <w:p>
      <w:pPr>
        <w:ind w:right="440" w:firstLine="405"/>
        <w:spacing w:after="0" w:line="342" w:lineRule="auto"/>
        <w:rPr>
          <w:sz w:val="20"/>
          <w:szCs w:val="20"/>
          <w:color w:val="auto"/>
        </w:rPr>
      </w:pPr>
      <w:r>
        <w:rPr>
          <w:rFonts w:ascii="Arial" w:cs="Arial" w:eastAsia="Arial" w:hAnsi="Arial"/>
          <w:sz w:val="16"/>
          <w:szCs w:val="16"/>
          <w:color w:val="auto"/>
        </w:rPr>
        <w:t>Our commercial products are used by cardiologists, nuclear physicians, radiologists, internal medicine physicians, technologists and sonographers working in a variety of clinical settings. We sell our products to radiopharmacies, integrated delivery networks, hospitals, clinics and group practices.</w:t>
      </w:r>
    </w:p>
    <w:p>
      <w:pPr>
        <w:spacing w:after="0" w:line="380"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380"/>
          </w:cols>
          <w:pgMar w:left="240" w:top="121" w:right="27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6" w:lineRule="exact"/>
        <w:rPr>
          <w:sz w:val="20"/>
          <w:szCs w:val="20"/>
          <w:color w:val="auto"/>
        </w:rPr>
      </w:pPr>
    </w:p>
    <w:p>
      <w:pPr>
        <w:ind w:right="360" w:firstLine="405"/>
        <w:spacing w:after="0" w:line="277" w:lineRule="auto"/>
        <w:rPr>
          <w:sz w:val="20"/>
          <w:szCs w:val="20"/>
          <w:color w:val="auto"/>
        </w:rPr>
      </w:pPr>
      <w:r>
        <w:rPr>
          <w:rFonts w:ascii="Arial" w:cs="Arial" w:eastAsia="Arial" w:hAnsi="Arial"/>
          <w:sz w:val="18"/>
          <w:szCs w:val="18"/>
          <w:color w:val="auto"/>
        </w:rPr>
        <w:t>We sell our products globally and have operations in the U.S., Puerto Rico and Canada and third-party distribution relationships in Europe, Canada, Australia, Asia Pacific and Latin America.</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Product Portfolio</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product portfolio includes an ultrasound contrast agent and nuclear imaging products. Our principal products include the following:</w:t>
      </w:r>
    </w:p>
    <w:p>
      <w:pPr>
        <w:spacing w:after="0" w:line="117" w:lineRule="exact"/>
        <w:rPr>
          <w:sz w:val="20"/>
          <w:szCs w:val="20"/>
          <w:color w:val="auto"/>
        </w:rPr>
      </w:pPr>
    </w:p>
    <w:p>
      <w:pPr>
        <w:ind w:left="660" w:hanging="166"/>
        <w:spacing w:after="0" w:line="272" w:lineRule="auto"/>
        <w:tabs>
          <w:tab w:leader="none" w:pos="660" w:val="left"/>
        </w:tabs>
        <w:numPr>
          <w:ilvl w:val="0"/>
          <w:numId w:val="9"/>
        </w:numPr>
        <w:rPr>
          <w:rFonts w:ascii="Arial" w:cs="Arial" w:eastAsia="Arial" w:hAnsi="Arial"/>
          <w:sz w:val="17"/>
          <w:szCs w:val="17"/>
          <w:color w:val="auto"/>
        </w:rPr>
      </w:pPr>
      <w:r>
        <w:rPr>
          <w:rFonts w:ascii="Arial" w:cs="Arial" w:eastAsia="Arial" w:hAnsi="Arial"/>
          <w:sz w:val="17"/>
          <w:szCs w:val="17"/>
          <w:color w:val="auto"/>
        </w:rPr>
        <w:t>DEFINITY is an ultrasound contrast agent used in ultrasound exams of the heart, also known as echocardiography exams. DEFINITY contains perflutren-containing lipid microspheres and is indicated in the U.S. for use in patients with suboptimal echocardiograms to assist in imaging the left ventricular chamber and left endocardial border of the heart in ultrasound procedures. We launched DEFINITY in 2001, and in the U.S., its composition of matter patent will expire in 2019, its manufacturing patent will expire in 2021, and a new method of use patent will expire in 2037. In numerous foreign jurisdictions, patent protection or regulatory exclusivity will currently expire in 2019. We also have an active next generation development program for this agent including pursuing additional indications, new patent protection, and new formulations, but we can give no assurance that the program will be successful or that additional patents will protect the agent.</w:t>
      </w:r>
    </w:p>
    <w:p>
      <w:pPr>
        <w:spacing w:after="0" w:line="191" w:lineRule="exact"/>
        <w:rPr>
          <w:rFonts w:ascii="Arial" w:cs="Arial" w:eastAsia="Arial" w:hAnsi="Arial"/>
          <w:sz w:val="17"/>
          <w:szCs w:val="17"/>
          <w:color w:val="auto"/>
        </w:rPr>
      </w:pPr>
    </w:p>
    <w:p>
      <w:pPr>
        <w:ind w:left="660" w:right="160" w:hanging="166"/>
        <w:spacing w:after="0" w:line="342" w:lineRule="auto"/>
        <w:tabs>
          <w:tab w:leader="none" w:pos="660" w:val="left"/>
        </w:tabs>
        <w:numPr>
          <w:ilvl w:val="0"/>
          <w:numId w:val="9"/>
        </w:numPr>
        <w:rPr>
          <w:rFonts w:ascii="Arial" w:cs="Arial" w:eastAsia="Arial" w:hAnsi="Arial"/>
          <w:sz w:val="16"/>
          <w:szCs w:val="16"/>
          <w:color w:val="auto"/>
        </w:rPr>
      </w:pPr>
      <w:r>
        <w:rPr>
          <w:rFonts w:ascii="Arial" w:cs="Arial" w:eastAsia="Arial" w:hAnsi="Arial"/>
          <w:sz w:val="16"/>
          <w:szCs w:val="16"/>
          <w:color w:val="auto"/>
        </w:rPr>
        <w:t>TechneLite is a technetium generator which provides the essential nuclear material used by radiopharmacies to radiolabel Cardiolite, Neurolite and other technetium-based radiopharmaceuticals used in nuclear medicine procedures. TechneLite uses Moly as its active ingredient.</w:t>
      </w:r>
    </w:p>
    <w:p>
      <w:pPr>
        <w:spacing w:after="0" w:line="137" w:lineRule="exact"/>
        <w:rPr>
          <w:rFonts w:ascii="Arial" w:cs="Arial" w:eastAsia="Arial" w:hAnsi="Arial"/>
          <w:sz w:val="16"/>
          <w:szCs w:val="16"/>
          <w:color w:val="auto"/>
        </w:rPr>
      </w:pPr>
    </w:p>
    <w:p>
      <w:pPr>
        <w:ind w:left="660" w:right="600" w:hanging="166"/>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Xenon is a radiopharmaceutical gas that is inhaled and used to assess pulmonary function and also for imaging cerebral blood flow. Xenon is manufactured by a third-party and is processed and finished by us.</w:t>
      </w:r>
    </w:p>
    <w:p>
      <w:pPr>
        <w:spacing w:after="0" w:line="184" w:lineRule="exact"/>
        <w:rPr>
          <w:sz w:val="20"/>
          <w:szCs w:val="20"/>
          <w:color w:val="auto"/>
        </w:rPr>
      </w:pPr>
    </w:p>
    <w:p>
      <w:pPr>
        <w:ind w:firstLine="405"/>
        <w:spacing w:after="0" w:line="297" w:lineRule="auto"/>
        <w:rPr>
          <w:sz w:val="20"/>
          <w:szCs w:val="20"/>
          <w:color w:val="auto"/>
        </w:rPr>
      </w:pPr>
      <w:r>
        <w:rPr>
          <w:rFonts w:ascii="Arial" w:cs="Arial" w:eastAsia="Arial" w:hAnsi="Arial"/>
          <w:sz w:val="16"/>
          <w:szCs w:val="16"/>
          <w:color w:val="auto"/>
        </w:rPr>
        <w:t>Sales of our contrast agent, DEFINITY, are made in the U.S. and Canada through our direct sales team of approximately 80 employees. In the U.S., our nuclear imaging products, including TechneLite, Xenon, Neurolite and Cardiolite, are primarily distributed through commercial radiopharmacies, the majority of which are controlled by or associated with Cardinal, UPPI, GE Healthcare and Triad. A small portion of our nuclear imaging product sales in the U.S. are made through our direct sales force to hospitals and clinics that maintain their own in-house radiopharmaceutical capabilities. Outside the U.S., we own one radiopharmacy in Puerto Rico, where we sell our own products as well as products of third parties to end-users.</w:t>
      </w:r>
    </w:p>
    <w:p>
      <w:pPr>
        <w:spacing w:after="0" w:line="172" w:lineRule="exact"/>
        <w:rPr>
          <w:sz w:val="20"/>
          <w:szCs w:val="20"/>
          <w:color w:val="auto"/>
        </w:rPr>
      </w:pPr>
    </w:p>
    <w:p>
      <w:pPr>
        <w:ind w:firstLine="405"/>
        <w:spacing w:after="0" w:line="302" w:lineRule="auto"/>
        <w:rPr>
          <w:sz w:val="20"/>
          <w:szCs w:val="20"/>
          <w:color w:val="auto"/>
        </w:rPr>
      </w:pPr>
      <w:r>
        <w:rPr>
          <w:rFonts w:ascii="Arial" w:cs="Arial" w:eastAsia="Arial" w:hAnsi="Arial"/>
          <w:sz w:val="16"/>
          <w:szCs w:val="16"/>
          <w:color w:val="auto"/>
        </w:rPr>
        <w:t>In January 2016, we sold our Canadian radiopharmacies to Isologic Innovative Radiopharmaceuticals Ltd. (“Isologic”) and entered into a supply agreement under which we supply Isologic with certain of our products on commercial terms, including certain product purchase commitments by Isologic. In August 2016, we sold our Australian radiopharmacy servicing business to Global Medical Solutions (“GMS”), and entered into a supply agreement under which we supply GMS with certain of our products on commercial terms, including certain minimum product purchase commitments by GMS.</w:t>
      </w:r>
    </w:p>
    <w:p>
      <w:pPr>
        <w:spacing w:after="0" w:line="168" w:lineRule="exact"/>
        <w:rPr>
          <w:sz w:val="20"/>
          <w:szCs w:val="20"/>
          <w:color w:val="auto"/>
        </w:rPr>
      </w:pPr>
    </w:p>
    <w:p>
      <w:pPr>
        <w:ind w:right="120" w:firstLine="405"/>
        <w:spacing w:after="0" w:line="264" w:lineRule="auto"/>
        <w:rPr>
          <w:sz w:val="20"/>
          <w:szCs w:val="20"/>
          <w:color w:val="auto"/>
        </w:rPr>
      </w:pPr>
      <w:r>
        <w:rPr>
          <w:rFonts w:ascii="Arial" w:cs="Arial" w:eastAsia="Arial" w:hAnsi="Arial"/>
          <w:sz w:val="18"/>
          <w:szCs w:val="18"/>
          <w:color w:val="auto"/>
        </w:rPr>
        <w:t>We also maintain our own direct sales force in Canada so that we can control the importation, marketing, distribution and sale of our imaging agents in Canada. In Europe, Australia, Asia Pacific and Latin America, we rely on third-party distributors to market, sell and distribute our nuclear imaging and contrast agent products, either on a country-by-country basis or on a multi-country regional basis.</w:t>
      </w:r>
    </w:p>
    <w:p>
      <w:pPr>
        <w:spacing w:after="0" w:line="19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sets forth our revenues derived from our principal products: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00" w:type="dxa"/>
            <w:vAlign w:val="bottom"/>
            <w:gridSpan w:val="5"/>
          </w:tcPr>
          <w:p>
            <w:pPr>
              <w:jc w:val="center"/>
              <w:ind w:left="18"/>
              <w:spacing w:after="0"/>
              <w:rPr>
                <w:sz w:val="20"/>
                <w:szCs w:val="20"/>
                <w:color w:val="auto"/>
              </w:rPr>
            </w:pPr>
            <w:r>
              <w:rPr>
                <w:rFonts w:ascii="Arial" w:cs="Arial" w:eastAsia="Arial" w:hAnsi="Arial"/>
                <w:sz w:val="14"/>
                <w:szCs w:val="14"/>
                <w:b w:val="1"/>
                <w:bCs w:val="1"/>
                <w:color w:val="auto"/>
                <w:w w:val="95"/>
              </w:rPr>
              <w:t>Three Months Ended</w:t>
            </w: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20" w:type="dxa"/>
            <w:vAlign w:val="bottom"/>
            <w:gridSpan w:val="5"/>
          </w:tcPr>
          <w:p>
            <w:pPr>
              <w:jc w:val="center"/>
              <w:ind w:right="20"/>
              <w:spacing w:after="0"/>
              <w:rPr>
                <w:sz w:val="20"/>
                <w:szCs w:val="20"/>
                <w:color w:val="auto"/>
              </w:rPr>
            </w:pPr>
            <w:r>
              <w:rPr>
                <w:rFonts w:ascii="Arial" w:cs="Arial" w:eastAsia="Arial" w:hAnsi="Arial"/>
                <w:sz w:val="14"/>
                <w:szCs w:val="14"/>
                <w:b w:val="1"/>
                <w:bCs w:val="1"/>
                <w:color w:val="auto"/>
                <w:w w:val="94"/>
              </w:rPr>
              <w:t>Nine Months Ended</w:t>
            </w: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3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100" w:type="dxa"/>
            <w:vAlign w:val="bottom"/>
            <w:tcBorders>
              <w:bottom w:val="single" w:sz="8" w:color="auto"/>
            </w:tcBorders>
            <w:gridSpan w:val="5"/>
          </w:tcPr>
          <w:p>
            <w:pPr>
              <w:jc w:val="center"/>
              <w:ind w:left="18"/>
              <w:spacing w:after="0"/>
              <w:rPr>
                <w:sz w:val="20"/>
                <w:szCs w:val="20"/>
                <w:color w:val="auto"/>
              </w:rPr>
            </w:pPr>
            <w:r>
              <w:rPr>
                <w:rFonts w:ascii="Arial" w:cs="Arial" w:eastAsia="Arial" w:hAnsi="Arial"/>
                <w:sz w:val="14"/>
                <w:szCs w:val="14"/>
                <w:b w:val="1"/>
                <w:bCs w:val="1"/>
                <w:color w:val="auto"/>
                <w:w w:val="91"/>
              </w:rPr>
              <w:t>September 30,</w:t>
            </w:r>
          </w:p>
        </w:tc>
        <w:tc>
          <w:tcPr>
            <w:tcW w:w="10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20" w:type="dxa"/>
            <w:vAlign w:val="bottom"/>
            <w:tcBorders>
              <w:bottom w:val="single" w:sz="8" w:color="auto"/>
            </w:tcBorders>
            <w:gridSpan w:val="5"/>
          </w:tcPr>
          <w:p>
            <w:pPr>
              <w:jc w:val="center"/>
              <w:ind w:right="20"/>
              <w:spacing w:after="0"/>
              <w:rPr>
                <w:sz w:val="20"/>
                <w:szCs w:val="20"/>
                <w:color w:val="auto"/>
              </w:rPr>
            </w:pPr>
            <w:r>
              <w:rPr>
                <w:rFonts w:ascii="Arial" w:cs="Arial" w:eastAsia="Arial" w:hAnsi="Arial"/>
                <w:sz w:val="14"/>
                <w:szCs w:val="14"/>
                <w:b w:val="1"/>
                <w:bCs w:val="1"/>
                <w:color w:val="auto"/>
                <w:w w:val="91"/>
              </w:rPr>
              <w:t>September 30,</w:t>
            </w: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3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13"/>
                <w:szCs w:val="13"/>
                <w:color w:val="auto"/>
              </w:rPr>
            </w:pPr>
          </w:p>
        </w:tc>
        <w:tc>
          <w:tcPr>
            <w:tcW w:w="660" w:type="dxa"/>
            <w:vAlign w:val="bottom"/>
            <w:vMerge w:val="restart"/>
          </w:tcPr>
          <w:p>
            <w:pPr>
              <w:jc w:val="right"/>
              <w:ind w:right="193"/>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11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rPr>
              <w:t>% of</w:t>
            </w:r>
          </w:p>
        </w:tc>
        <w:tc>
          <w:tcPr>
            <w:tcW w:w="180" w:type="dxa"/>
            <w:vAlign w:val="bottom"/>
          </w:tcPr>
          <w:p>
            <w:pPr>
              <w:spacing w:after="0"/>
              <w:rPr>
                <w:sz w:val="13"/>
                <w:szCs w:val="13"/>
                <w:color w:val="auto"/>
              </w:rPr>
            </w:pPr>
          </w:p>
        </w:tc>
        <w:tc>
          <w:tcPr>
            <w:tcW w:w="680" w:type="dxa"/>
            <w:vAlign w:val="bottom"/>
            <w:vMerge w:val="restart"/>
          </w:tcPr>
          <w:p>
            <w:pPr>
              <w:jc w:val="right"/>
              <w:ind w:right="193"/>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1140" w:type="dxa"/>
            <w:vAlign w:val="bottom"/>
            <w:gridSpan w:val="2"/>
          </w:tcPr>
          <w:p>
            <w:pPr>
              <w:jc w:val="center"/>
              <w:ind w:right="80"/>
              <w:spacing w:after="0" w:line="153" w:lineRule="exact"/>
              <w:rPr>
                <w:sz w:val="20"/>
                <w:szCs w:val="20"/>
                <w:color w:val="auto"/>
              </w:rPr>
            </w:pPr>
            <w:r>
              <w:rPr>
                <w:rFonts w:ascii="Arial" w:cs="Arial" w:eastAsia="Arial" w:hAnsi="Arial"/>
                <w:sz w:val="14"/>
                <w:szCs w:val="14"/>
                <w:b w:val="1"/>
                <w:bCs w:val="1"/>
                <w:color w:val="auto"/>
              </w:rPr>
              <w:t>% of</w:t>
            </w:r>
          </w:p>
        </w:tc>
        <w:tc>
          <w:tcPr>
            <w:tcW w:w="200" w:type="dxa"/>
            <w:vAlign w:val="bottom"/>
          </w:tcPr>
          <w:p>
            <w:pPr>
              <w:spacing w:after="0"/>
              <w:rPr>
                <w:sz w:val="13"/>
                <w:szCs w:val="13"/>
                <w:color w:val="auto"/>
              </w:rPr>
            </w:pPr>
          </w:p>
        </w:tc>
        <w:tc>
          <w:tcPr>
            <w:tcW w:w="780" w:type="dxa"/>
            <w:vAlign w:val="bottom"/>
            <w:vMerge w:val="restart"/>
          </w:tcPr>
          <w:p>
            <w:pPr>
              <w:jc w:val="right"/>
              <w:ind w:right="253"/>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114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rPr>
              <w:t>% of</w:t>
            </w:r>
          </w:p>
        </w:tc>
        <w:tc>
          <w:tcPr>
            <w:tcW w:w="200" w:type="dxa"/>
            <w:vAlign w:val="bottom"/>
          </w:tcPr>
          <w:p>
            <w:pPr>
              <w:spacing w:after="0"/>
              <w:rPr>
                <w:sz w:val="13"/>
                <w:szCs w:val="13"/>
                <w:color w:val="auto"/>
              </w:rPr>
            </w:pPr>
          </w:p>
        </w:tc>
        <w:tc>
          <w:tcPr>
            <w:tcW w:w="780" w:type="dxa"/>
            <w:vAlign w:val="bottom"/>
            <w:vMerge w:val="restart"/>
          </w:tcPr>
          <w:p>
            <w:pPr>
              <w:jc w:val="right"/>
              <w:ind w:right="273"/>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1020" w:type="dxa"/>
            <w:vAlign w:val="bottom"/>
          </w:tcPr>
          <w:p>
            <w:pPr>
              <w:jc w:val="right"/>
              <w:ind w:right="275"/>
              <w:spacing w:after="0" w:line="153" w:lineRule="exact"/>
              <w:rPr>
                <w:sz w:val="20"/>
                <w:szCs w:val="20"/>
                <w:color w:val="auto"/>
              </w:rPr>
            </w:pPr>
            <w:r>
              <w:rPr>
                <w:rFonts w:ascii="Arial" w:cs="Arial" w:eastAsia="Arial" w:hAnsi="Arial"/>
                <w:sz w:val="14"/>
                <w:szCs w:val="14"/>
                <w:b w:val="1"/>
                <w:bCs w:val="1"/>
                <w:color w:val="auto"/>
              </w:rPr>
              <w:t>% of</w:t>
            </w:r>
          </w:p>
        </w:tc>
        <w:tc>
          <w:tcPr>
            <w:tcW w:w="0" w:type="dxa"/>
            <w:vAlign w:val="bottom"/>
          </w:tcPr>
          <w:p>
            <w:pPr>
              <w:spacing w:after="0"/>
              <w:rPr>
                <w:sz w:val="1"/>
                <w:szCs w:val="1"/>
                <w:color w:val="auto"/>
              </w:rPr>
            </w:pPr>
          </w:p>
        </w:tc>
      </w:tr>
      <w:tr>
        <w:trPr>
          <w:trHeight w:val="192"/>
        </w:trPr>
        <w:tc>
          <w:tcPr>
            <w:tcW w:w="2300" w:type="dxa"/>
            <w:vAlign w:val="bottom"/>
            <w:vMerge w:val="continue"/>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7"/>
              </w:rPr>
              <w:t>Revenues</w:t>
            </w:r>
          </w:p>
        </w:tc>
        <w:tc>
          <w:tcPr>
            <w:tcW w:w="180" w:type="dxa"/>
            <w:vAlign w:val="bottom"/>
          </w:tcPr>
          <w:p>
            <w:pPr>
              <w:spacing w:after="0"/>
              <w:rPr>
                <w:sz w:val="16"/>
                <w:szCs w:val="16"/>
                <w:color w:val="auto"/>
              </w:rPr>
            </w:pPr>
          </w:p>
        </w:tc>
        <w:tc>
          <w:tcPr>
            <w:tcW w:w="6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87"/>
              </w:rPr>
              <w:t>Revenues</w:t>
            </w:r>
          </w:p>
        </w:tc>
        <w:tc>
          <w:tcPr>
            <w:tcW w:w="20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7"/>
              </w:rPr>
              <w:t>Revenues</w:t>
            </w:r>
          </w:p>
        </w:tc>
        <w:tc>
          <w:tcPr>
            <w:tcW w:w="20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jc w:val="right"/>
              <w:ind w:right="135"/>
              <w:spacing w:after="0"/>
              <w:rPr>
                <w:sz w:val="20"/>
                <w:szCs w:val="20"/>
                <w:color w:val="auto"/>
              </w:rPr>
            </w:pPr>
            <w:r>
              <w:rPr>
                <w:rFonts w:ascii="Arial" w:cs="Arial" w:eastAsia="Arial" w:hAnsi="Arial"/>
                <w:sz w:val="14"/>
                <w:szCs w:val="14"/>
                <w:b w:val="1"/>
                <w:bCs w:val="1"/>
                <w:color w:val="auto"/>
              </w:rPr>
              <w:t>Revenues</w:t>
            </w:r>
          </w:p>
        </w:tc>
        <w:tc>
          <w:tcPr>
            <w:tcW w:w="0" w:type="dxa"/>
            <w:vAlign w:val="bottom"/>
          </w:tcPr>
          <w:p>
            <w:pPr>
              <w:spacing w:after="0"/>
              <w:rPr>
                <w:sz w:val="1"/>
                <w:szCs w:val="1"/>
                <w:color w:val="auto"/>
              </w:rPr>
            </w:pPr>
          </w:p>
        </w:tc>
      </w:tr>
      <w:tr>
        <w:trPr>
          <w:trHeight w:val="250"/>
        </w:trPr>
        <w:tc>
          <w:tcPr>
            <w:tcW w:w="23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DEFINITY</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w w:val="98"/>
              </w:rPr>
              <w:t>37,729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32,604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8"/>
              </w:rPr>
              <w:t>115,569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97,499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42.9%</w:t>
            </w:r>
          </w:p>
        </w:tc>
        <w:tc>
          <w:tcPr>
            <w:tcW w:w="0" w:type="dxa"/>
            <w:vAlign w:val="bottom"/>
          </w:tcPr>
          <w:p>
            <w:pPr>
              <w:spacing w:after="0"/>
              <w:rPr>
                <w:sz w:val="1"/>
                <w:szCs w:val="1"/>
                <w:color w:val="auto"/>
              </w:rPr>
            </w:pPr>
          </w:p>
        </w:tc>
      </w:tr>
      <w:tr>
        <w:trPr>
          <w:trHeight w:val="243"/>
        </w:trPr>
        <w:tc>
          <w:tcPr>
            <w:tcW w:w="2300" w:type="dxa"/>
            <w:vAlign w:val="bottom"/>
          </w:tcPr>
          <w:p>
            <w:pPr>
              <w:ind w:left="40"/>
              <w:spacing w:after="0"/>
              <w:rPr>
                <w:sz w:val="20"/>
                <w:szCs w:val="20"/>
                <w:color w:val="auto"/>
              </w:rPr>
            </w:pPr>
            <w:r>
              <w:rPr>
                <w:rFonts w:ascii="Arial" w:cs="Arial" w:eastAsia="Arial" w:hAnsi="Arial"/>
                <w:sz w:val="18"/>
                <w:szCs w:val="18"/>
                <w:color w:val="auto"/>
              </w:rPr>
              <w:t>TechneLite</w:t>
            </w:r>
          </w:p>
        </w:tc>
        <w:tc>
          <w:tcPr>
            <w:tcW w:w="200" w:type="dxa"/>
            <w:vAlign w:val="bottom"/>
          </w:tcPr>
          <w:p>
            <w:pPr>
              <w:spacing w:after="0"/>
              <w:rPr>
                <w:sz w:val="21"/>
                <w:szCs w:val="21"/>
                <w:color w:val="auto"/>
              </w:rPr>
            </w:pPr>
          </w:p>
        </w:tc>
        <w:tc>
          <w:tcPr>
            <w:tcW w:w="660" w:type="dxa"/>
            <w:vAlign w:val="bottom"/>
          </w:tcPr>
          <w:p>
            <w:pPr>
              <w:jc w:val="right"/>
              <w:ind w:right="13"/>
              <w:spacing w:after="0"/>
              <w:rPr>
                <w:sz w:val="20"/>
                <w:szCs w:val="20"/>
                <w:color w:val="auto"/>
              </w:rPr>
            </w:pPr>
            <w:r>
              <w:rPr>
                <w:rFonts w:ascii="Arial" w:cs="Arial" w:eastAsia="Arial" w:hAnsi="Arial"/>
                <w:sz w:val="18"/>
                <w:szCs w:val="18"/>
                <w:color w:val="auto"/>
                <w:w w:val="98"/>
              </w:rPr>
              <w:t>26,356</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33.0%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80" w:type="dxa"/>
            <w:vAlign w:val="bottom"/>
          </w:tcPr>
          <w:p>
            <w:pPr>
              <w:jc w:val="right"/>
              <w:ind w:right="13"/>
              <w:spacing w:after="0"/>
              <w:rPr>
                <w:sz w:val="20"/>
                <w:szCs w:val="20"/>
                <w:color w:val="auto"/>
              </w:rPr>
            </w:pPr>
            <w:r>
              <w:rPr>
                <w:rFonts w:ascii="Arial" w:cs="Arial" w:eastAsia="Arial" w:hAnsi="Arial"/>
                <w:sz w:val="18"/>
                <w:szCs w:val="18"/>
                <w:color w:val="auto"/>
              </w:rPr>
              <w:t>24,533</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33.6%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jc w:val="right"/>
              <w:ind w:right="33"/>
              <w:spacing w:after="0"/>
              <w:rPr>
                <w:sz w:val="20"/>
                <w:szCs w:val="20"/>
                <w:color w:val="auto"/>
              </w:rPr>
            </w:pPr>
            <w:r>
              <w:rPr>
                <w:rFonts w:ascii="Arial" w:cs="Arial" w:eastAsia="Arial" w:hAnsi="Arial"/>
                <w:sz w:val="18"/>
                <w:szCs w:val="18"/>
                <w:color w:val="auto"/>
              </w:rPr>
              <w:t>79,900</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jc w:val="right"/>
              <w:ind w:right="33"/>
              <w:spacing w:after="0"/>
              <w:rPr>
                <w:sz w:val="20"/>
                <w:szCs w:val="20"/>
                <w:color w:val="auto"/>
              </w:rPr>
            </w:pPr>
            <w:r>
              <w:rPr>
                <w:rFonts w:ascii="Arial" w:cs="Arial" w:eastAsia="Arial" w:hAnsi="Arial"/>
                <w:sz w:val="18"/>
                <w:szCs w:val="18"/>
                <w:color w:val="auto"/>
              </w:rPr>
              <w:t>74,621</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32.8%</w:t>
            </w:r>
          </w:p>
        </w:tc>
        <w:tc>
          <w:tcPr>
            <w:tcW w:w="0" w:type="dxa"/>
            <w:vAlign w:val="bottom"/>
          </w:tcPr>
          <w:p>
            <w:pPr>
              <w:spacing w:after="0"/>
              <w:rPr>
                <w:sz w:val="1"/>
                <w:szCs w:val="1"/>
                <w:color w:val="auto"/>
              </w:rPr>
            </w:pPr>
          </w:p>
        </w:tc>
      </w:tr>
      <w:tr>
        <w:trPr>
          <w:trHeight w:val="27"/>
        </w:trPr>
        <w:tc>
          <w:tcPr>
            <w:tcW w:w="2300" w:type="dxa"/>
            <w:vAlign w:val="bottom"/>
          </w:tcPr>
          <w:p>
            <w:pPr>
              <w:spacing w:after="0"/>
              <w:rPr>
                <w:sz w:val="2"/>
                <w:szCs w:val="2"/>
                <w:color w:val="auto"/>
              </w:rPr>
            </w:pPr>
          </w:p>
        </w:tc>
        <w:tc>
          <w:tcPr>
            <w:tcW w:w="20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Xenon</w:t>
            </w:r>
          </w:p>
        </w:tc>
        <w:tc>
          <w:tcPr>
            <w:tcW w:w="20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7,726</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6,677</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23,713</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21,625</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43"/>
        </w:trPr>
        <w:tc>
          <w:tcPr>
            <w:tcW w:w="2300" w:type="dxa"/>
            <w:vAlign w:val="bottom"/>
          </w:tcPr>
          <w:p>
            <w:pPr>
              <w:ind w:left="40"/>
              <w:spacing w:after="0"/>
              <w:rPr>
                <w:sz w:val="20"/>
                <w:szCs w:val="20"/>
                <w:color w:val="auto"/>
              </w:rPr>
            </w:pPr>
            <w:r>
              <w:rPr>
                <w:rFonts w:ascii="Arial" w:cs="Arial" w:eastAsia="Arial" w:hAnsi="Arial"/>
                <w:sz w:val="18"/>
                <w:szCs w:val="18"/>
                <w:color w:val="auto"/>
              </w:rPr>
              <w:t>Other</w:t>
            </w:r>
          </w:p>
        </w:tc>
        <w:tc>
          <w:tcPr>
            <w:tcW w:w="200" w:type="dxa"/>
            <w:vAlign w:val="bottom"/>
          </w:tcPr>
          <w:p>
            <w:pPr>
              <w:spacing w:after="0"/>
              <w:rPr>
                <w:sz w:val="21"/>
                <w:szCs w:val="21"/>
                <w:color w:val="auto"/>
              </w:rPr>
            </w:pPr>
          </w:p>
        </w:tc>
        <w:tc>
          <w:tcPr>
            <w:tcW w:w="660" w:type="dxa"/>
            <w:vAlign w:val="bottom"/>
          </w:tcPr>
          <w:p>
            <w:pPr>
              <w:jc w:val="right"/>
              <w:ind w:right="13"/>
              <w:spacing w:after="0"/>
              <w:rPr>
                <w:sz w:val="20"/>
                <w:szCs w:val="20"/>
                <w:color w:val="auto"/>
              </w:rPr>
            </w:pPr>
            <w:r>
              <w:rPr>
                <w:rFonts w:ascii="Arial" w:cs="Arial" w:eastAsia="Arial" w:hAnsi="Arial"/>
                <w:sz w:val="18"/>
                <w:szCs w:val="18"/>
                <w:color w:val="auto"/>
              </w:rPr>
              <w:t>8,130</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80" w:type="dxa"/>
            <w:vAlign w:val="bottom"/>
          </w:tcPr>
          <w:p>
            <w:pPr>
              <w:jc w:val="right"/>
              <w:ind w:right="13"/>
              <w:spacing w:after="0"/>
              <w:rPr>
                <w:sz w:val="20"/>
                <w:szCs w:val="20"/>
                <w:color w:val="auto"/>
              </w:rPr>
            </w:pPr>
            <w:r>
              <w:rPr>
                <w:rFonts w:ascii="Arial" w:cs="Arial" w:eastAsia="Arial" w:hAnsi="Arial"/>
                <w:sz w:val="18"/>
                <w:szCs w:val="18"/>
                <w:color w:val="auto"/>
              </w:rPr>
              <w:t>9,249</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jc w:val="right"/>
              <w:ind w:right="33"/>
              <w:spacing w:after="0"/>
              <w:rPr>
                <w:sz w:val="20"/>
                <w:szCs w:val="20"/>
                <w:color w:val="auto"/>
              </w:rPr>
            </w:pPr>
            <w:r>
              <w:rPr>
                <w:rFonts w:ascii="Arial" w:cs="Arial" w:eastAsia="Arial" w:hAnsi="Arial"/>
                <w:sz w:val="18"/>
                <w:szCs w:val="18"/>
                <w:color w:val="auto"/>
              </w:rPr>
              <w:t>30,955</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jc w:val="right"/>
              <w:ind w:right="33"/>
              <w:spacing w:after="0"/>
              <w:rPr>
                <w:sz w:val="20"/>
                <w:szCs w:val="20"/>
                <w:color w:val="auto"/>
              </w:rPr>
            </w:pPr>
            <w:r>
              <w:rPr>
                <w:rFonts w:ascii="Arial" w:cs="Arial" w:eastAsia="Arial" w:hAnsi="Arial"/>
                <w:sz w:val="18"/>
                <w:szCs w:val="18"/>
                <w:color w:val="auto"/>
              </w:rPr>
              <w:t>33,758</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14.8%</w:t>
            </w:r>
          </w:p>
        </w:tc>
        <w:tc>
          <w:tcPr>
            <w:tcW w:w="0" w:type="dxa"/>
            <w:vAlign w:val="bottom"/>
          </w:tcPr>
          <w:p>
            <w:pPr>
              <w:spacing w:after="0"/>
              <w:rPr>
                <w:sz w:val="1"/>
                <w:szCs w:val="1"/>
                <w:color w:val="auto"/>
              </w:rPr>
            </w:pPr>
          </w:p>
        </w:tc>
      </w:tr>
      <w:tr>
        <w:trPr>
          <w:trHeight w:val="27"/>
        </w:trPr>
        <w:tc>
          <w:tcPr>
            <w:tcW w:w="23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3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revenues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w w:val="98"/>
              </w:rPr>
              <w:t>79,941</w:t>
            </w:r>
          </w:p>
        </w:tc>
        <w:tc>
          <w:tcPr>
            <w:tcW w:w="1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73,063</w:t>
            </w:r>
          </w:p>
        </w:tc>
        <w:tc>
          <w:tcPr>
            <w:tcW w:w="1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8"/>
              </w:rPr>
              <w:t>250,137</w:t>
            </w:r>
          </w:p>
        </w:tc>
        <w:tc>
          <w:tcPr>
            <w:tcW w:w="1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98"/>
              </w:rPr>
              <w:t>227,503</w:t>
            </w:r>
          </w:p>
        </w:tc>
        <w:tc>
          <w:tcPr>
            <w:tcW w:w="1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3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9"/>
        </w:trPr>
        <w:tc>
          <w:tcPr>
            <w:tcW w:w="2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jc w:val="right"/>
              <w:ind w:right="314"/>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121" w:right="2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Factors Affecting Our Results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business and financial performance have been, and continue to be, affected by the following:</w:t>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Growth of DEFINITY</w:t>
      </w:r>
    </w:p>
    <w:p>
      <w:pPr>
        <w:spacing w:after="0" w:line="117"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We believe the market opportunity for our contrast agent, DEFINITY, remains significant. DEFINITY is currently our fastest growing and highest margin commercial product. We believe that DEFINITY sales will continue to grow and that DEFINITY will constitute a greater share of our overall product mix. As we better educate the physician and healthcare provider community about the benefits and risks of this product, we believe we will experience further penetration of suboptimal echocardiograms.</w:t>
      </w:r>
    </w:p>
    <w:p>
      <w:pPr>
        <w:spacing w:after="0" w:line="187"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The future growth of our DEFINITY sales will be dependent on our ability to continue to increase segment penetration for DEFINITY in suboptimal echocardiograms and, as discussed below in “—Inventory Supply,” on the ability of JHS to continue to manufacture and release DEFINITY on a timely and consistent basis. See “Part II—Item 1A. Risk Factors—The growth of our business is substantially dependent on increased market penetration for the appropriate use of DEFINITY in suboptimal echocardiograms.”</w:t>
      </w:r>
    </w:p>
    <w:p>
      <w:pPr>
        <w:spacing w:after="0" w:line="200"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There are three echocardiography contrast agents approved by the FDA for sale in the U.S.—DEFINITY, which we estimated as having approximately</w:t>
      </w:r>
    </w:p>
    <w:p>
      <w:pPr>
        <w:spacing w:after="0" w:line="46" w:lineRule="exact"/>
        <w:rPr>
          <w:sz w:val="20"/>
          <w:szCs w:val="20"/>
          <w:color w:val="auto"/>
        </w:rPr>
      </w:pPr>
    </w:p>
    <w:p>
      <w:pPr>
        <w:ind w:right="540"/>
        <w:spacing w:after="0" w:line="261" w:lineRule="auto"/>
        <w:rPr>
          <w:sz w:val="20"/>
          <w:szCs w:val="20"/>
          <w:color w:val="auto"/>
        </w:rPr>
      </w:pPr>
      <w:r>
        <w:rPr>
          <w:rFonts w:ascii="Arial" w:cs="Arial" w:eastAsia="Arial" w:hAnsi="Arial"/>
          <w:sz w:val="18"/>
          <w:szCs w:val="18"/>
          <w:color w:val="auto"/>
        </w:rPr>
        <w:t>80% of the U.S. market for contrast agents in echocardiography procedures as of December 31, 2016, Optison from GE Healthcare and Lumason from Bracco.</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Competition for Xenon</w:t>
      </w:r>
    </w:p>
    <w:p>
      <w:pPr>
        <w:spacing w:after="0" w:line="117" w:lineRule="exact"/>
        <w:rPr>
          <w:sz w:val="20"/>
          <w:szCs w:val="20"/>
          <w:color w:val="auto"/>
        </w:rPr>
      </w:pPr>
    </w:p>
    <w:p>
      <w:pPr>
        <w:ind w:right="40" w:firstLine="405"/>
        <w:spacing w:after="0" w:line="271" w:lineRule="auto"/>
        <w:rPr>
          <w:sz w:val="20"/>
          <w:szCs w:val="20"/>
          <w:color w:val="auto"/>
        </w:rPr>
      </w:pPr>
      <w:r>
        <w:rPr>
          <w:rFonts w:ascii="Arial" w:cs="Arial" w:eastAsia="Arial" w:hAnsi="Arial"/>
          <w:sz w:val="17"/>
          <w:szCs w:val="17"/>
          <w:color w:val="auto"/>
        </w:rPr>
        <w:t>Xenon gas for lung ventilation diagnosis is our third largest product by revenues. In order to increase the predictability of our Xenon business, we have entered into Xenon supply agreements with customers at committed volumes and reduced prices. These steps have resulted in more predictable Xenon unit volumes. Historically, several companies, including Mallinckrodt Nuclear Imaging (now known as Curium), sold packaged Xenon as a pulmonary imaging agent in the U.S., but from 2010 through the first quarter of 2016, we were the only supplier of this imaging agent in the U.S. In March 2016, Mallinckrodt Nuclear Imaging received regulatory approval from the FDA to again sell packaged Xenon in the U.S. Depending upon the pricing, extent of availability and market penetration of such offering, we believe we are at risk for volume loss and price erosion for those customers which are not subject to price or volume commitments with us. See Part I, Item 1A. “Risk Factors —We face potential supply and demand challenges for Xenon” of our Annual Report on Form 10-K for the year ended December 31, 2016.</w:t>
      </w:r>
    </w:p>
    <w:p>
      <w:pPr>
        <w:spacing w:after="0" w:line="3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 Supply</w:t>
      </w:r>
    </w:p>
    <w:p>
      <w:pPr>
        <w:spacing w:after="0" w:line="117" w:lineRule="exact"/>
        <w:rPr>
          <w:sz w:val="20"/>
          <w:szCs w:val="20"/>
          <w:color w:val="auto"/>
        </w:rPr>
      </w:pPr>
    </w:p>
    <w:p>
      <w:pPr>
        <w:ind w:right="140" w:firstLine="405"/>
        <w:spacing w:after="0" w:line="259" w:lineRule="auto"/>
        <w:rPr>
          <w:sz w:val="20"/>
          <w:szCs w:val="20"/>
          <w:color w:val="auto"/>
        </w:rPr>
      </w:pPr>
      <w:r>
        <w:rPr>
          <w:rFonts w:ascii="Arial" w:cs="Arial" w:eastAsia="Arial" w:hAnsi="Arial"/>
          <w:sz w:val="18"/>
          <w:szCs w:val="18"/>
          <w:color w:val="auto"/>
        </w:rPr>
        <w:t>We obtain a substantial portion of our imaging agents from third-party suppliers. JHS is currently our sole source manufacturer of DEFINITY, Neurolite, Cardiolite and evacuation vials, the latter being an ancillary component for our TechneLite generators. We are currently seeking approval from certain foreign regulatory authorities for JHS to manufacture certain of our products. Until we receive these approvals, we will face continued limitations on where we can sell those products outside of the U.S.</w:t>
      </w:r>
    </w:p>
    <w:p>
      <w:pPr>
        <w:spacing w:after="0" w:line="200"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In addition to JHS, we are also currently working to secure additional alternative suppliers for our key products as part of our ongoing supply chain diversification strategy. We have on-going development and technology transfer activities for a next generation DEFINITY product with SBL, which is located in South Korea, but we cannot give any assurances as to if and when those technology transfer activities will be completed and when we will begin to receive supply of a next generation DEFINITY product from SBL. See Part I, Item 1A. “Risk Factors—Our dependence upon third parties for the manufacture and supply of a substantial portion of our products could prevent us from delivering our products to our customers in the required quantities, within the required timeframes, or at all, which could result in order cancellations and decreased revenues” of our Annual Report on Form 10-K for the year ended December 31, 2016.</w:t>
      </w:r>
    </w:p>
    <w:p>
      <w:pPr>
        <w:spacing w:after="0" w:line="203" w:lineRule="exact"/>
        <w:rPr>
          <w:sz w:val="20"/>
          <w:szCs w:val="20"/>
          <w:color w:val="auto"/>
        </w:rPr>
      </w:pPr>
    </w:p>
    <w:p>
      <w:pPr>
        <w:ind w:right="140" w:firstLine="405"/>
        <w:spacing w:after="0" w:line="264" w:lineRule="auto"/>
        <w:rPr>
          <w:sz w:val="20"/>
          <w:szCs w:val="20"/>
          <w:color w:val="auto"/>
        </w:rPr>
      </w:pPr>
      <w:r>
        <w:rPr>
          <w:rFonts w:ascii="Arial" w:cs="Arial" w:eastAsia="Arial" w:hAnsi="Arial"/>
          <w:sz w:val="18"/>
          <w:szCs w:val="18"/>
          <w:color w:val="auto"/>
        </w:rPr>
        <w:t>Radiopharmaceuticals are decaying radioisotopes with half-lives ranging from a few hours to several days. These products cannot be kept in inventory because of their limited shelf lives and are subject to just-in-time manufacturing, processing and distribution, which takes place at our North Billerica, Massachusetts facility.</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Global Isotope Supply</w:t>
      </w:r>
    </w:p>
    <w:p>
      <w:pPr>
        <w:spacing w:after="0" w:line="117" w:lineRule="exact"/>
        <w:rPr>
          <w:sz w:val="20"/>
          <w:szCs w:val="20"/>
          <w:color w:val="auto"/>
        </w:rPr>
      </w:pPr>
    </w:p>
    <w:p>
      <w:pPr>
        <w:ind w:right="200" w:firstLine="405"/>
        <w:spacing w:after="0" w:line="264" w:lineRule="auto"/>
        <w:rPr>
          <w:sz w:val="20"/>
          <w:szCs w:val="20"/>
          <w:color w:val="auto"/>
        </w:rPr>
      </w:pPr>
      <w:r>
        <w:rPr>
          <w:rFonts w:ascii="Arial" w:cs="Arial" w:eastAsia="Arial" w:hAnsi="Arial"/>
          <w:sz w:val="18"/>
          <w:szCs w:val="18"/>
          <w:color w:val="auto"/>
        </w:rPr>
        <w:t>We currently have Moly supply agreements with NTP Radioisotopes (“NTP”) of South Africa and ANSTO of Australia, and with Institute for Radioelements (“IRE”) of Belgium, each running through December 31, 2017, and a Xenon supply agreement with IRE which runs through June 30, 2019, subject to extensions.</w:t>
      </w:r>
    </w:p>
    <w:p>
      <w:pPr>
        <w:sectPr>
          <w:pgSz w:w="11900" w:h="16838" w:orient="portrait"/>
          <w:cols w:equalWidth="0" w:num="1">
            <w:col w:w="11400"/>
          </w:cols>
          <w:pgMar w:left="240" w:top="121" w:right="259" w:bottom="1440" w:gutter="0" w:footer="0" w:header="0"/>
        </w:sectPr>
      </w:pPr>
    </w:p>
    <w:p>
      <w:pPr>
        <w:spacing w:after="0" w:line="200" w:lineRule="exact"/>
        <w:rPr>
          <w:sz w:val="20"/>
          <w:szCs w:val="20"/>
          <w:color w:val="auto"/>
        </w:rPr>
      </w:pPr>
    </w:p>
    <w:p>
      <w:pPr>
        <w:spacing w:after="0" w:line="238" w:lineRule="exact"/>
        <w:rPr>
          <w:sz w:val="20"/>
          <w:szCs w:val="20"/>
          <w:color w:val="auto"/>
        </w:rPr>
      </w:pPr>
    </w:p>
    <w:p>
      <w:pPr>
        <w:jc w:val="center"/>
        <w:ind w:left="400"/>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400"/>
          </w:cols>
          <w:pgMar w:left="240" w:top="121" w:right="259" w:bottom="1440" w:gutter="0" w:footer="0" w:header="0"/>
          <w:type w:val="continuous"/>
        </w:sectPr>
      </w:pPr>
    </w:p>
    <w:bookmarkStart w:id="21" w:name="page22"/>
    <w:bookmarkEnd w:id="2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6" w:lineRule="exact"/>
        <w:rPr>
          <w:sz w:val="20"/>
          <w:szCs w:val="20"/>
          <w:color w:val="auto"/>
        </w:rPr>
      </w:pPr>
    </w:p>
    <w:p>
      <w:pPr>
        <w:ind w:right="40" w:firstLine="405"/>
        <w:spacing w:after="0" w:line="272" w:lineRule="auto"/>
        <w:rPr>
          <w:sz w:val="20"/>
          <w:szCs w:val="20"/>
          <w:color w:val="auto"/>
        </w:rPr>
      </w:pPr>
      <w:r>
        <w:rPr>
          <w:rFonts w:ascii="Arial" w:cs="Arial" w:eastAsia="Arial" w:hAnsi="Arial"/>
          <w:sz w:val="17"/>
          <w:szCs w:val="17"/>
          <w:color w:val="auto"/>
        </w:rPr>
        <w:t>We believe we are well-positioned with ANSTO, IRE and NTP to have a secure supply of Moly, including low-enriched uranium-based Moly produced from targets containing less than 20% of Uranium-235 (“LEU Moly”). From November 2016, the NRU reactor transitioned from providing regular supply of medical isotopes to providing only emergency back-up supply of highly-enriched uranium-based Moly through March 2018. ANSTO has already significantly increased its Moly production capacity from its existing facility in August 2016 and has under construction, in cooperation with NTP, a new Moly processing facility that ANSTO believes will expand its production capacity, which is expected to be in commercial operation in the first half of 2018. In addition, IRE received approval from its regulator to expand its production capability by up to 50% of its former capacity. The new ANSTO and IRE production capacity is expected to replace and exceed what was the NRU’s most recent routine production.</w:t>
      </w:r>
    </w:p>
    <w:p>
      <w:pPr>
        <w:spacing w:after="0" w:line="191" w:lineRule="exact"/>
        <w:rPr>
          <w:sz w:val="20"/>
          <w:szCs w:val="20"/>
          <w:color w:val="auto"/>
        </w:rPr>
      </w:pPr>
    </w:p>
    <w:p>
      <w:pPr>
        <w:ind w:right="160" w:firstLine="405"/>
        <w:spacing w:after="0" w:line="264" w:lineRule="auto"/>
        <w:rPr>
          <w:sz w:val="20"/>
          <w:szCs w:val="20"/>
          <w:color w:val="auto"/>
        </w:rPr>
      </w:pPr>
      <w:r>
        <w:rPr>
          <w:rFonts w:ascii="Arial" w:cs="Arial" w:eastAsia="Arial" w:hAnsi="Arial"/>
          <w:sz w:val="18"/>
          <w:szCs w:val="18"/>
          <w:color w:val="auto"/>
        </w:rPr>
        <w:t>We are receiving bulk unprocessed Xenon from IRE, which we are processing and finishing for our customers. We believe we are well-positioned to supply Xenon to our customers. See Part I, Item 1A. “Risk Factors —We face potential supply and demand challenges for Xenon” of our Annual Report on Form 10-K for the year ended December 31, 2016.</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Demand for TechneLite</w:t>
      </w:r>
    </w:p>
    <w:p>
      <w:pPr>
        <w:spacing w:after="0" w:line="117" w:lineRule="exact"/>
        <w:rPr>
          <w:sz w:val="20"/>
          <w:szCs w:val="20"/>
          <w:color w:val="auto"/>
        </w:rPr>
      </w:pPr>
    </w:p>
    <w:p>
      <w:pPr>
        <w:ind w:right="300" w:firstLine="405"/>
        <w:spacing w:after="0" w:line="259" w:lineRule="auto"/>
        <w:rPr>
          <w:sz w:val="20"/>
          <w:szCs w:val="20"/>
          <w:color w:val="auto"/>
        </w:rPr>
      </w:pPr>
      <w:r>
        <w:rPr>
          <w:rFonts w:ascii="Arial" w:cs="Arial" w:eastAsia="Arial" w:hAnsi="Arial"/>
          <w:sz w:val="18"/>
          <w:szCs w:val="18"/>
          <w:color w:val="auto"/>
        </w:rPr>
        <w:t>We believe that due to industry-wide cost containment initiatives that have resulted in a transition of where imaging procedures are performed, from free-standing imaging centers to the hospital setting, the total MPI market has been essentially flat since 2011. Our 2016 sales of TechneLite generators exceeded our expectations because of opportunistic sales when customers could not obtain sufficient generators from other suppliers. We can give no assurances that such opportunistic sales will be replicated in 2017.</w:t>
      </w:r>
    </w:p>
    <w:p>
      <w:pPr>
        <w:spacing w:after="0" w:line="200" w:lineRule="exact"/>
        <w:rPr>
          <w:sz w:val="20"/>
          <w:szCs w:val="20"/>
          <w:color w:val="auto"/>
        </w:rPr>
      </w:pPr>
    </w:p>
    <w:p>
      <w:pPr>
        <w:ind w:right="40" w:firstLine="405"/>
        <w:spacing w:after="0" w:line="297" w:lineRule="auto"/>
        <w:rPr>
          <w:sz w:val="20"/>
          <w:szCs w:val="20"/>
          <w:color w:val="auto"/>
        </w:rPr>
      </w:pPr>
      <w:r>
        <w:rPr>
          <w:rFonts w:ascii="Arial" w:cs="Arial" w:eastAsia="Arial" w:hAnsi="Arial"/>
          <w:sz w:val="16"/>
          <w:szCs w:val="16"/>
          <w:color w:val="auto"/>
        </w:rPr>
        <w:t>In November 2016, CMS announced the 2017 final Medicare payment rules for hospital outpatient settings. Under the final rules, each technetium dose produced from a generator for a diagnostic procedure in a hospital outpatient setting is reimbursed by Medicare at a higher rate if that technetium dose is produced from a generator containing at least 95% LEU Moly. In January 2013, we began to offer a TechneLite generator which contains at least 95% LEU Moly and which satisfies the requirements for reimbursement under this incentive program. Although demand for LEU generators appears to be growing, we do not know when, or if, this incremental reimbursement for LEU Moly generators will result in a material increase in our generator sales.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17" w:lineRule="exact"/>
        <w:rPr>
          <w:sz w:val="20"/>
          <w:szCs w:val="20"/>
          <w:color w:val="auto"/>
        </w:rPr>
      </w:pPr>
    </w:p>
    <w:p>
      <w:pPr>
        <w:ind w:firstLine="405"/>
        <w:spacing w:after="0" w:line="291" w:lineRule="auto"/>
        <w:rPr>
          <w:sz w:val="20"/>
          <w:szCs w:val="20"/>
          <w:color w:val="auto"/>
        </w:rPr>
      </w:pPr>
      <w:r>
        <w:rPr>
          <w:rFonts w:ascii="Arial" w:cs="Arial" w:eastAsia="Arial" w:hAnsi="Arial"/>
          <w:sz w:val="16"/>
          <w:szCs w:val="16"/>
          <w:color w:val="auto"/>
        </w:rPr>
        <w:t>To remain a leader in the marketplace, we have historically made substantial investments in new product development. As a result, the positive contributions of those internally funded research and development programs have been a key factor in our historical results and success. On April 25, 2017, we announced entering into a definitive, exclusive Collaboration and License Agreement with GE Healthcare for the continued Phase III development and worldwide commercialization of flurpiridaz F 18. In the future, we may also seek to engage strategic partners for our 18F LMI 1195 and LMI 1174 programs, or we may choose to partially or fully fund one or more development programs ourselves. See Part I, Item 1. “Business—Research and Development— Proposed GE Healthcare Transaction” and Part I, Item 1A. “Risk Factors—We may not be able to further develop or commercialize our agents in development without successful strategic partners” of our Annual Report on Form 10-K for the year ended December 31, 2016.</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Hurricane Maria in Puerto Rico</w:t>
      </w:r>
    </w:p>
    <w:p>
      <w:pPr>
        <w:spacing w:after="0" w:line="117" w:lineRule="exact"/>
        <w:rPr>
          <w:sz w:val="20"/>
          <w:szCs w:val="20"/>
          <w:color w:val="auto"/>
        </w:rPr>
      </w:pPr>
    </w:p>
    <w:p>
      <w:pPr>
        <w:ind w:firstLine="405"/>
        <w:spacing w:after="0" w:line="271" w:lineRule="auto"/>
        <w:rPr>
          <w:sz w:val="20"/>
          <w:szCs w:val="20"/>
          <w:color w:val="auto"/>
        </w:rPr>
      </w:pPr>
      <w:r>
        <w:rPr>
          <w:rFonts w:ascii="Arial" w:cs="Arial" w:eastAsia="Arial" w:hAnsi="Arial"/>
          <w:sz w:val="17"/>
          <w:szCs w:val="17"/>
          <w:color w:val="auto"/>
        </w:rPr>
        <w:t>In September 2017, Hurricane Maria devastated Puerto Rico, interrupting power and telecommunications services for most of the island and limiting ground and air transportation. We operate a radiopharmacy in San Juan, Puerto Rico; the building that houses our radiopharmacy sustained minimal external physical damage as a result of the hurricane. From and after September 20, 2017, the number of diagnostic imaging procedures performed on the island has severely declined. While we currently believe that the number of diagnostic imaging procedures performed in Puerto Rico will slowly return to prior levels, we can give no assurances of that, and failure of our radiopharmacy to return to such prior levels could have a negative effect on the revenue and cash flow of our business. See Part II, Item 1A. “Risk Factors—In the U.S., we are heavily dependent on a few large customers and group purchasing organization arrangements to generate a majority of our revenues for our medical imaging products. Outside of the U.S., we rely primarily on distributors to generate a substantial portion of our revenue.”</w:t>
      </w:r>
    </w:p>
    <w:p>
      <w:pPr>
        <w:spacing w:after="0" w:line="3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Segments</w:t>
      </w:r>
    </w:p>
    <w:p>
      <w:pPr>
        <w:spacing w:after="0" w:line="117" w:lineRule="exact"/>
        <w:rPr>
          <w:sz w:val="20"/>
          <w:szCs w:val="20"/>
          <w:color w:val="auto"/>
        </w:rPr>
      </w:pPr>
    </w:p>
    <w:p>
      <w:pPr>
        <w:ind w:right="80" w:firstLine="405"/>
        <w:spacing w:after="0" w:line="277" w:lineRule="auto"/>
        <w:rPr>
          <w:sz w:val="20"/>
          <w:szCs w:val="20"/>
          <w:color w:val="auto"/>
        </w:rPr>
      </w:pPr>
      <w:r>
        <w:rPr>
          <w:rFonts w:ascii="Arial" w:cs="Arial" w:eastAsia="Arial" w:hAnsi="Arial"/>
          <w:sz w:val="18"/>
          <w:szCs w:val="18"/>
          <w:color w:val="auto"/>
        </w:rPr>
        <w:t>We report our results of operations in two operating segments: U.S. and International. We generate a greater proportion of our revenues and net income in the U.S. segment, which consists of all regions of the U.S. with the exception of Puerto Rico.</w:t>
      </w:r>
    </w:p>
    <w:p>
      <w:pPr>
        <w:spacing w:after="0" w:line="200" w:lineRule="exact"/>
        <w:rPr>
          <w:sz w:val="20"/>
          <w:szCs w:val="20"/>
          <w:color w:val="auto"/>
        </w:rPr>
      </w:pPr>
    </w:p>
    <w:p>
      <w:pPr>
        <w:spacing w:after="0" w:line="227"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80"/>
          </w:cols>
          <w:pgMar w:left="240" w:top="121" w:right="27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Executive Overview</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7"/>
          <w:szCs w:val="17"/>
          <w:color w:val="auto"/>
        </w:rPr>
        <w:t>Our results for the three and nine months ended September 30, 2017 as compared to the corresponding periods in 2016 reflect the following:</w:t>
      </w:r>
    </w:p>
    <w:p>
      <w:pPr>
        <w:spacing w:after="0" w:line="129" w:lineRule="exact"/>
        <w:rPr>
          <w:sz w:val="20"/>
          <w:szCs w:val="20"/>
          <w:color w:val="auto"/>
        </w:rPr>
      </w:pPr>
    </w:p>
    <w:p>
      <w:pPr>
        <w:ind w:left="660" w:right="140" w:hanging="166"/>
        <w:spacing w:after="0" w:line="27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increased revenues and segment penetration for DEFINITY in the suboptimal echocardiogram segment as a result of our continued focused sales efforts;</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increased revenues for TechneLite, mainly the result of higher contracted volumes from certain customers;</w:t>
      </w:r>
    </w:p>
    <w:p>
      <w:pPr>
        <w:spacing w:after="0" w:line="117" w:lineRule="exact"/>
        <w:rPr>
          <w:rFonts w:ascii="Arial" w:cs="Arial" w:eastAsia="Arial" w:hAnsi="Arial"/>
          <w:sz w:val="18"/>
          <w:szCs w:val="18"/>
          <w:color w:val="auto"/>
        </w:rPr>
      </w:pPr>
    </w:p>
    <w:p>
      <w:pPr>
        <w:ind w:left="660" w:hanging="166"/>
        <w:spacing w:after="0" w:line="27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increased revenues of $5.0 million from GE Healthcare for the continued Phase III development and worldwide commercialization of flurpiridaz F 18;</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lower international revenues and cost of goods sold as a result of the sales of our Canadian and Australian radiopharmacies in 2016;</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increased depreciation expense as a result of the scheduled decommissioning of certain long-lived assets;</w:t>
      </w:r>
    </w:p>
    <w:p>
      <w:pPr>
        <w:spacing w:after="0" w:line="117" w:lineRule="exact"/>
        <w:rPr>
          <w:rFonts w:ascii="Arial" w:cs="Arial" w:eastAsia="Arial" w:hAnsi="Arial"/>
          <w:sz w:val="18"/>
          <w:szCs w:val="18"/>
          <w:color w:val="auto"/>
        </w:rPr>
      </w:pPr>
    </w:p>
    <w:p>
      <w:pPr>
        <w:ind w:left="660" w:right="60" w:hanging="166"/>
        <w:spacing w:after="0" w:line="27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general and administrative expense of $1.7 million incurred in connection with the refinancing of our debt as well as a related $2.2 million loss on the extinguishment of debt; and</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decreased interest expense due to the refinancing of long-term debt and a lower principal balance on our long-term debt.</w:t>
      </w: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is a summary of our consolidated results of operations: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00" w:type="dxa"/>
            <w:vAlign w:val="bottom"/>
            <w:gridSpan w:val="5"/>
          </w:tcPr>
          <w:p>
            <w:pPr>
              <w:ind w:left="480"/>
              <w:spacing w:after="0"/>
              <w:rPr>
                <w:sz w:val="20"/>
                <w:szCs w:val="20"/>
                <w:color w:val="auto"/>
              </w:rPr>
            </w:pPr>
            <w:r>
              <w:rPr>
                <w:rFonts w:ascii="Arial" w:cs="Arial" w:eastAsia="Arial" w:hAnsi="Arial"/>
                <w:sz w:val="14"/>
                <w:szCs w:val="14"/>
                <w:b w:val="1"/>
                <w:bCs w:val="1"/>
                <w:color w:val="auto"/>
              </w:rPr>
              <w:t>Three Months Ended</w:t>
            </w:r>
          </w:p>
        </w:tc>
        <w:tc>
          <w:tcPr>
            <w:tcW w:w="280" w:type="dxa"/>
            <w:vAlign w:val="bottom"/>
          </w:tcPr>
          <w:p>
            <w:pPr>
              <w:spacing w:after="0"/>
              <w:rPr>
                <w:sz w:val="14"/>
                <w:szCs w:val="14"/>
                <w:color w:val="auto"/>
              </w:rPr>
            </w:pPr>
          </w:p>
        </w:tc>
        <w:tc>
          <w:tcPr>
            <w:tcW w:w="2220" w:type="dxa"/>
            <w:vAlign w:val="bottom"/>
            <w:gridSpan w:val="4"/>
          </w:tcPr>
          <w:p>
            <w:pPr>
              <w:jc w:val="right"/>
              <w:ind w:right="531"/>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78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r>
      <w:tr>
        <w:trPr>
          <w:trHeight w:val="229"/>
        </w:trPr>
        <w:tc>
          <w:tcPr>
            <w:tcW w:w="5700" w:type="dxa"/>
            <w:vAlign w:val="bottom"/>
            <w:gridSpan w:val="3"/>
          </w:tcPr>
          <w:p>
            <w:pPr>
              <w:ind w:left="40"/>
              <w:spacing w:after="0"/>
              <w:rPr>
                <w:sz w:val="20"/>
                <w:szCs w:val="20"/>
                <w:color w:val="auto"/>
              </w:rPr>
            </w:pPr>
            <w:r>
              <w:rPr>
                <w:rFonts w:ascii="Arial" w:cs="Arial" w:eastAsia="Arial" w:hAnsi="Arial"/>
                <w:sz w:val="14"/>
                <w:szCs w:val="14"/>
                <w:b w:val="1"/>
                <w:bCs w:val="1"/>
                <w:color w:val="auto"/>
              </w:rPr>
              <w:t>(in thousands)</w:t>
            </w:r>
          </w:p>
        </w:tc>
        <w:tc>
          <w:tcPr>
            <w:tcW w:w="120" w:type="dxa"/>
            <w:vAlign w:val="bottom"/>
          </w:tcPr>
          <w:p>
            <w:pPr>
              <w:spacing w:after="0"/>
              <w:rPr>
                <w:sz w:val="19"/>
                <w:szCs w:val="19"/>
                <w:color w:val="auto"/>
              </w:rPr>
            </w:pPr>
          </w:p>
        </w:tc>
        <w:tc>
          <w:tcPr>
            <w:tcW w:w="1080" w:type="dxa"/>
            <w:vAlign w:val="bottom"/>
          </w:tcPr>
          <w:p>
            <w:pPr>
              <w:jc w:val="right"/>
              <w:ind w:right="373"/>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jc w:val="right"/>
              <w:ind w:right="371"/>
              <w:spacing w:after="0"/>
              <w:rPr>
                <w:sz w:val="20"/>
                <w:szCs w:val="20"/>
                <w:color w:val="auto"/>
              </w:rPr>
            </w:pPr>
            <w:r>
              <w:rPr>
                <w:rFonts w:ascii="Arial" w:cs="Arial" w:eastAsia="Arial" w:hAnsi="Arial"/>
                <w:sz w:val="14"/>
                <w:szCs w:val="14"/>
                <w:b w:val="1"/>
                <w:bCs w:val="1"/>
                <w:color w:val="auto"/>
                <w:w w:val="89"/>
              </w:rPr>
              <w:t>2016</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jc w:val="right"/>
              <w:ind w:right="373"/>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jc w:val="right"/>
              <w:ind w:right="371"/>
              <w:spacing w:after="0"/>
              <w:rPr>
                <w:sz w:val="20"/>
                <w:szCs w:val="20"/>
                <w:color w:val="auto"/>
              </w:rPr>
            </w:pPr>
            <w:r>
              <w:rPr>
                <w:rFonts w:ascii="Arial" w:cs="Arial" w:eastAsia="Arial" w:hAnsi="Arial"/>
                <w:sz w:val="14"/>
                <w:szCs w:val="14"/>
                <w:b w:val="1"/>
                <w:bCs w:val="1"/>
                <w:color w:val="auto"/>
                <w:w w:val="89"/>
              </w:rPr>
              <w:t>2016</w:t>
            </w: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47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r>
        <w:trPr>
          <w:trHeight w:val="244"/>
        </w:trPr>
        <w:tc>
          <w:tcPr>
            <w:tcW w:w="57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79,941</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73,063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250,137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8"/>
              </w:rPr>
              <w:t>227,503</w:t>
            </w:r>
          </w:p>
        </w:tc>
      </w:tr>
      <w:tr>
        <w:trPr>
          <w:trHeight w:val="243"/>
        </w:trPr>
        <w:tc>
          <w:tcPr>
            <w:tcW w:w="5700" w:type="dxa"/>
            <w:vAlign w:val="bottom"/>
            <w:gridSpan w:val="3"/>
          </w:tcPr>
          <w:p>
            <w:pPr>
              <w:ind w:left="40"/>
              <w:spacing w:after="0"/>
              <w:rPr>
                <w:sz w:val="20"/>
                <w:szCs w:val="20"/>
                <w:color w:val="auto"/>
              </w:rPr>
            </w:pPr>
            <w:r>
              <w:rPr>
                <w:rFonts w:ascii="Arial" w:cs="Arial" w:eastAsia="Arial" w:hAnsi="Arial"/>
                <w:sz w:val="18"/>
                <w:szCs w:val="18"/>
                <w:color w:val="auto"/>
              </w:rPr>
              <w:t>Cost of goods sold</w:t>
            </w:r>
          </w:p>
        </w:tc>
        <w:tc>
          <w:tcPr>
            <w:tcW w:w="12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41,414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39,382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tcPr>
          <w:p>
            <w:pPr>
              <w:jc w:val="right"/>
              <w:ind w:right="33"/>
              <w:spacing w:after="0"/>
              <w:rPr>
                <w:sz w:val="20"/>
                <w:szCs w:val="20"/>
                <w:color w:val="auto"/>
              </w:rPr>
            </w:pPr>
            <w:r>
              <w:rPr>
                <w:rFonts w:ascii="Arial" w:cs="Arial" w:eastAsia="Arial" w:hAnsi="Arial"/>
                <w:sz w:val="18"/>
                <w:szCs w:val="18"/>
                <w:color w:val="auto"/>
              </w:rPr>
              <w:t>125,901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w w:val="98"/>
              </w:rPr>
              <w:t>124,370</w:t>
            </w:r>
          </w:p>
        </w:tc>
      </w:tr>
      <w:tr>
        <w:trPr>
          <w:trHeight w:val="27"/>
        </w:trPr>
        <w:tc>
          <w:tcPr>
            <w:tcW w:w="4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c>
          <w:tcPr>
            <w:tcW w:w="47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64"/>
        </w:trPr>
        <w:tc>
          <w:tcPr>
            <w:tcW w:w="40" w:type="dxa"/>
            <w:vAlign w:val="bottom"/>
            <w:tcBorders>
              <w:bottom w:val="single" w:sz="8" w:color="CCEEFF"/>
            </w:tcBorders>
            <w:shd w:val="clear" w:color="auto" w:fill="CCEEFF"/>
          </w:tcPr>
          <w:p>
            <w:pPr>
              <w:spacing w:after="0"/>
              <w:rPr>
                <w:sz w:val="22"/>
                <w:szCs w:val="22"/>
                <w:color w:val="auto"/>
              </w:rPr>
            </w:pPr>
          </w:p>
        </w:tc>
        <w:tc>
          <w:tcPr>
            <w:tcW w:w="566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Gross profit</w:t>
            </w: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38,527</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33,681</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124,236</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8"/>
              </w:rPr>
              <w:t>103,133</w:t>
            </w:r>
          </w:p>
        </w:tc>
      </w:tr>
      <w:tr>
        <w:trPr>
          <w:trHeight w:val="223"/>
        </w:trPr>
        <w:tc>
          <w:tcPr>
            <w:tcW w:w="5700" w:type="dxa"/>
            <w:vAlign w:val="bottom"/>
            <w:gridSpan w:val="3"/>
          </w:tcPr>
          <w:p>
            <w:pPr>
              <w:ind w:left="40"/>
              <w:spacing w:after="0"/>
              <w:rPr>
                <w:sz w:val="20"/>
                <w:szCs w:val="20"/>
                <w:color w:val="auto"/>
              </w:rPr>
            </w:pPr>
            <w:r>
              <w:rPr>
                <w:rFonts w:ascii="Arial" w:cs="Arial" w:eastAsia="Arial" w:hAnsi="Arial"/>
                <w:sz w:val="18"/>
                <w:szCs w:val="18"/>
                <w:color w:val="auto"/>
              </w:rPr>
              <w:t>Operating expenses</w:t>
            </w:r>
          </w:p>
        </w:tc>
        <w:tc>
          <w:tcPr>
            <w:tcW w:w="12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spacing w:after="0"/>
              <w:rPr>
                <w:sz w:val="19"/>
                <w:szCs w:val="19"/>
                <w:color w:val="auto"/>
              </w:rPr>
            </w:pPr>
          </w:p>
        </w:tc>
      </w:tr>
      <w:tr>
        <w:trPr>
          <w:trHeight w:val="41"/>
        </w:trPr>
        <w:tc>
          <w:tcPr>
            <w:tcW w:w="40" w:type="dxa"/>
            <w:vAlign w:val="bottom"/>
          </w:tcPr>
          <w:p>
            <w:pPr>
              <w:spacing w:after="0"/>
              <w:rPr>
                <w:sz w:val="3"/>
                <w:szCs w:val="3"/>
                <w:color w:val="auto"/>
              </w:rPr>
            </w:pPr>
          </w:p>
        </w:tc>
        <w:tc>
          <w:tcPr>
            <w:tcW w:w="880" w:type="dxa"/>
            <w:vAlign w:val="bottom"/>
          </w:tcPr>
          <w:p>
            <w:pPr>
              <w:spacing w:after="0"/>
              <w:rPr>
                <w:sz w:val="3"/>
                <w:szCs w:val="3"/>
                <w:color w:val="auto"/>
              </w:rPr>
            </w:pPr>
          </w:p>
        </w:tc>
        <w:tc>
          <w:tcPr>
            <w:tcW w:w="47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566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Sales and marketing</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10,075</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8,706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31,892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27,856</w:t>
            </w:r>
          </w:p>
        </w:tc>
      </w:tr>
      <w:tr>
        <w:trPr>
          <w:trHeight w:val="243"/>
        </w:trPr>
        <w:tc>
          <w:tcPr>
            <w:tcW w:w="40" w:type="dxa"/>
            <w:vAlign w:val="bottom"/>
          </w:tcPr>
          <w:p>
            <w:pPr>
              <w:spacing w:after="0"/>
              <w:rPr>
                <w:sz w:val="21"/>
                <w:szCs w:val="21"/>
                <w:color w:val="auto"/>
              </w:rPr>
            </w:pPr>
          </w:p>
        </w:tc>
        <w:tc>
          <w:tcPr>
            <w:tcW w:w="5660" w:type="dxa"/>
            <w:vAlign w:val="bottom"/>
            <w:gridSpan w:val="2"/>
          </w:tcPr>
          <w:p>
            <w:pPr>
              <w:ind w:left="340"/>
              <w:spacing w:after="0"/>
              <w:rPr>
                <w:sz w:val="20"/>
                <w:szCs w:val="20"/>
                <w:color w:val="auto"/>
              </w:rPr>
            </w:pPr>
            <w:r>
              <w:rPr>
                <w:rFonts w:ascii="Arial" w:cs="Arial" w:eastAsia="Arial" w:hAnsi="Arial"/>
                <w:sz w:val="18"/>
                <w:szCs w:val="18"/>
                <w:color w:val="auto"/>
              </w:rPr>
              <w:t>General and administrative</w:t>
            </w:r>
          </w:p>
        </w:tc>
        <w:tc>
          <w:tcPr>
            <w:tcW w:w="12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12,076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10,091</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tcPr>
          <w:p>
            <w:pPr>
              <w:jc w:val="right"/>
              <w:ind w:right="33"/>
              <w:spacing w:after="0"/>
              <w:rPr>
                <w:sz w:val="20"/>
                <w:szCs w:val="20"/>
                <w:color w:val="auto"/>
              </w:rPr>
            </w:pPr>
            <w:r>
              <w:rPr>
                <w:rFonts w:ascii="Arial" w:cs="Arial" w:eastAsia="Arial" w:hAnsi="Arial"/>
                <w:sz w:val="18"/>
                <w:szCs w:val="18"/>
                <w:color w:val="auto"/>
              </w:rPr>
              <w:t>35,549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28,842</w:t>
            </w:r>
          </w:p>
        </w:tc>
      </w:tr>
      <w:tr>
        <w:trPr>
          <w:trHeight w:val="27"/>
        </w:trPr>
        <w:tc>
          <w:tcPr>
            <w:tcW w:w="40" w:type="dxa"/>
            <w:vAlign w:val="bottom"/>
          </w:tcPr>
          <w:p>
            <w:pPr>
              <w:spacing w:after="0"/>
              <w:rPr>
                <w:sz w:val="2"/>
                <w:szCs w:val="2"/>
                <w:color w:val="auto"/>
              </w:rPr>
            </w:pPr>
          </w:p>
        </w:tc>
        <w:tc>
          <w:tcPr>
            <w:tcW w:w="880" w:type="dxa"/>
            <w:vAlign w:val="bottom"/>
          </w:tcPr>
          <w:p>
            <w:pPr>
              <w:spacing w:after="0"/>
              <w:rPr>
                <w:sz w:val="2"/>
                <w:szCs w:val="2"/>
                <w:color w:val="auto"/>
              </w:rPr>
            </w:pPr>
          </w:p>
        </w:tc>
        <w:tc>
          <w:tcPr>
            <w:tcW w:w="4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566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Research and development</w:t>
            </w:r>
          </w:p>
        </w:tc>
        <w:tc>
          <w:tcPr>
            <w:tcW w:w="1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3,554</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2,849</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14,149</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8,493</w:t>
            </w:r>
          </w:p>
        </w:tc>
      </w:tr>
      <w:tr>
        <w:trPr>
          <w:trHeight w:val="237"/>
        </w:trPr>
        <w:tc>
          <w:tcPr>
            <w:tcW w:w="40" w:type="dxa"/>
            <w:vAlign w:val="bottom"/>
          </w:tcPr>
          <w:p>
            <w:pPr>
              <w:spacing w:after="0"/>
              <w:rPr>
                <w:sz w:val="20"/>
                <w:szCs w:val="20"/>
                <w:color w:val="auto"/>
              </w:rPr>
            </w:pPr>
          </w:p>
        </w:tc>
        <w:tc>
          <w:tcPr>
            <w:tcW w:w="5660" w:type="dxa"/>
            <w:vAlign w:val="bottom"/>
            <w:gridSpan w:val="2"/>
          </w:tcPr>
          <w:p>
            <w:pPr>
              <w:ind w:left="680"/>
              <w:spacing w:after="0"/>
              <w:rPr>
                <w:sz w:val="20"/>
                <w:szCs w:val="20"/>
                <w:color w:val="auto"/>
              </w:rPr>
            </w:pPr>
            <w:r>
              <w:rPr>
                <w:rFonts w:ascii="Arial" w:cs="Arial" w:eastAsia="Arial" w:hAnsi="Arial"/>
                <w:sz w:val="18"/>
                <w:szCs w:val="18"/>
                <w:color w:val="auto"/>
              </w:rPr>
              <w:t>Total operating expenses</w:t>
            </w:r>
          </w:p>
        </w:tc>
        <w:tc>
          <w:tcPr>
            <w:tcW w:w="12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25,705</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21,646</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81,590</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65,191</w:t>
            </w:r>
          </w:p>
        </w:tc>
      </w:tr>
      <w:tr>
        <w:trPr>
          <w:trHeight w:val="27"/>
        </w:trPr>
        <w:tc>
          <w:tcPr>
            <w:tcW w:w="40" w:type="dxa"/>
            <w:vAlign w:val="bottom"/>
          </w:tcPr>
          <w:p>
            <w:pPr>
              <w:spacing w:after="0"/>
              <w:rPr>
                <w:sz w:val="2"/>
                <w:szCs w:val="2"/>
                <w:color w:val="auto"/>
              </w:rPr>
            </w:pPr>
          </w:p>
        </w:tc>
        <w:tc>
          <w:tcPr>
            <w:tcW w:w="880" w:type="dxa"/>
            <w:vAlign w:val="bottom"/>
          </w:tcPr>
          <w:p>
            <w:pPr>
              <w:spacing w:after="0"/>
              <w:rPr>
                <w:sz w:val="2"/>
                <w:szCs w:val="2"/>
                <w:color w:val="auto"/>
              </w:rPr>
            </w:pPr>
          </w:p>
        </w:tc>
        <w:tc>
          <w:tcPr>
            <w:tcW w:w="4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566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Gain on sales of assets</w:t>
            </w:r>
          </w:p>
        </w:tc>
        <w:tc>
          <w:tcPr>
            <w:tcW w:w="1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(560)</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(6,505)</w:t>
            </w:r>
          </w:p>
        </w:tc>
      </w:tr>
      <w:tr>
        <w:trPr>
          <w:trHeight w:val="237"/>
        </w:trPr>
        <w:tc>
          <w:tcPr>
            <w:tcW w:w="40" w:type="dxa"/>
            <w:vAlign w:val="bottom"/>
          </w:tcPr>
          <w:p>
            <w:pPr>
              <w:spacing w:after="0"/>
              <w:rPr>
                <w:sz w:val="20"/>
                <w:szCs w:val="20"/>
                <w:color w:val="auto"/>
              </w:rPr>
            </w:pPr>
          </w:p>
        </w:tc>
        <w:tc>
          <w:tcPr>
            <w:tcW w:w="5660" w:type="dxa"/>
            <w:vAlign w:val="bottom"/>
            <w:gridSpan w:val="2"/>
          </w:tcPr>
          <w:p>
            <w:pPr>
              <w:ind w:left="680"/>
              <w:spacing w:after="0"/>
              <w:rPr>
                <w:sz w:val="20"/>
                <w:szCs w:val="20"/>
                <w:color w:val="auto"/>
              </w:rPr>
            </w:pPr>
            <w:r>
              <w:rPr>
                <w:rFonts w:ascii="Arial" w:cs="Arial" w:eastAsia="Arial" w:hAnsi="Arial"/>
                <w:sz w:val="18"/>
                <w:szCs w:val="18"/>
                <w:color w:val="auto"/>
              </w:rPr>
              <w:t>Operating income</w:t>
            </w:r>
          </w:p>
        </w:tc>
        <w:tc>
          <w:tcPr>
            <w:tcW w:w="12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12,822</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12,595</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42,646</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44,447</w:t>
            </w:r>
          </w:p>
        </w:tc>
      </w:tr>
      <w:tr>
        <w:trPr>
          <w:trHeight w:val="27"/>
        </w:trPr>
        <w:tc>
          <w:tcPr>
            <w:tcW w:w="40" w:type="dxa"/>
            <w:vAlign w:val="bottom"/>
          </w:tcPr>
          <w:p>
            <w:pPr>
              <w:spacing w:after="0"/>
              <w:rPr>
                <w:sz w:val="2"/>
                <w:szCs w:val="2"/>
                <w:color w:val="auto"/>
              </w:rPr>
            </w:pPr>
          </w:p>
        </w:tc>
        <w:tc>
          <w:tcPr>
            <w:tcW w:w="880" w:type="dxa"/>
            <w:vAlign w:val="bottom"/>
          </w:tcPr>
          <w:p>
            <w:pPr>
              <w:spacing w:after="0"/>
              <w:rPr>
                <w:sz w:val="2"/>
                <w:szCs w:val="2"/>
                <w:color w:val="auto"/>
              </w:rPr>
            </w:pPr>
          </w:p>
        </w:tc>
        <w:tc>
          <w:tcPr>
            <w:tcW w:w="4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57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4,442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6,792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14,147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20,799</w:t>
            </w:r>
          </w:p>
        </w:tc>
      </w:tr>
      <w:tr>
        <w:trPr>
          <w:trHeight w:val="243"/>
        </w:trPr>
        <w:tc>
          <w:tcPr>
            <w:tcW w:w="5700" w:type="dxa"/>
            <w:vAlign w:val="bottom"/>
            <w:gridSpan w:val="3"/>
          </w:tcPr>
          <w:p>
            <w:pPr>
              <w:ind w:left="40"/>
              <w:spacing w:after="0"/>
              <w:rPr>
                <w:sz w:val="20"/>
                <w:szCs w:val="20"/>
                <w:color w:val="auto"/>
              </w:rPr>
            </w:pPr>
            <w:r>
              <w:rPr>
                <w:rFonts w:ascii="Arial" w:cs="Arial" w:eastAsia="Arial" w:hAnsi="Arial"/>
                <w:sz w:val="18"/>
                <w:szCs w:val="18"/>
                <w:color w:val="auto"/>
              </w:rPr>
              <w:t>Debt retirement costs</w:t>
            </w:r>
          </w:p>
        </w:tc>
        <w:tc>
          <w:tcPr>
            <w:tcW w:w="12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1,415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1,415</w:t>
            </w:r>
          </w:p>
        </w:tc>
      </w:tr>
      <w:tr>
        <w:trPr>
          <w:trHeight w:val="27"/>
        </w:trPr>
        <w:tc>
          <w:tcPr>
            <w:tcW w:w="40" w:type="dxa"/>
            <w:vAlign w:val="bottom"/>
          </w:tcPr>
          <w:p>
            <w:pPr>
              <w:spacing w:after="0"/>
              <w:rPr>
                <w:sz w:val="2"/>
                <w:szCs w:val="2"/>
                <w:color w:val="auto"/>
              </w:rPr>
            </w:pPr>
          </w:p>
        </w:tc>
        <w:tc>
          <w:tcPr>
            <w:tcW w:w="880" w:type="dxa"/>
            <w:vAlign w:val="bottom"/>
          </w:tcPr>
          <w:p>
            <w:pPr>
              <w:spacing w:after="0"/>
              <w:rPr>
                <w:sz w:val="2"/>
                <w:szCs w:val="2"/>
                <w:color w:val="auto"/>
              </w:rPr>
            </w:pPr>
          </w:p>
        </w:tc>
        <w:tc>
          <w:tcPr>
            <w:tcW w:w="4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r>
      <w:tr>
        <w:trPr>
          <w:trHeight w:val="250"/>
        </w:trPr>
        <w:tc>
          <w:tcPr>
            <w:tcW w:w="57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Loss on extinguishment of debt</w:t>
            </w: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2,161</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5700" w:type="dxa"/>
            <w:vAlign w:val="bottom"/>
            <w:gridSpan w:val="3"/>
          </w:tcPr>
          <w:p>
            <w:pPr>
              <w:ind w:left="40"/>
              <w:spacing w:after="0"/>
              <w:rPr>
                <w:sz w:val="20"/>
                <w:szCs w:val="20"/>
                <w:color w:val="auto"/>
              </w:rPr>
            </w:pPr>
            <w:r>
              <w:rPr>
                <w:rFonts w:ascii="Arial" w:cs="Arial" w:eastAsia="Arial" w:hAnsi="Arial"/>
                <w:sz w:val="18"/>
                <w:szCs w:val="18"/>
                <w:color w:val="auto"/>
              </w:rPr>
              <w:t>Other (income) expense</w:t>
            </w:r>
          </w:p>
        </w:tc>
        <w:tc>
          <w:tcPr>
            <w:tcW w:w="1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(908)</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148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(2,037)</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(317)</w:t>
            </w:r>
          </w:p>
        </w:tc>
      </w:tr>
      <w:tr>
        <w:trPr>
          <w:trHeight w:val="27"/>
        </w:trPr>
        <w:tc>
          <w:tcPr>
            <w:tcW w:w="4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c>
          <w:tcPr>
            <w:tcW w:w="47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44"/>
        </w:trPr>
        <w:tc>
          <w:tcPr>
            <w:tcW w:w="40" w:type="dxa"/>
            <w:vAlign w:val="bottom"/>
            <w:tcBorders>
              <w:bottom w:val="single" w:sz="8" w:color="CCEEFF"/>
            </w:tcBorders>
            <w:shd w:val="clear" w:color="auto" w:fill="CCEEFF"/>
          </w:tcPr>
          <w:p>
            <w:pPr>
              <w:spacing w:after="0"/>
              <w:rPr>
                <w:sz w:val="21"/>
                <w:szCs w:val="21"/>
                <w:color w:val="auto"/>
              </w:rPr>
            </w:pPr>
          </w:p>
        </w:tc>
        <w:tc>
          <w:tcPr>
            <w:tcW w:w="566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8"/>
                <w:szCs w:val="18"/>
                <w:color w:val="auto"/>
              </w:rPr>
              <w:t>Income before income taxes</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9,288</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4,240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28,375</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22,550</w:t>
            </w:r>
          </w:p>
        </w:tc>
      </w:tr>
      <w:tr>
        <w:trPr>
          <w:trHeight w:val="243"/>
        </w:trPr>
        <w:tc>
          <w:tcPr>
            <w:tcW w:w="5700" w:type="dxa"/>
            <w:vAlign w:val="bottom"/>
            <w:gridSpan w:val="3"/>
          </w:tcPr>
          <w:p>
            <w:pPr>
              <w:ind w:left="40"/>
              <w:spacing w:after="0"/>
              <w:rPr>
                <w:sz w:val="20"/>
                <w:szCs w:val="20"/>
                <w:color w:val="auto"/>
              </w:rPr>
            </w:pPr>
            <w:r>
              <w:rPr>
                <w:rFonts w:ascii="Arial" w:cs="Arial" w:eastAsia="Arial" w:hAnsi="Arial"/>
                <w:sz w:val="18"/>
                <w:szCs w:val="18"/>
                <w:color w:val="auto"/>
              </w:rPr>
              <w:t>Provision for income taxes</w:t>
            </w:r>
          </w:p>
        </w:tc>
        <w:tc>
          <w:tcPr>
            <w:tcW w:w="12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762</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tcPr>
          <w:p>
            <w:pPr>
              <w:jc w:val="right"/>
              <w:ind w:right="33"/>
              <w:spacing w:after="0"/>
              <w:rPr>
                <w:sz w:val="20"/>
                <w:szCs w:val="20"/>
                <w:color w:val="auto"/>
              </w:rPr>
            </w:pPr>
            <w:r>
              <w:rPr>
                <w:rFonts w:ascii="Arial" w:cs="Arial" w:eastAsia="Arial" w:hAnsi="Arial"/>
                <w:sz w:val="18"/>
                <w:szCs w:val="18"/>
                <w:color w:val="auto"/>
              </w:rPr>
              <w:t>2,116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jc w:val="right"/>
              <w:ind w:right="11"/>
              <w:spacing w:after="0"/>
              <w:rPr>
                <w:sz w:val="20"/>
                <w:szCs w:val="20"/>
                <w:color w:val="auto"/>
              </w:rPr>
            </w:pPr>
            <w:r>
              <w:rPr>
                <w:rFonts w:ascii="Arial" w:cs="Arial" w:eastAsia="Arial" w:hAnsi="Arial"/>
                <w:sz w:val="18"/>
                <w:szCs w:val="18"/>
                <w:color w:val="auto"/>
              </w:rPr>
              <w:t>657</w:t>
            </w:r>
          </w:p>
        </w:tc>
      </w:tr>
      <w:tr>
        <w:trPr>
          <w:trHeight w:val="27"/>
        </w:trPr>
        <w:tc>
          <w:tcPr>
            <w:tcW w:w="4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c>
          <w:tcPr>
            <w:tcW w:w="47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269"/>
        </w:trPr>
        <w:tc>
          <w:tcPr>
            <w:tcW w:w="40" w:type="dxa"/>
            <w:vAlign w:val="bottom"/>
            <w:tcBorders>
              <w:bottom w:val="single" w:sz="8" w:color="CCEEFF"/>
            </w:tcBorders>
            <w:shd w:val="clear" w:color="auto" w:fill="CCEEFF"/>
          </w:tcPr>
          <w:p>
            <w:pPr>
              <w:spacing w:after="0"/>
              <w:rPr>
                <w:sz w:val="22"/>
                <w:szCs w:val="22"/>
                <w:color w:val="auto"/>
              </w:rPr>
            </w:pPr>
          </w:p>
        </w:tc>
        <w:tc>
          <w:tcPr>
            <w:tcW w:w="566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Net income</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8,526</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4,220</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26,259</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21,893</w:t>
            </w: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47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r>
      <w:tr>
        <w:trPr>
          <w:trHeight w:val="669"/>
        </w:trPr>
        <w:tc>
          <w:tcPr>
            <w:tcW w:w="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tcPr>
          <w:p>
            <w:pPr>
              <w:jc w:val="right"/>
              <w:ind w:right="813"/>
              <w:spacing w:after="0"/>
              <w:rPr>
                <w:sz w:val="20"/>
                <w:szCs w:val="20"/>
                <w:color w:val="auto"/>
              </w:rPr>
            </w:pPr>
            <w:r>
              <w:rPr>
                <w:rFonts w:ascii="Arial" w:cs="Arial" w:eastAsia="Arial" w:hAnsi="Arial"/>
                <w:sz w:val="18"/>
                <w:szCs w:val="18"/>
                <w:color w:val="auto"/>
                <w:w w:val="79"/>
              </w:rPr>
              <w:t>20</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r>
    </w:tbl>
    <w:p>
      <w:pPr>
        <w:sectPr>
          <w:pgSz w:w="11900" w:h="16838" w:orient="portrait"/>
          <w:cols w:equalWidth="0" w:num="1">
            <w:col w:w="11240"/>
          </w:cols>
          <w:pgMar w:left="240" w:top="121" w:right="41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Periods Ended September 30, 2017 and 2016</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Segment revenues are summarized by product as follows: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40" w:type="dxa"/>
            <w:vAlign w:val="bottom"/>
            <w:gridSpan w:val="5"/>
          </w:tcPr>
          <w:p>
            <w:pPr>
              <w:jc w:val="center"/>
              <w:ind w:right="180"/>
              <w:spacing w:after="0"/>
              <w:rPr>
                <w:sz w:val="20"/>
                <w:szCs w:val="20"/>
                <w:color w:val="auto"/>
              </w:rPr>
            </w:pPr>
            <w:r>
              <w:rPr>
                <w:rFonts w:ascii="Arial" w:cs="Arial" w:eastAsia="Arial" w:hAnsi="Arial"/>
                <w:sz w:val="14"/>
                <w:szCs w:val="14"/>
                <w:b w:val="1"/>
                <w:bCs w:val="1"/>
                <w:color w:val="auto"/>
                <w:w w:val="93"/>
              </w:rPr>
              <w:t>Three Months Ended</w:t>
            </w: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900" w:type="dxa"/>
            <w:vAlign w:val="bottom"/>
            <w:gridSpan w:val="5"/>
          </w:tcPr>
          <w:p>
            <w:pPr>
              <w:jc w:val="center"/>
              <w:ind w:right="140"/>
              <w:spacing w:after="0"/>
              <w:rPr>
                <w:sz w:val="20"/>
                <w:szCs w:val="20"/>
                <w:color w:val="auto"/>
              </w:rPr>
            </w:pPr>
            <w:r>
              <w:rPr>
                <w:rFonts w:ascii="Arial" w:cs="Arial" w:eastAsia="Arial" w:hAnsi="Arial"/>
                <w:sz w:val="14"/>
                <w:szCs w:val="14"/>
                <w:b w:val="1"/>
                <w:bCs w:val="1"/>
                <w:color w:val="auto"/>
                <w:w w:val="94"/>
              </w:rPr>
              <w:t>Nine Months Ended</w:t>
            </w: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5"/>
          </w:tcPr>
          <w:p>
            <w:pPr>
              <w:jc w:val="center"/>
              <w:ind w:right="200"/>
              <w:spacing w:after="0"/>
              <w:rPr>
                <w:sz w:val="20"/>
                <w:szCs w:val="20"/>
                <w:color w:val="auto"/>
              </w:rPr>
            </w:pPr>
            <w:r>
              <w:rPr>
                <w:rFonts w:ascii="Arial" w:cs="Arial" w:eastAsia="Arial" w:hAnsi="Arial"/>
                <w:sz w:val="14"/>
                <w:szCs w:val="14"/>
                <w:b w:val="1"/>
                <w:bCs w:val="1"/>
                <w:color w:val="auto"/>
                <w:w w:val="91"/>
              </w:rPr>
              <w:t>September 30,</w:t>
            </w:r>
          </w:p>
        </w:tc>
        <w:tc>
          <w:tcPr>
            <w:tcW w:w="10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gridSpan w:val="5"/>
          </w:tcPr>
          <w:p>
            <w:pPr>
              <w:jc w:val="center"/>
              <w:ind w:right="140"/>
              <w:spacing w:after="0"/>
              <w:rPr>
                <w:sz w:val="20"/>
                <w:szCs w:val="20"/>
                <w:color w:val="auto"/>
              </w:rPr>
            </w:pPr>
            <w:r>
              <w:rPr>
                <w:rFonts w:ascii="Arial" w:cs="Arial" w:eastAsia="Arial" w:hAnsi="Arial"/>
                <w:sz w:val="14"/>
                <w:szCs w:val="14"/>
                <w:b w:val="1"/>
                <w:bCs w:val="1"/>
                <w:color w:val="auto"/>
                <w:w w:val="91"/>
              </w:rPr>
              <w:t>September 30,</w:t>
            </w:r>
          </w:p>
        </w:tc>
        <w:tc>
          <w:tcPr>
            <w:tcW w:w="10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1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220" w:type="dxa"/>
            <w:vAlign w:val="bottom"/>
          </w:tcPr>
          <w:p>
            <w:pPr>
              <w:spacing w:after="0"/>
              <w:rPr>
                <w:sz w:val="13"/>
                <w:szCs w:val="13"/>
                <w:color w:val="auto"/>
              </w:rPr>
            </w:pPr>
          </w:p>
        </w:tc>
        <w:tc>
          <w:tcPr>
            <w:tcW w:w="700" w:type="dxa"/>
            <w:vAlign w:val="bottom"/>
            <w:vMerge w:val="restart"/>
          </w:tcPr>
          <w:p>
            <w:pPr>
              <w:jc w:val="right"/>
              <w:ind w:right="231"/>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Change</w:t>
            </w:r>
          </w:p>
        </w:tc>
        <w:tc>
          <w:tcPr>
            <w:tcW w:w="1160" w:type="dxa"/>
            <w:vAlign w:val="bottom"/>
            <w:gridSpan w:val="2"/>
          </w:tcPr>
          <w:p>
            <w:pPr>
              <w:ind w:left="300"/>
              <w:spacing w:after="0" w:line="153" w:lineRule="exact"/>
              <w:rPr>
                <w:sz w:val="20"/>
                <w:szCs w:val="20"/>
                <w:color w:val="auto"/>
              </w:rPr>
            </w:pPr>
            <w:r>
              <w:rPr>
                <w:rFonts w:ascii="Arial" w:cs="Arial" w:eastAsia="Arial" w:hAnsi="Arial"/>
                <w:sz w:val="14"/>
                <w:szCs w:val="14"/>
                <w:b w:val="1"/>
                <w:bCs w:val="1"/>
                <w:color w:val="auto"/>
              </w:rPr>
              <w:t>Change</w:t>
            </w:r>
          </w:p>
        </w:tc>
        <w:tc>
          <w:tcPr>
            <w:tcW w:w="200" w:type="dxa"/>
            <w:vAlign w:val="bottom"/>
          </w:tcPr>
          <w:p>
            <w:pPr>
              <w:spacing w:after="0"/>
              <w:rPr>
                <w:sz w:val="13"/>
                <w:szCs w:val="13"/>
                <w:color w:val="auto"/>
              </w:rPr>
            </w:pPr>
          </w:p>
        </w:tc>
        <w:tc>
          <w:tcPr>
            <w:tcW w:w="740" w:type="dxa"/>
            <w:vAlign w:val="bottom"/>
            <w:vMerge w:val="restart"/>
          </w:tcPr>
          <w:p>
            <w:pPr>
              <w:jc w:val="right"/>
              <w:ind w:right="231"/>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6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Change</w:t>
            </w:r>
          </w:p>
        </w:tc>
        <w:tc>
          <w:tcPr>
            <w:tcW w:w="1060" w:type="dxa"/>
            <w:vAlign w:val="bottom"/>
          </w:tcPr>
          <w:p>
            <w:pPr>
              <w:jc w:val="right"/>
              <w:ind w:right="193"/>
              <w:spacing w:after="0" w:line="153" w:lineRule="exact"/>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92"/>
        </w:trPr>
        <w:tc>
          <w:tcPr>
            <w:tcW w:w="2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ind w:right="353"/>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ind w:right="333"/>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0"/>
        </w:trPr>
        <w:tc>
          <w:tcPr>
            <w:tcW w:w="2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120" w:type="dxa"/>
            <w:vAlign w:val="bottom"/>
          </w:tcPr>
          <w:p>
            <w:pPr>
              <w:ind w:left="380"/>
              <w:spacing w:after="0"/>
              <w:rPr>
                <w:sz w:val="20"/>
                <w:szCs w:val="20"/>
                <w:color w:val="auto"/>
              </w:rPr>
            </w:pPr>
            <w:r>
              <w:rPr>
                <w:rFonts w:ascii="Arial" w:cs="Arial" w:eastAsia="Arial" w:hAnsi="Arial"/>
                <w:sz w:val="18"/>
                <w:szCs w:val="18"/>
                <w:color w:val="auto"/>
              </w:rPr>
              <w:t>DEFINITY</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36,901</w:t>
            </w:r>
          </w:p>
        </w:tc>
        <w:tc>
          <w:tcPr>
            <w:tcW w:w="12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32,007</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4,894</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15.3 %</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98"/>
              </w:rPr>
              <w:t>113,035</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95,497</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17,538</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18.4 %</w:t>
            </w: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TechneLite</w:t>
            </w: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22,621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20,906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1,715</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8.2 %</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69,150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64,282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4,868</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7.6 %</w:t>
            </w:r>
          </w:p>
        </w:tc>
        <w:tc>
          <w:tcPr>
            <w:tcW w:w="0" w:type="dxa"/>
            <w:vAlign w:val="bottom"/>
          </w:tcPr>
          <w:p>
            <w:pPr>
              <w:spacing w:after="0"/>
              <w:rPr>
                <w:sz w:val="1"/>
                <w:szCs w:val="1"/>
                <w:color w:val="auto"/>
              </w:rPr>
            </w:pPr>
          </w:p>
        </w:tc>
      </w:tr>
      <w:tr>
        <w:trPr>
          <w:trHeight w:val="243"/>
        </w:trPr>
        <w:tc>
          <w:tcPr>
            <w:tcW w:w="2120" w:type="dxa"/>
            <w:vAlign w:val="bottom"/>
          </w:tcPr>
          <w:p>
            <w:pPr>
              <w:ind w:left="380"/>
              <w:spacing w:after="0"/>
              <w:rPr>
                <w:sz w:val="20"/>
                <w:szCs w:val="20"/>
                <w:color w:val="auto"/>
              </w:rPr>
            </w:pPr>
            <w:r>
              <w:rPr>
                <w:rFonts w:ascii="Arial" w:cs="Arial" w:eastAsia="Arial" w:hAnsi="Arial"/>
                <w:sz w:val="18"/>
                <w:szCs w:val="18"/>
                <w:color w:val="auto"/>
              </w:rPr>
              <w:t>Xenon</w:t>
            </w:r>
          </w:p>
        </w:tc>
        <w:tc>
          <w:tcPr>
            <w:tcW w:w="2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7,726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6,675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1,051</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15.7 %</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23,709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21,620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2,089</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9.7 %</w:t>
            </w: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2,331</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3,033</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(702)</w:t>
            </w:r>
          </w:p>
        </w:tc>
        <w:tc>
          <w:tcPr>
            <w:tcW w:w="1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(23.1)%</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12,812</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11,288</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1,524</w:t>
            </w:r>
          </w:p>
        </w:tc>
        <w:tc>
          <w:tcPr>
            <w:tcW w:w="1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13.5 %</w:t>
            </w:r>
          </w:p>
        </w:tc>
        <w:tc>
          <w:tcPr>
            <w:tcW w:w="0" w:type="dxa"/>
            <w:vAlign w:val="bottom"/>
          </w:tcPr>
          <w:p>
            <w:pPr>
              <w:spacing w:after="0"/>
              <w:rPr>
                <w:sz w:val="1"/>
                <w:szCs w:val="1"/>
                <w:color w:val="auto"/>
              </w:rPr>
            </w:pPr>
          </w:p>
        </w:tc>
      </w:tr>
      <w:tr>
        <w:trPr>
          <w:trHeight w:val="237"/>
        </w:trPr>
        <w:tc>
          <w:tcPr>
            <w:tcW w:w="2120" w:type="dxa"/>
            <w:vAlign w:val="bottom"/>
          </w:tcPr>
          <w:p>
            <w:pPr>
              <w:ind w:left="40"/>
              <w:spacing w:after="0"/>
              <w:rPr>
                <w:sz w:val="20"/>
                <w:szCs w:val="20"/>
                <w:color w:val="auto"/>
              </w:rPr>
            </w:pPr>
            <w:r>
              <w:rPr>
                <w:rFonts w:ascii="Arial" w:cs="Arial" w:eastAsia="Arial" w:hAnsi="Arial"/>
                <w:sz w:val="18"/>
                <w:szCs w:val="18"/>
                <w:color w:val="auto"/>
              </w:rPr>
              <w:t>Total U.S. revenues</w:t>
            </w:r>
          </w:p>
        </w:tc>
        <w:tc>
          <w:tcPr>
            <w:tcW w:w="2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69,579</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62,621</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6,958</w:t>
            </w:r>
          </w:p>
        </w:tc>
        <w:tc>
          <w:tcPr>
            <w:tcW w:w="100" w:type="dxa"/>
            <w:vAlign w:val="bottom"/>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11.1 %</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218,706</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w w:val="98"/>
              </w:rPr>
              <w:t>192,687</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26,019</w:t>
            </w:r>
          </w:p>
        </w:tc>
        <w:tc>
          <w:tcPr>
            <w:tcW w:w="100" w:type="dxa"/>
            <w:vAlign w:val="bottom"/>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13.5 %</w:t>
            </w:r>
          </w:p>
        </w:tc>
        <w:tc>
          <w:tcPr>
            <w:tcW w:w="0" w:type="dxa"/>
            <w:vAlign w:val="bottom"/>
          </w:tcPr>
          <w:p>
            <w:pPr>
              <w:spacing w:after="0"/>
              <w:rPr>
                <w:sz w:val="1"/>
                <w:szCs w:val="1"/>
                <w:color w:val="auto"/>
              </w:rPr>
            </w:pPr>
          </w:p>
        </w:tc>
      </w:tr>
      <w:tr>
        <w:trPr>
          <w:trHeight w:val="27"/>
        </w:trPr>
        <w:tc>
          <w:tcPr>
            <w:tcW w:w="2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International</w:t>
            </w: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120" w:type="dxa"/>
            <w:vAlign w:val="bottom"/>
          </w:tcPr>
          <w:p>
            <w:pPr>
              <w:ind w:left="380"/>
              <w:spacing w:after="0"/>
              <w:rPr>
                <w:sz w:val="20"/>
                <w:szCs w:val="20"/>
                <w:color w:val="auto"/>
              </w:rPr>
            </w:pPr>
            <w:r>
              <w:rPr>
                <w:rFonts w:ascii="Arial" w:cs="Arial" w:eastAsia="Arial" w:hAnsi="Arial"/>
                <w:sz w:val="18"/>
                <w:szCs w:val="18"/>
                <w:color w:val="auto"/>
              </w:rPr>
              <w:t>DEFINITY</w:t>
            </w:r>
          </w:p>
        </w:tc>
        <w:tc>
          <w:tcPr>
            <w:tcW w:w="2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828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597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231</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38.7 %</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2,534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2,002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532</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26.6 %</w:t>
            </w: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TechneLite</w:t>
            </w: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3,735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3,627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108</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3.0 %</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10,750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10,339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411</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4.0 %</w:t>
            </w:r>
          </w:p>
        </w:tc>
        <w:tc>
          <w:tcPr>
            <w:tcW w:w="0" w:type="dxa"/>
            <w:vAlign w:val="bottom"/>
          </w:tcPr>
          <w:p>
            <w:pPr>
              <w:spacing w:after="0"/>
              <w:rPr>
                <w:sz w:val="1"/>
                <w:szCs w:val="1"/>
                <w:color w:val="auto"/>
              </w:rPr>
            </w:pPr>
          </w:p>
        </w:tc>
      </w:tr>
      <w:tr>
        <w:trPr>
          <w:trHeight w:val="243"/>
        </w:trPr>
        <w:tc>
          <w:tcPr>
            <w:tcW w:w="2120" w:type="dxa"/>
            <w:vAlign w:val="bottom"/>
          </w:tcPr>
          <w:p>
            <w:pPr>
              <w:ind w:left="380"/>
              <w:spacing w:after="0"/>
              <w:rPr>
                <w:sz w:val="20"/>
                <w:szCs w:val="20"/>
                <w:color w:val="auto"/>
              </w:rPr>
            </w:pPr>
            <w:r>
              <w:rPr>
                <w:rFonts w:ascii="Arial" w:cs="Arial" w:eastAsia="Arial" w:hAnsi="Arial"/>
                <w:sz w:val="18"/>
                <w:szCs w:val="18"/>
                <w:color w:val="auto"/>
              </w:rPr>
              <w:t>Xenon</w:t>
            </w:r>
          </w:p>
        </w:tc>
        <w:tc>
          <w:tcPr>
            <w:tcW w:w="220" w:type="dxa"/>
            <w:vAlign w:val="bottom"/>
          </w:tcPr>
          <w:p>
            <w:pPr>
              <w:spacing w:after="0"/>
              <w:rPr>
                <w:sz w:val="21"/>
                <w:szCs w:val="21"/>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7"/>
        </w:trPr>
        <w:tc>
          <w:tcPr>
            <w:tcW w:w="2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1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5,799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6,216</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(417)</w:t>
            </w:r>
          </w:p>
        </w:tc>
        <w:tc>
          <w:tcPr>
            <w:tcW w:w="1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18,143</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22,470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(4,327)</w:t>
            </w:r>
          </w:p>
        </w:tc>
        <w:tc>
          <w:tcPr>
            <w:tcW w:w="1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w:t>
            </w:r>
          </w:p>
        </w:tc>
        <w:tc>
          <w:tcPr>
            <w:tcW w:w="0" w:type="dxa"/>
            <w:vAlign w:val="bottom"/>
          </w:tcPr>
          <w:p>
            <w:pPr>
              <w:spacing w:after="0"/>
              <w:rPr>
                <w:sz w:val="1"/>
                <w:szCs w:val="1"/>
                <w:color w:val="auto"/>
              </w:rPr>
            </w:pPr>
          </w:p>
        </w:tc>
      </w:tr>
      <w:tr>
        <w:trPr>
          <w:trHeight w:val="209"/>
        </w:trPr>
        <w:tc>
          <w:tcPr>
            <w:tcW w:w="2120" w:type="dxa"/>
            <w:vAlign w:val="bottom"/>
          </w:tcPr>
          <w:p>
            <w:pPr>
              <w:ind w:left="40"/>
              <w:spacing w:after="0"/>
              <w:rPr>
                <w:sz w:val="20"/>
                <w:szCs w:val="20"/>
                <w:color w:val="auto"/>
              </w:rPr>
            </w:pPr>
            <w:r>
              <w:rPr>
                <w:rFonts w:ascii="Arial" w:cs="Arial" w:eastAsia="Arial" w:hAnsi="Arial"/>
                <w:sz w:val="18"/>
                <w:szCs w:val="18"/>
                <w:color w:val="auto"/>
              </w:rPr>
              <w:t>Total International</w:t>
            </w: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120" w:type="dxa"/>
            <w:vAlign w:val="bottom"/>
          </w:tcPr>
          <w:p>
            <w:pPr>
              <w:ind w:left="40"/>
              <w:spacing w:after="0"/>
              <w:rPr>
                <w:sz w:val="20"/>
                <w:szCs w:val="20"/>
                <w:color w:val="auto"/>
              </w:rPr>
            </w:pPr>
            <w:r>
              <w:rPr>
                <w:rFonts w:ascii="Arial" w:cs="Arial" w:eastAsia="Arial" w:hAnsi="Arial"/>
                <w:sz w:val="18"/>
                <w:szCs w:val="18"/>
                <w:color w:val="auto"/>
              </w:rPr>
              <w:t>revenues</w:t>
            </w:r>
          </w:p>
        </w:tc>
        <w:tc>
          <w:tcPr>
            <w:tcW w:w="2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10,362</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10,442</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(80)</w:t>
            </w:r>
          </w:p>
        </w:tc>
        <w:tc>
          <w:tcPr>
            <w:tcW w:w="1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(0.8)%</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31,431</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34,816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(3,385)</w:t>
            </w:r>
          </w:p>
        </w:tc>
        <w:tc>
          <w:tcPr>
            <w:tcW w:w="1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7"/>
        </w:trPr>
        <w:tc>
          <w:tcPr>
            <w:tcW w:w="2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revenues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79,941</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73,063</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6,878</w:t>
            </w:r>
          </w:p>
        </w:tc>
        <w:tc>
          <w:tcPr>
            <w:tcW w:w="1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9.4 %</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8"/>
              </w:rPr>
              <w:t>250,137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227,503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22,634</w:t>
            </w:r>
          </w:p>
        </w:tc>
        <w:tc>
          <w:tcPr>
            <w:tcW w:w="1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9.9 %</w:t>
            </w:r>
          </w:p>
        </w:tc>
        <w:tc>
          <w:tcPr>
            <w:tcW w:w="0" w:type="dxa"/>
            <w:vAlign w:val="bottom"/>
          </w:tcPr>
          <w:p>
            <w:pPr>
              <w:spacing w:after="0"/>
              <w:rPr>
                <w:sz w:val="1"/>
                <w:szCs w:val="1"/>
                <w:color w:val="auto"/>
              </w:rPr>
            </w:pPr>
          </w:p>
        </w:tc>
      </w:tr>
      <w:tr>
        <w:trPr>
          <w:trHeight w:val="20"/>
        </w:trPr>
        <w:tc>
          <w:tcPr>
            <w:tcW w:w="2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280" w:firstLine="405"/>
        <w:spacing w:after="0" w:line="259" w:lineRule="auto"/>
        <w:rPr>
          <w:sz w:val="20"/>
          <w:szCs w:val="20"/>
          <w:color w:val="auto"/>
        </w:rPr>
      </w:pPr>
      <w:r>
        <w:rPr>
          <w:rFonts w:ascii="Arial" w:cs="Arial" w:eastAsia="Arial" w:hAnsi="Arial"/>
          <w:sz w:val="18"/>
          <w:szCs w:val="18"/>
          <w:color w:val="auto"/>
        </w:rPr>
        <w:t>The increase in the U.S. segment revenues for the three months ended September 30, 2017, as compared to the prior year period is primarily due to a $4.9 million increase in DEFINITY revenues as a result of higher unit volumes, a $1.7 million increase in TechneLite revenues primarily as a result of increased unit volumes and a $1.1 million increase in Xenon revenues as a result of higher unit volumes. Offsetting these increases was a $0.7 million decrease due to rebate and allowance provisions.</w:t>
      </w:r>
    </w:p>
    <w:p>
      <w:pPr>
        <w:spacing w:after="0" w:line="200" w:lineRule="exact"/>
        <w:rPr>
          <w:sz w:val="20"/>
          <w:szCs w:val="20"/>
          <w:color w:val="auto"/>
        </w:rPr>
      </w:pPr>
    </w:p>
    <w:p>
      <w:pPr>
        <w:ind w:right="140" w:firstLine="405"/>
        <w:spacing w:after="0" w:line="273" w:lineRule="auto"/>
        <w:rPr>
          <w:sz w:val="20"/>
          <w:szCs w:val="20"/>
          <w:color w:val="auto"/>
        </w:rPr>
      </w:pPr>
      <w:r>
        <w:rPr>
          <w:rFonts w:ascii="Arial" w:cs="Arial" w:eastAsia="Arial" w:hAnsi="Arial"/>
          <w:sz w:val="17"/>
          <w:szCs w:val="17"/>
          <w:color w:val="auto"/>
        </w:rPr>
        <w:t>The increase in the U.S. segment revenues for the nine months ended September 30, 2017, as compared to the prior year period is primarily due to a $17.5 million increase in DEFINITY revenues as a result of higher unit volumes, a $4.9 million increase in TechneLite revenues primarily as a result of increased unit volumes and a $2.1 million increase in Xenon as a result of higher unit volumes. In addition, there was an increase of $5.0 million in other revenue associated with the up-front license fee recognized related to the License Agreement with GE Healthcare for the continued Phase III development and worldwide commercialization of flurpiridaz F 18. Offsetting these increases was a $1.9 million decrease due to rebate and allowance provisions, as well as a $1.6 million decrease in Ablavar revenues as the product is no longer sold.</w:t>
      </w:r>
    </w:p>
    <w:p>
      <w:pPr>
        <w:spacing w:after="0" w:line="192" w:lineRule="exact"/>
        <w:rPr>
          <w:sz w:val="20"/>
          <w:szCs w:val="20"/>
          <w:color w:val="auto"/>
        </w:rPr>
      </w:pPr>
    </w:p>
    <w:p>
      <w:pPr>
        <w:ind w:right="60" w:firstLine="405"/>
        <w:spacing w:after="0" w:line="264" w:lineRule="auto"/>
        <w:rPr>
          <w:sz w:val="20"/>
          <w:szCs w:val="20"/>
          <w:color w:val="auto"/>
        </w:rPr>
      </w:pPr>
      <w:r>
        <w:rPr>
          <w:rFonts w:ascii="Arial" w:cs="Arial" w:eastAsia="Arial" w:hAnsi="Arial"/>
          <w:sz w:val="18"/>
          <w:szCs w:val="18"/>
          <w:color w:val="auto"/>
        </w:rPr>
        <w:t>The International segment revenues for the three months ended September 30, 2017, were consistent compared to the prior year period. The decrease in the International segment revenues for the nine months ended September 30, 2017, as compared to the prior year period is primarily the result of the sale of the Australian radiopharmacy business during 2016.</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Rebates and Allowances</w:t>
      </w:r>
    </w:p>
    <w:p>
      <w:pPr>
        <w:spacing w:after="0" w:line="117"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Estimates for rebates and allowances represent our estimated obligations under contractual arrangements with third parties. Rebate accruals and allowances are recorded in the same period the related revenue is recognized, resulting in a reduction to revenue and the establishment of a liability which is included in accrued expenses. These rebates and allowances result from performance-based offers that are primarily based on attaining contractually specified sales volumes and growth, Medicaid rebate programs for our products, administrative fees of group purchasing organizations, royalties and certain distributor related commissions. The calculation of the accrual for these rebates and allowances is based on an estimate of the third-party’s buying patterns and the resulting applicable contractual rebate or commission rate(s) to be earned over a contractual period.</w:t>
      </w:r>
    </w:p>
    <w:p>
      <w:pPr>
        <w:spacing w:after="0" w:line="200" w:lineRule="exact"/>
        <w:rPr>
          <w:sz w:val="20"/>
          <w:szCs w:val="20"/>
          <w:color w:val="auto"/>
        </w:rPr>
      </w:pPr>
    </w:p>
    <w:p>
      <w:pPr>
        <w:spacing w:after="0" w:line="235"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00"/>
          </w:cols>
          <w:pgMar w:left="240" w:top="121" w:right="2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6"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An analysis of the amount of, and change in, reserves is summarized as follows: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86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360" w:type="dxa"/>
            <w:vAlign w:val="bottom"/>
          </w:tcPr>
          <w:p>
            <w:pPr>
              <w:spacing w:after="0"/>
              <w:rPr>
                <w:sz w:val="14"/>
                <w:szCs w:val="14"/>
                <w:color w:val="auto"/>
              </w:rPr>
            </w:pPr>
          </w:p>
        </w:tc>
        <w:tc>
          <w:tcPr>
            <w:tcW w:w="1600" w:type="dxa"/>
            <w:vAlign w:val="bottom"/>
          </w:tcPr>
          <w:p>
            <w:pPr>
              <w:jc w:val="right"/>
              <w:ind w:right="514"/>
              <w:spacing w:after="0"/>
              <w:rPr>
                <w:sz w:val="20"/>
                <w:szCs w:val="20"/>
                <w:color w:val="auto"/>
              </w:rPr>
            </w:pPr>
            <w:r>
              <w:rPr>
                <w:rFonts w:ascii="Arial" w:cs="Arial" w:eastAsia="Arial" w:hAnsi="Arial"/>
                <w:sz w:val="14"/>
                <w:szCs w:val="14"/>
                <w:b w:val="1"/>
                <w:bCs w:val="1"/>
                <w:color w:val="auto"/>
              </w:rPr>
              <w:t>Rebates and</w:t>
            </w:r>
          </w:p>
        </w:tc>
        <w:tc>
          <w:tcPr>
            <w:tcW w:w="0" w:type="dxa"/>
            <w:vAlign w:val="bottom"/>
          </w:tcPr>
          <w:p>
            <w:pPr>
              <w:spacing w:after="0"/>
              <w:rPr>
                <w:sz w:val="1"/>
                <w:szCs w:val="1"/>
                <w:color w:val="auto"/>
              </w:rPr>
            </w:pPr>
          </w:p>
        </w:tc>
      </w:tr>
      <w:tr>
        <w:trPr>
          <w:trHeight w:val="158"/>
        </w:trPr>
        <w:tc>
          <w:tcPr>
            <w:tcW w:w="8860" w:type="dxa"/>
            <w:vAlign w:val="bottom"/>
            <w:gridSpan w:val="3"/>
            <w:vMerge w:val="continue"/>
          </w:tcPr>
          <w:p>
            <w:pPr>
              <w:spacing w:after="0"/>
              <w:rPr>
                <w:sz w:val="13"/>
                <w:szCs w:val="13"/>
                <w:color w:val="auto"/>
              </w:rPr>
            </w:pPr>
          </w:p>
        </w:tc>
        <w:tc>
          <w:tcPr>
            <w:tcW w:w="360" w:type="dxa"/>
            <w:vAlign w:val="bottom"/>
          </w:tcPr>
          <w:p>
            <w:pPr>
              <w:spacing w:after="0"/>
              <w:rPr>
                <w:sz w:val="13"/>
                <w:szCs w:val="13"/>
                <w:color w:val="auto"/>
              </w:rPr>
            </w:pPr>
          </w:p>
        </w:tc>
        <w:tc>
          <w:tcPr>
            <w:tcW w:w="1600" w:type="dxa"/>
            <w:vAlign w:val="bottom"/>
          </w:tcPr>
          <w:p>
            <w:pPr>
              <w:jc w:val="right"/>
              <w:ind w:right="534"/>
              <w:spacing w:after="0" w:line="158" w:lineRule="exact"/>
              <w:rPr>
                <w:sz w:val="20"/>
                <w:szCs w:val="20"/>
                <w:color w:val="auto"/>
              </w:rPr>
            </w:pPr>
            <w:r>
              <w:rPr>
                <w:rFonts w:ascii="Arial" w:cs="Arial" w:eastAsia="Arial" w:hAnsi="Arial"/>
                <w:sz w:val="14"/>
                <w:szCs w:val="14"/>
                <w:b w:val="1"/>
                <w:bCs w:val="1"/>
                <w:color w:val="auto"/>
              </w:rPr>
              <w:t>Allowances</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794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886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Balance, as of January 1, 2017</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2,297</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820" w:type="dxa"/>
            <w:vAlign w:val="bottom"/>
            <w:gridSpan w:val="2"/>
          </w:tcPr>
          <w:p>
            <w:pPr>
              <w:ind w:left="340"/>
              <w:spacing w:after="0"/>
              <w:rPr>
                <w:sz w:val="20"/>
                <w:szCs w:val="20"/>
                <w:color w:val="auto"/>
              </w:rPr>
            </w:pPr>
            <w:r>
              <w:rPr>
                <w:rFonts w:ascii="Arial" w:cs="Arial" w:eastAsia="Arial" w:hAnsi="Arial"/>
                <w:sz w:val="18"/>
                <w:szCs w:val="18"/>
                <w:color w:val="auto"/>
              </w:rPr>
              <w:t>Current provisions relating to revenues in current year</w:t>
            </w:r>
          </w:p>
        </w:tc>
        <w:tc>
          <w:tcPr>
            <w:tcW w:w="360" w:type="dxa"/>
            <w:vAlign w:val="bottom"/>
          </w:tcPr>
          <w:p>
            <w:pPr>
              <w:spacing w:after="0"/>
              <w:rPr>
                <w:sz w:val="21"/>
                <w:szCs w:val="21"/>
                <w:color w:val="auto"/>
              </w:rPr>
            </w:pPr>
          </w:p>
        </w:tc>
        <w:tc>
          <w:tcPr>
            <w:tcW w:w="1600" w:type="dxa"/>
            <w:vAlign w:val="bottom"/>
          </w:tcPr>
          <w:p>
            <w:pPr>
              <w:jc w:val="right"/>
              <w:ind w:right="14"/>
              <w:spacing w:after="0"/>
              <w:rPr>
                <w:sz w:val="20"/>
                <w:szCs w:val="20"/>
                <w:color w:val="auto"/>
              </w:rPr>
            </w:pPr>
            <w:r>
              <w:rPr>
                <w:rFonts w:ascii="Arial" w:cs="Arial" w:eastAsia="Arial" w:hAnsi="Arial"/>
                <w:sz w:val="18"/>
                <w:szCs w:val="18"/>
                <w:color w:val="auto"/>
              </w:rPr>
              <w:t>6,864</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80" w:type="dxa"/>
            <w:vAlign w:val="bottom"/>
          </w:tcPr>
          <w:p>
            <w:pPr>
              <w:spacing w:after="0"/>
              <w:rPr>
                <w:sz w:val="2"/>
                <w:szCs w:val="2"/>
                <w:color w:val="auto"/>
              </w:rPr>
            </w:pPr>
          </w:p>
        </w:tc>
        <w:tc>
          <w:tcPr>
            <w:tcW w:w="7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882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Adjustments relating to prior years’ estimate</w:t>
            </w:r>
          </w:p>
        </w:tc>
        <w:tc>
          <w:tcPr>
            <w:tcW w:w="36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(154)</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8820" w:type="dxa"/>
            <w:vAlign w:val="bottom"/>
            <w:gridSpan w:val="2"/>
          </w:tcPr>
          <w:p>
            <w:pPr>
              <w:ind w:left="340"/>
              <w:spacing w:after="0"/>
              <w:rPr>
                <w:sz w:val="20"/>
                <w:szCs w:val="20"/>
                <w:color w:val="auto"/>
              </w:rPr>
            </w:pPr>
            <w:r>
              <w:rPr>
                <w:rFonts w:ascii="Arial" w:cs="Arial" w:eastAsia="Arial" w:hAnsi="Arial"/>
                <w:sz w:val="18"/>
                <w:szCs w:val="18"/>
                <w:color w:val="auto"/>
              </w:rPr>
              <w:t>Payments/credits relating to revenues in current year</w:t>
            </w:r>
          </w:p>
        </w:tc>
        <w:tc>
          <w:tcPr>
            <w:tcW w:w="36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(4,658)</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80" w:type="dxa"/>
            <w:vAlign w:val="bottom"/>
          </w:tcPr>
          <w:p>
            <w:pPr>
              <w:spacing w:after="0"/>
              <w:rPr>
                <w:sz w:val="2"/>
                <w:szCs w:val="2"/>
                <w:color w:val="auto"/>
              </w:rPr>
            </w:pPr>
          </w:p>
        </w:tc>
        <w:tc>
          <w:tcPr>
            <w:tcW w:w="79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882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Payments/credits relating to revenues in prior years</w:t>
            </w:r>
          </w:p>
        </w:tc>
        <w:tc>
          <w:tcPr>
            <w:tcW w:w="36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(1,474)</w:t>
            </w:r>
          </w:p>
        </w:tc>
        <w:tc>
          <w:tcPr>
            <w:tcW w:w="0" w:type="dxa"/>
            <w:vAlign w:val="bottom"/>
          </w:tcPr>
          <w:p>
            <w:pPr>
              <w:spacing w:after="0"/>
              <w:rPr>
                <w:sz w:val="1"/>
                <w:szCs w:val="1"/>
                <w:color w:val="auto"/>
              </w:rPr>
            </w:pPr>
          </w:p>
        </w:tc>
      </w:tr>
      <w:tr>
        <w:trPr>
          <w:trHeight w:val="237"/>
        </w:trPr>
        <w:tc>
          <w:tcPr>
            <w:tcW w:w="8860" w:type="dxa"/>
            <w:vAlign w:val="bottom"/>
            <w:gridSpan w:val="3"/>
          </w:tcPr>
          <w:p>
            <w:pPr>
              <w:ind w:left="40"/>
              <w:spacing w:after="0"/>
              <w:rPr>
                <w:sz w:val="20"/>
                <w:szCs w:val="20"/>
                <w:color w:val="auto"/>
              </w:rPr>
            </w:pPr>
            <w:r>
              <w:rPr>
                <w:rFonts w:ascii="Arial" w:cs="Arial" w:eastAsia="Arial" w:hAnsi="Arial"/>
                <w:sz w:val="18"/>
                <w:szCs w:val="18"/>
                <w:color w:val="auto"/>
              </w:rPr>
              <w:t>Balance, as of September 30, 2017</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60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2,875</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880" w:type="dxa"/>
            <w:vAlign w:val="bottom"/>
          </w:tcPr>
          <w:p>
            <w:pPr>
              <w:spacing w:after="0"/>
              <w:rPr>
                <w:sz w:val="2"/>
                <w:szCs w:val="2"/>
                <w:color w:val="auto"/>
              </w:rPr>
            </w:pPr>
          </w:p>
        </w:tc>
        <w:tc>
          <w:tcPr>
            <w:tcW w:w="79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79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Costs of Goods Sold</w:t>
      </w:r>
    </w:p>
    <w:p>
      <w:pPr>
        <w:spacing w:after="0" w:line="117" w:lineRule="exact"/>
        <w:rPr>
          <w:sz w:val="20"/>
          <w:szCs w:val="20"/>
          <w:color w:val="auto"/>
        </w:rPr>
      </w:pPr>
    </w:p>
    <w:p>
      <w:pPr>
        <w:ind w:right="300" w:firstLine="405"/>
        <w:spacing w:after="0" w:line="277" w:lineRule="auto"/>
        <w:rPr>
          <w:sz w:val="20"/>
          <w:szCs w:val="20"/>
          <w:color w:val="auto"/>
        </w:rPr>
      </w:pPr>
      <w:r>
        <w:rPr>
          <w:rFonts w:ascii="Arial" w:cs="Arial" w:eastAsia="Arial" w:hAnsi="Arial"/>
          <w:sz w:val="18"/>
          <w:szCs w:val="18"/>
          <w:color w:val="auto"/>
        </w:rPr>
        <w:t>Cost of goods sold consists of manufacturing, distribution, intangible asset amortization, write-offs of excess and obsolete inventory and other costs related to our commercial products.</w:t>
      </w:r>
    </w:p>
    <w:p>
      <w:pPr>
        <w:spacing w:after="0" w:line="184" w:lineRule="exact"/>
        <w:rPr>
          <w:sz w:val="20"/>
          <w:szCs w:val="20"/>
          <w:color w:val="auto"/>
        </w:rPr>
      </w:pPr>
    </w:p>
    <w:p>
      <w:pPr>
        <w:ind w:left="420"/>
        <w:spacing w:after="0"/>
        <w:rPr>
          <w:sz w:val="20"/>
          <w:szCs w:val="20"/>
          <w:color w:val="auto"/>
        </w:rPr>
      </w:pPr>
      <w:r>
        <w:rPr>
          <w:rFonts w:ascii="Arial" w:cs="Arial" w:eastAsia="Arial" w:hAnsi="Arial"/>
          <w:sz w:val="18"/>
          <w:szCs w:val="18"/>
          <w:color w:val="auto"/>
        </w:rPr>
        <w:t>Cost of goods sold is summarized by segment as follows: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8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93"/>
              </w:rPr>
              <w:t>Three Months Ended</w:t>
            </w: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90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4"/>
              </w:rPr>
              <w:t>Nine Months Ended</w:t>
            </w: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gridSpan w:val="5"/>
          </w:tcPr>
          <w:p>
            <w:pPr>
              <w:jc w:val="center"/>
              <w:ind w:right="220"/>
              <w:spacing w:after="0"/>
              <w:rPr>
                <w:sz w:val="20"/>
                <w:szCs w:val="20"/>
                <w:color w:val="auto"/>
              </w:rPr>
            </w:pPr>
            <w:r>
              <w:rPr>
                <w:rFonts w:ascii="Arial" w:cs="Arial" w:eastAsia="Arial" w:hAnsi="Arial"/>
                <w:sz w:val="14"/>
                <w:szCs w:val="14"/>
                <w:b w:val="1"/>
                <w:bCs w:val="1"/>
                <w:color w:val="auto"/>
                <w:w w:val="91"/>
              </w:rPr>
              <w:t>September 30,</w:t>
            </w:r>
          </w:p>
        </w:tc>
        <w:tc>
          <w:tcPr>
            <w:tcW w:w="9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gridSpan w:val="5"/>
          </w:tcPr>
          <w:p>
            <w:pPr>
              <w:jc w:val="center"/>
              <w:ind w:right="300"/>
              <w:spacing w:after="0"/>
              <w:rPr>
                <w:sz w:val="20"/>
                <w:szCs w:val="20"/>
                <w:color w:val="auto"/>
              </w:rPr>
            </w:pPr>
            <w:r>
              <w:rPr>
                <w:rFonts w:ascii="Arial" w:cs="Arial" w:eastAsia="Arial" w:hAnsi="Arial"/>
                <w:sz w:val="14"/>
                <w:szCs w:val="14"/>
                <w:b w:val="1"/>
                <w:bCs w:val="1"/>
                <w:color w:val="auto"/>
                <w:w w:val="91"/>
              </w:rPr>
              <w:t>September 30,</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82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13"/>
                <w:szCs w:val="13"/>
                <w:color w:val="auto"/>
              </w:rPr>
            </w:pPr>
          </w:p>
        </w:tc>
        <w:tc>
          <w:tcPr>
            <w:tcW w:w="680" w:type="dxa"/>
            <w:vAlign w:val="bottom"/>
            <w:vMerge w:val="restart"/>
          </w:tcPr>
          <w:p>
            <w:pPr>
              <w:jc w:val="right"/>
              <w:ind w:right="214"/>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vMerge w:val="restart"/>
          </w:tcPr>
          <w:p>
            <w:pPr>
              <w:jc w:val="right"/>
              <w:ind w:right="219"/>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Change</w:t>
            </w:r>
          </w:p>
        </w:tc>
        <w:tc>
          <w:tcPr>
            <w:tcW w:w="1060" w:type="dxa"/>
            <w:vAlign w:val="bottom"/>
            <w:gridSpan w:val="2"/>
          </w:tcPr>
          <w:p>
            <w:pPr>
              <w:ind w:left="240"/>
              <w:spacing w:after="0" w:line="153" w:lineRule="exact"/>
              <w:rPr>
                <w:sz w:val="20"/>
                <w:szCs w:val="20"/>
                <w:color w:val="auto"/>
              </w:rPr>
            </w:pPr>
            <w:r>
              <w:rPr>
                <w:rFonts w:ascii="Arial" w:cs="Arial" w:eastAsia="Arial" w:hAnsi="Arial"/>
                <w:sz w:val="14"/>
                <w:szCs w:val="14"/>
                <w:b w:val="1"/>
                <w:bCs w:val="1"/>
                <w:color w:val="auto"/>
              </w:rPr>
              <w:t>Change</w:t>
            </w:r>
          </w:p>
        </w:tc>
        <w:tc>
          <w:tcPr>
            <w:tcW w:w="220" w:type="dxa"/>
            <w:vAlign w:val="bottom"/>
          </w:tcPr>
          <w:p>
            <w:pPr>
              <w:spacing w:after="0"/>
              <w:rPr>
                <w:sz w:val="13"/>
                <w:szCs w:val="13"/>
                <w:color w:val="auto"/>
              </w:rPr>
            </w:pPr>
          </w:p>
        </w:tc>
        <w:tc>
          <w:tcPr>
            <w:tcW w:w="780" w:type="dxa"/>
            <w:vAlign w:val="bottom"/>
            <w:vMerge w:val="restart"/>
          </w:tcPr>
          <w:p>
            <w:pPr>
              <w:jc w:val="right"/>
              <w:ind w:right="274"/>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vMerge w:val="restart"/>
          </w:tcPr>
          <w:p>
            <w:pPr>
              <w:jc w:val="right"/>
              <w:ind w:right="259"/>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4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Change</w:t>
            </w:r>
          </w:p>
        </w:tc>
        <w:tc>
          <w:tcPr>
            <w:tcW w:w="1000" w:type="dxa"/>
            <w:vAlign w:val="bottom"/>
          </w:tcPr>
          <w:p>
            <w:pPr>
              <w:jc w:val="right"/>
              <w:ind w:right="177"/>
              <w:spacing w:after="0" w:line="153" w:lineRule="exact"/>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58"/>
        </w:trPr>
        <w:tc>
          <w:tcPr>
            <w:tcW w:w="2820" w:type="dxa"/>
            <w:vAlign w:val="bottom"/>
            <w:gridSpan w:val="3"/>
            <w:vMerge w:val="continue"/>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tcPr>
          <w:p>
            <w:pPr>
              <w:jc w:val="right"/>
              <w:ind w:right="317"/>
              <w:spacing w:after="0" w:line="158"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960" w:type="dxa"/>
            <w:vAlign w:val="bottom"/>
          </w:tcPr>
          <w:p>
            <w:pPr>
              <w:jc w:val="right"/>
              <w:ind w:right="317"/>
              <w:spacing w:after="0" w:line="158"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tcPr>
          <w:p>
            <w:pPr>
              <w:jc w:val="right"/>
              <w:ind w:right="317"/>
              <w:spacing w:after="0" w:line="158"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1000" w:type="dxa"/>
            <w:vAlign w:val="bottom"/>
          </w:tcPr>
          <w:p>
            <w:pPr>
              <w:jc w:val="right"/>
              <w:ind w:right="357"/>
              <w:spacing w:after="0" w:line="158"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19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28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w w:val="98"/>
              </w:rPr>
              <w:t>32,759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31,133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1,626</w:t>
            </w: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100,225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96,791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3,434</w:t>
            </w: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3.5 %</w:t>
            </w:r>
          </w:p>
        </w:tc>
        <w:tc>
          <w:tcPr>
            <w:tcW w:w="0" w:type="dxa"/>
            <w:vAlign w:val="bottom"/>
          </w:tcPr>
          <w:p>
            <w:pPr>
              <w:spacing w:after="0"/>
              <w:rPr>
                <w:sz w:val="1"/>
                <w:szCs w:val="1"/>
                <w:color w:val="auto"/>
              </w:rPr>
            </w:pPr>
          </w:p>
        </w:tc>
      </w:tr>
      <w:tr>
        <w:trPr>
          <w:trHeight w:val="243"/>
        </w:trPr>
        <w:tc>
          <w:tcPr>
            <w:tcW w:w="2820" w:type="dxa"/>
            <w:vAlign w:val="bottom"/>
            <w:gridSpan w:val="3"/>
          </w:tcPr>
          <w:p>
            <w:pPr>
              <w:ind w:left="40"/>
              <w:spacing w:after="0"/>
              <w:rPr>
                <w:sz w:val="20"/>
                <w:szCs w:val="20"/>
                <w:color w:val="auto"/>
              </w:rPr>
            </w:pPr>
            <w:r>
              <w:rPr>
                <w:rFonts w:ascii="Arial" w:cs="Arial" w:eastAsia="Arial" w:hAnsi="Arial"/>
                <w:sz w:val="18"/>
                <w:szCs w:val="18"/>
                <w:color w:val="auto"/>
              </w:rPr>
              <w:t>International</w:t>
            </w:r>
          </w:p>
        </w:tc>
        <w:tc>
          <w:tcPr>
            <w:tcW w:w="200" w:type="dxa"/>
            <w:vAlign w:val="bottom"/>
          </w:tcPr>
          <w:p>
            <w:pPr>
              <w:spacing w:after="0"/>
              <w:rPr>
                <w:sz w:val="21"/>
                <w:szCs w:val="21"/>
                <w:color w:val="auto"/>
              </w:rPr>
            </w:pPr>
          </w:p>
        </w:tc>
        <w:tc>
          <w:tcPr>
            <w:tcW w:w="680" w:type="dxa"/>
            <w:vAlign w:val="bottom"/>
          </w:tcPr>
          <w:p>
            <w:pPr>
              <w:jc w:val="right"/>
              <w:ind w:right="34"/>
              <w:spacing w:after="0"/>
              <w:rPr>
                <w:sz w:val="20"/>
                <w:szCs w:val="20"/>
                <w:color w:val="auto"/>
              </w:rPr>
            </w:pPr>
            <w:r>
              <w:rPr>
                <w:rFonts w:ascii="Arial" w:cs="Arial" w:eastAsia="Arial" w:hAnsi="Arial"/>
                <w:sz w:val="18"/>
                <w:szCs w:val="18"/>
                <w:color w:val="auto"/>
              </w:rPr>
              <w:t>8,655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39"/>
              <w:spacing w:after="0"/>
              <w:rPr>
                <w:sz w:val="20"/>
                <w:szCs w:val="20"/>
                <w:color w:val="auto"/>
              </w:rPr>
            </w:pPr>
            <w:r>
              <w:rPr>
                <w:rFonts w:ascii="Arial" w:cs="Arial" w:eastAsia="Arial" w:hAnsi="Arial"/>
                <w:sz w:val="18"/>
                <w:szCs w:val="18"/>
                <w:color w:val="auto"/>
              </w:rPr>
              <w:t>8,249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20" w:type="dxa"/>
            <w:vAlign w:val="bottom"/>
          </w:tcPr>
          <w:p>
            <w:pPr>
              <w:jc w:val="right"/>
              <w:ind w:right="17"/>
              <w:spacing w:after="0"/>
              <w:rPr>
                <w:sz w:val="20"/>
                <w:szCs w:val="20"/>
                <w:color w:val="auto"/>
              </w:rPr>
            </w:pPr>
            <w:r>
              <w:rPr>
                <w:rFonts w:ascii="Arial" w:cs="Arial" w:eastAsia="Arial" w:hAnsi="Arial"/>
                <w:sz w:val="18"/>
                <w:szCs w:val="18"/>
                <w:color w:val="auto"/>
              </w:rPr>
              <w:t>406</w:t>
            </w:r>
          </w:p>
        </w:tc>
        <w:tc>
          <w:tcPr>
            <w:tcW w:w="1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jc w:val="right"/>
              <w:ind w:right="14"/>
              <w:spacing w:after="0"/>
              <w:rPr>
                <w:sz w:val="20"/>
                <w:szCs w:val="20"/>
                <w:color w:val="auto"/>
              </w:rPr>
            </w:pPr>
            <w:r>
              <w:rPr>
                <w:rFonts w:ascii="Arial" w:cs="Arial" w:eastAsia="Arial" w:hAnsi="Arial"/>
                <w:sz w:val="18"/>
                <w:szCs w:val="18"/>
                <w:color w:val="auto"/>
              </w:rPr>
              <w:t>25,676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jc w:val="right"/>
              <w:ind w:right="19"/>
              <w:spacing w:after="0"/>
              <w:rPr>
                <w:sz w:val="20"/>
                <w:szCs w:val="20"/>
                <w:color w:val="auto"/>
              </w:rPr>
            </w:pPr>
            <w:r>
              <w:rPr>
                <w:rFonts w:ascii="Arial" w:cs="Arial" w:eastAsia="Arial" w:hAnsi="Arial"/>
                <w:sz w:val="18"/>
                <w:szCs w:val="18"/>
                <w:color w:val="auto"/>
              </w:rPr>
              <w:t>27,579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(1,903)</w:t>
            </w:r>
          </w:p>
        </w:tc>
        <w:tc>
          <w:tcPr>
            <w:tcW w:w="12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c>
          <w:tcPr>
            <w:tcW w:w="19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0" w:type="dxa"/>
            <w:vAlign w:val="bottom"/>
            <w:tcBorders>
              <w:bottom w:val="single" w:sz="8" w:color="CCEEFF"/>
            </w:tcBorders>
            <w:shd w:val="clear" w:color="auto" w:fill="CCEEFF"/>
          </w:tcPr>
          <w:p>
            <w:pPr>
              <w:spacing w:after="0"/>
              <w:rPr>
                <w:sz w:val="22"/>
                <w:szCs w:val="22"/>
                <w:color w:val="auto"/>
              </w:rPr>
            </w:pPr>
          </w:p>
        </w:tc>
        <w:tc>
          <w:tcPr>
            <w:tcW w:w="278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Total cost of goods sold</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w w:val="98"/>
              </w:rPr>
              <w:t>41,414</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39,382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2,032</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125,901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124,370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1,531</w:t>
            </w:r>
          </w:p>
        </w:tc>
        <w:tc>
          <w:tcPr>
            <w:tcW w:w="12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1.2 %</w:t>
            </w:r>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19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ind w:right="20" w:firstLine="405"/>
        <w:spacing w:after="0" w:line="264" w:lineRule="auto"/>
        <w:rPr>
          <w:sz w:val="20"/>
          <w:szCs w:val="20"/>
          <w:color w:val="auto"/>
        </w:rPr>
      </w:pPr>
      <w:r>
        <w:rPr>
          <w:rFonts w:ascii="Arial" w:cs="Arial" w:eastAsia="Arial" w:hAnsi="Arial"/>
          <w:sz w:val="18"/>
          <w:szCs w:val="18"/>
          <w:color w:val="auto"/>
        </w:rPr>
        <w:t>The increases in the U.S. segment cost of goods sold for the three and nine months ended September 30, 2017 as compared to the prior year periods are primarily due to costs associated with the increase in sales volume as noted above. We also incurred, increases in technology transfer expense, partially offset by lower amortization expense as a result of a fully amortized intangible asset.</w:t>
      </w:r>
    </w:p>
    <w:p>
      <w:pPr>
        <w:spacing w:after="0" w:line="195" w:lineRule="exact"/>
        <w:rPr>
          <w:sz w:val="20"/>
          <w:szCs w:val="20"/>
          <w:color w:val="auto"/>
        </w:rPr>
      </w:pPr>
    </w:p>
    <w:p>
      <w:pPr>
        <w:ind w:right="220" w:firstLine="405"/>
        <w:spacing w:after="0" w:line="264" w:lineRule="auto"/>
        <w:rPr>
          <w:sz w:val="20"/>
          <w:szCs w:val="20"/>
          <w:color w:val="auto"/>
        </w:rPr>
      </w:pPr>
      <w:r>
        <w:rPr>
          <w:rFonts w:ascii="Arial" w:cs="Arial" w:eastAsia="Arial" w:hAnsi="Arial"/>
          <w:sz w:val="18"/>
          <w:szCs w:val="18"/>
          <w:color w:val="auto"/>
        </w:rPr>
        <w:t>The increase in the International segment cost of goods sold for the three months ended September 30, 2017 as compared to the prior year period is primarily due to higher manufacturing costs for certain products due to higher sales volume, partially offset by lower manufacturing costs as a result of the sale of our Australian radiopharmacy business.</w:t>
      </w:r>
    </w:p>
    <w:p>
      <w:pPr>
        <w:spacing w:after="0" w:line="195" w:lineRule="exact"/>
        <w:rPr>
          <w:sz w:val="20"/>
          <w:szCs w:val="20"/>
          <w:color w:val="auto"/>
        </w:rPr>
      </w:pPr>
    </w:p>
    <w:p>
      <w:pPr>
        <w:ind w:firstLine="405"/>
        <w:spacing w:after="0" w:line="264" w:lineRule="auto"/>
        <w:rPr>
          <w:sz w:val="20"/>
          <w:szCs w:val="20"/>
          <w:color w:val="auto"/>
        </w:rPr>
      </w:pPr>
      <w:r>
        <w:rPr>
          <w:rFonts w:ascii="Arial" w:cs="Arial" w:eastAsia="Arial" w:hAnsi="Arial"/>
          <w:sz w:val="18"/>
          <w:szCs w:val="18"/>
          <w:color w:val="auto"/>
        </w:rPr>
        <w:t>The decrease in the International segment cost of goods sold for the nine months ended September 30, 2017 as compared to the prior year period is primarily due to lower manufacturing costs as a result of the sale of our Australian radiopharmacy business, partially offset by higher manufacturing costs for certain products due to higher sales volume and higher material costs for certain products.</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Gross profit is summarized by segment as follows: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8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80" w:type="dxa"/>
            <w:vAlign w:val="bottom"/>
            <w:gridSpan w:val="5"/>
          </w:tcPr>
          <w:p>
            <w:pPr>
              <w:jc w:val="right"/>
              <w:ind w:right="320"/>
              <w:spacing w:after="0"/>
              <w:rPr>
                <w:sz w:val="20"/>
                <w:szCs w:val="20"/>
                <w:color w:val="auto"/>
              </w:rPr>
            </w:pPr>
            <w:r>
              <w:rPr>
                <w:rFonts w:ascii="Arial" w:cs="Arial" w:eastAsia="Arial" w:hAnsi="Arial"/>
                <w:sz w:val="14"/>
                <w:szCs w:val="14"/>
                <w:b w:val="1"/>
                <w:bCs w:val="1"/>
                <w:color w:val="auto"/>
              </w:rPr>
              <w:t>Three Months Ended</w:t>
            </w: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900" w:type="dxa"/>
            <w:vAlign w:val="bottom"/>
            <w:gridSpan w:val="5"/>
          </w:tcPr>
          <w:p>
            <w:pPr>
              <w:jc w:val="center"/>
              <w:ind w:right="280"/>
              <w:spacing w:after="0"/>
              <w:rPr>
                <w:sz w:val="20"/>
                <w:szCs w:val="20"/>
                <w:color w:val="auto"/>
              </w:rPr>
            </w:pPr>
            <w:r>
              <w:rPr>
                <w:rFonts w:ascii="Arial" w:cs="Arial" w:eastAsia="Arial" w:hAnsi="Arial"/>
                <w:sz w:val="14"/>
                <w:szCs w:val="14"/>
                <w:b w:val="1"/>
                <w:bCs w:val="1"/>
                <w:color w:val="auto"/>
                <w:w w:val="93"/>
              </w:rPr>
              <w:t>Nine Months Ended</w:t>
            </w: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8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gridSpan w:val="5"/>
          </w:tcPr>
          <w:p>
            <w:pPr>
              <w:ind w:left="360"/>
              <w:spacing w:after="0"/>
              <w:rPr>
                <w:sz w:val="20"/>
                <w:szCs w:val="20"/>
                <w:color w:val="auto"/>
              </w:rPr>
            </w:pPr>
            <w:r>
              <w:rPr>
                <w:rFonts w:ascii="Arial" w:cs="Arial" w:eastAsia="Arial" w:hAnsi="Arial"/>
                <w:sz w:val="14"/>
                <w:szCs w:val="14"/>
                <w:b w:val="1"/>
                <w:bCs w:val="1"/>
                <w:color w:val="auto"/>
              </w:rPr>
              <w:t>September 30,</w:t>
            </w:r>
          </w:p>
        </w:tc>
        <w:tc>
          <w:tcPr>
            <w:tcW w:w="9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gridSpan w:val="5"/>
          </w:tcPr>
          <w:p>
            <w:pPr>
              <w:jc w:val="center"/>
              <w:ind w:right="300"/>
              <w:spacing w:after="0"/>
              <w:rPr>
                <w:sz w:val="20"/>
                <w:szCs w:val="20"/>
                <w:color w:val="auto"/>
              </w:rPr>
            </w:pPr>
            <w:r>
              <w:rPr>
                <w:rFonts w:ascii="Arial" w:cs="Arial" w:eastAsia="Arial" w:hAnsi="Arial"/>
                <w:sz w:val="14"/>
                <w:szCs w:val="14"/>
                <w:b w:val="1"/>
                <w:bCs w:val="1"/>
                <w:color w:val="auto"/>
                <w:w w:val="91"/>
              </w:rPr>
              <w:t>September 30,</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8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13"/>
                <w:szCs w:val="13"/>
                <w:color w:val="auto"/>
              </w:rPr>
            </w:pPr>
          </w:p>
        </w:tc>
        <w:tc>
          <w:tcPr>
            <w:tcW w:w="680" w:type="dxa"/>
            <w:vAlign w:val="bottom"/>
            <w:vMerge w:val="restart"/>
          </w:tcPr>
          <w:p>
            <w:pPr>
              <w:jc w:val="right"/>
              <w:ind w:right="214"/>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vMerge w:val="restart"/>
          </w:tcPr>
          <w:p>
            <w:pPr>
              <w:jc w:val="right"/>
              <w:ind w:right="199"/>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gridSpan w:val="2"/>
          </w:tcPr>
          <w:p>
            <w:pPr>
              <w:jc w:val="right"/>
              <w:ind w:right="300"/>
              <w:spacing w:after="0" w:line="153" w:lineRule="exact"/>
              <w:rPr>
                <w:sz w:val="20"/>
                <w:szCs w:val="20"/>
                <w:color w:val="auto"/>
              </w:rPr>
            </w:pPr>
            <w:r>
              <w:rPr>
                <w:rFonts w:ascii="Arial" w:cs="Arial" w:eastAsia="Arial" w:hAnsi="Arial"/>
                <w:sz w:val="14"/>
                <w:szCs w:val="14"/>
                <w:b w:val="1"/>
                <w:bCs w:val="1"/>
                <w:color w:val="auto"/>
                <w:w w:val="97"/>
              </w:rPr>
              <w:t>Change</w:t>
            </w:r>
          </w:p>
        </w:tc>
        <w:tc>
          <w:tcPr>
            <w:tcW w:w="1100" w:type="dxa"/>
            <w:vAlign w:val="bottom"/>
            <w:gridSpan w:val="2"/>
          </w:tcPr>
          <w:p>
            <w:pPr>
              <w:ind w:left="260"/>
              <w:spacing w:after="0" w:line="153" w:lineRule="exact"/>
              <w:rPr>
                <w:sz w:val="20"/>
                <w:szCs w:val="20"/>
                <w:color w:val="auto"/>
              </w:rPr>
            </w:pPr>
            <w:r>
              <w:rPr>
                <w:rFonts w:ascii="Arial" w:cs="Arial" w:eastAsia="Arial" w:hAnsi="Arial"/>
                <w:sz w:val="14"/>
                <w:szCs w:val="14"/>
                <w:b w:val="1"/>
                <w:bCs w:val="1"/>
                <w:color w:val="auto"/>
              </w:rPr>
              <w:t>Change</w:t>
            </w:r>
          </w:p>
        </w:tc>
        <w:tc>
          <w:tcPr>
            <w:tcW w:w="200" w:type="dxa"/>
            <w:vAlign w:val="bottom"/>
          </w:tcPr>
          <w:p>
            <w:pPr>
              <w:spacing w:after="0"/>
              <w:rPr>
                <w:sz w:val="13"/>
                <w:szCs w:val="13"/>
                <w:color w:val="auto"/>
              </w:rPr>
            </w:pPr>
          </w:p>
        </w:tc>
        <w:tc>
          <w:tcPr>
            <w:tcW w:w="780" w:type="dxa"/>
            <w:vAlign w:val="bottom"/>
            <w:vMerge w:val="restart"/>
          </w:tcPr>
          <w:p>
            <w:pPr>
              <w:jc w:val="right"/>
              <w:ind w:right="254"/>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vMerge w:val="restart"/>
          </w:tcPr>
          <w:p>
            <w:pPr>
              <w:jc w:val="right"/>
              <w:ind w:right="259"/>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4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Change</w:t>
            </w:r>
          </w:p>
        </w:tc>
        <w:tc>
          <w:tcPr>
            <w:tcW w:w="1000" w:type="dxa"/>
            <w:vAlign w:val="bottom"/>
          </w:tcPr>
          <w:p>
            <w:pPr>
              <w:jc w:val="right"/>
              <w:ind w:right="177"/>
              <w:spacing w:after="0" w:line="153" w:lineRule="exact"/>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92"/>
        </w:trPr>
        <w:tc>
          <w:tcPr>
            <w:tcW w:w="280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317"/>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ind w:right="337"/>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317"/>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right"/>
              <w:ind w:right="357"/>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0"/>
        </w:trPr>
        <w:tc>
          <w:tcPr>
            <w:tcW w:w="2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36,820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31,488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5,332</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16.9 %</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118,481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95,896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22,585</w:t>
            </w: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23.6 %</w:t>
            </w:r>
          </w:p>
        </w:tc>
        <w:tc>
          <w:tcPr>
            <w:tcW w:w="0" w:type="dxa"/>
            <w:vAlign w:val="bottom"/>
          </w:tcPr>
          <w:p>
            <w:pPr>
              <w:spacing w:after="0"/>
              <w:rPr>
                <w:sz w:val="1"/>
                <w:szCs w:val="1"/>
                <w:color w:val="auto"/>
              </w:rPr>
            </w:pPr>
          </w:p>
        </w:tc>
      </w:tr>
      <w:tr>
        <w:trPr>
          <w:trHeight w:val="243"/>
        </w:trPr>
        <w:tc>
          <w:tcPr>
            <w:tcW w:w="2800" w:type="dxa"/>
            <w:vAlign w:val="bottom"/>
          </w:tcPr>
          <w:p>
            <w:pPr>
              <w:ind w:left="40"/>
              <w:spacing w:after="0"/>
              <w:rPr>
                <w:sz w:val="20"/>
                <w:szCs w:val="20"/>
                <w:color w:val="auto"/>
              </w:rPr>
            </w:pPr>
            <w:r>
              <w:rPr>
                <w:rFonts w:ascii="Arial" w:cs="Arial" w:eastAsia="Arial" w:hAnsi="Arial"/>
                <w:sz w:val="18"/>
                <w:szCs w:val="18"/>
                <w:color w:val="auto"/>
              </w:rPr>
              <w:t>International</w:t>
            </w:r>
          </w:p>
        </w:tc>
        <w:tc>
          <w:tcPr>
            <w:tcW w:w="200" w:type="dxa"/>
            <w:vAlign w:val="bottom"/>
          </w:tcPr>
          <w:p>
            <w:pPr>
              <w:spacing w:after="0"/>
              <w:rPr>
                <w:sz w:val="21"/>
                <w:szCs w:val="21"/>
                <w:color w:val="auto"/>
              </w:rPr>
            </w:pPr>
          </w:p>
        </w:tc>
        <w:tc>
          <w:tcPr>
            <w:tcW w:w="680" w:type="dxa"/>
            <w:vAlign w:val="bottom"/>
          </w:tcPr>
          <w:p>
            <w:pPr>
              <w:jc w:val="right"/>
              <w:ind w:right="14"/>
              <w:spacing w:after="0"/>
              <w:rPr>
                <w:sz w:val="20"/>
                <w:szCs w:val="20"/>
                <w:color w:val="auto"/>
              </w:rPr>
            </w:pPr>
            <w:r>
              <w:rPr>
                <w:rFonts w:ascii="Arial" w:cs="Arial" w:eastAsia="Arial" w:hAnsi="Arial"/>
                <w:sz w:val="18"/>
                <w:szCs w:val="18"/>
                <w:color w:val="auto"/>
              </w:rPr>
              <w:t>1,707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80" w:type="dxa"/>
            <w:vAlign w:val="bottom"/>
          </w:tcPr>
          <w:p>
            <w:pPr>
              <w:jc w:val="right"/>
              <w:ind w:right="19"/>
              <w:spacing w:after="0"/>
              <w:rPr>
                <w:sz w:val="20"/>
                <w:szCs w:val="20"/>
                <w:color w:val="auto"/>
              </w:rPr>
            </w:pPr>
            <w:r>
              <w:rPr>
                <w:rFonts w:ascii="Arial" w:cs="Arial" w:eastAsia="Arial" w:hAnsi="Arial"/>
                <w:sz w:val="18"/>
                <w:szCs w:val="18"/>
                <w:color w:val="auto"/>
              </w:rPr>
              <w:t>2,193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(486)</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(22.2)%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Pr>
          <w:p>
            <w:pPr>
              <w:jc w:val="right"/>
              <w:ind w:right="14"/>
              <w:spacing w:after="0"/>
              <w:rPr>
                <w:sz w:val="20"/>
                <w:szCs w:val="20"/>
                <w:color w:val="auto"/>
              </w:rPr>
            </w:pPr>
            <w:r>
              <w:rPr>
                <w:rFonts w:ascii="Arial" w:cs="Arial" w:eastAsia="Arial" w:hAnsi="Arial"/>
                <w:sz w:val="18"/>
                <w:szCs w:val="18"/>
                <w:color w:val="auto"/>
              </w:rPr>
              <w:t>5,755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jc w:val="right"/>
              <w:ind w:right="19"/>
              <w:spacing w:after="0"/>
              <w:rPr>
                <w:sz w:val="20"/>
                <w:szCs w:val="20"/>
                <w:color w:val="auto"/>
              </w:rPr>
            </w:pPr>
            <w:r>
              <w:rPr>
                <w:rFonts w:ascii="Arial" w:cs="Arial" w:eastAsia="Arial" w:hAnsi="Arial"/>
                <w:sz w:val="18"/>
                <w:szCs w:val="18"/>
                <w:color w:val="auto"/>
              </w:rPr>
              <w:t>7,237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(1,482)</w:t>
            </w:r>
          </w:p>
        </w:tc>
        <w:tc>
          <w:tcPr>
            <w:tcW w:w="12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(20.5)%</w:t>
            </w:r>
          </w:p>
        </w:tc>
        <w:tc>
          <w:tcPr>
            <w:tcW w:w="0" w:type="dxa"/>
            <w:vAlign w:val="bottom"/>
          </w:tcPr>
          <w:p>
            <w:pPr>
              <w:spacing w:after="0"/>
              <w:rPr>
                <w:sz w:val="1"/>
                <w:szCs w:val="1"/>
                <w:color w:val="auto"/>
              </w:rPr>
            </w:pPr>
          </w:p>
        </w:tc>
      </w:tr>
      <w:tr>
        <w:trPr>
          <w:trHeight w:val="27"/>
        </w:trPr>
        <w:tc>
          <w:tcPr>
            <w:tcW w:w="28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gross profit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38,527</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33,681</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4,846</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14.4 %</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124,236</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103,133</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21,103</w:t>
            </w:r>
          </w:p>
        </w:tc>
        <w:tc>
          <w:tcPr>
            <w:tcW w:w="12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20.5 %</w:t>
            </w:r>
          </w:p>
        </w:tc>
        <w:tc>
          <w:tcPr>
            <w:tcW w:w="0" w:type="dxa"/>
            <w:vAlign w:val="bottom"/>
          </w:tcPr>
          <w:p>
            <w:pPr>
              <w:spacing w:after="0"/>
              <w:rPr>
                <w:sz w:val="1"/>
                <w:szCs w:val="1"/>
                <w:color w:val="auto"/>
              </w:rPr>
            </w:pPr>
          </w:p>
        </w:tc>
      </w:tr>
      <w:tr>
        <w:trPr>
          <w:trHeight w:val="20"/>
        </w:trPr>
        <w:tc>
          <w:tcPr>
            <w:tcW w:w="28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480" w:firstLine="405"/>
        <w:spacing w:after="0" w:line="277" w:lineRule="auto"/>
        <w:rPr>
          <w:sz w:val="20"/>
          <w:szCs w:val="20"/>
          <w:color w:val="auto"/>
        </w:rPr>
      </w:pPr>
      <w:r>
        <w:rPr>
          <w:rFonts w:ascii="Arial" w:cs="Arial" w:eastAsia="Arial" w:hAnsi="Arial"/>
          <w:sz w:val="18"/>
          <w:szCs w:val="18"/>
          <w:color w:val="auto"/>
        </w:rPr>
        <w:t>The increase in the U.S. segment gross profit for the three months ended September 30, 2017 over the prior year period is primarily due to higher DEFINITY unit volumes and higher Xenon unit volumes.</w:t>
      </w:r>
    </w:p>
    <w:p>
      <w:pPr>
        <w:sectPr>
          <w:pgSz w:w="11900" w:h="16838" w:orient="portrait"/>
          <w:cols w:equalWidth="0" w:num="1">
            <w:col w:w="11360"/>
          </w:cols>
          <w:pgMar w:left="240" w:top="121" w:right="299" w:bottom="1440"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ind w:left="400"/>
        <w:spacing w:after="0"/>
        <w:rPr>
          <w:sz w:val="20"/>
          <w:szCs w:val="20"/>
          <w:color w:val="auto"/>
        </w:rPr>
      </w:pPr>
      <w:r>
        <w:rPr>
          <w:rFonts w:ascii="Arial" w:cs="Arial" w:eastAsia="Arial" w:hAnsi="Arial"/>
          <w:sz w:val="16"/>
          <w:szCs w:val="16"/>
          <w:color w:val="auto"/>
        </w:rPr>
        <w:t>22</w:t>
      </w:r>
    </w:p>
    <w:p>
      <w:pPr>
        <w:sectPr>
          <w:pgSz w:w="11900" w:h="16838" w:orient="portrait"/>
          <w:cols w:equalWidth="0" w:num="1">
            <w:col w:w="11360"/>
          </w:cols>
          <w:pgMar w:left="240" w:top="121" w:right="299" w:bottom="1440" w:gutter="0" w:footer="0" w:header="0"/>
          <w:type w:val="continuous"/>
        </w:sectPr>
      </w:pPr>
    </w:p>
    <w:bookmarkStart w:id="25" w:name="page26"/>
    <w:bookmarkEnd w:id="2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6" w:lineRule="exact"/>
        <w:rPr>
          <w:sz w:val="20"/>
          <w:szCs w:val="20"/>
          <w:color w:val="auto"/>
        </w:rPr>
      </w:pPr>
    </w:p>
    <w:p>
      <w:pPr>
        <w:ind w:right="260" w:firstLine="405"/>
        <w:spacing w:after="0" w:line="312" w:lineRule="auto"/>
        <w:rPr>
          <w:sz w:val="20"/>
          <w:szCs w:val="20"/>
          <w:color w:val="auto"/>
        </w:rPr>
      </w:pPr>
      <w:r>
        <w:rPr>
          <w:rFonts w:ascii="Arial" w:cs="Arial" w:eastAsia="Arial" w:hAnsi="Arial"/>
          <w:sz w:val="16"/>
          <w:szCs w:val="16"/>
          <w:color w:val="auto"/>
        </w:rPr>
        <w:t>The increase in the U.S. segment gross profit for the nine months ended September 30, 2017 over the prior year period is primarily due to higher DEFINITY unit volumes, higher Xenon unit volumes and the recognition of $5.0 million in other revenue associated with the License Agreement with GE Healthcare for the continued Phase III development and worldwide commercialization of flurpiridaz F 18 without any associated cost of goods sold.</w:t>
      </w:r>
    </w:p>
    <w:p>
      <w:pPr>
        <w:spacing w:after="0" w:line="160"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The decreases in the International segment gross profit for the three and nine months ended September 30, 2017 over the prior year periods are primarily due to higher manufacturing and material costs for certain products.</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w:t>
      </w:r>
    </w:p>
    <w:p>
      <w:pPr>
        <w:spacing w:after="0" w:line="117" w:lineRule="exact"/>
        <w:rPr>
          <w:sz w:val="20"/>
          <w:szCs w:val="20"/>
          <w:color w:val="auto"/>
        </w:rPr>
      </w:pPr>
    </w:p>
    <w:p>
      <w:pPr>
        <w:ind w:right="400" w:firstLine="405"/>
        <w:spacing w:after="0" w:line="264" w:lineRule="auto"/>
        <w:rPr>
          <w:sz w:val="20"/>
          <w:szCs w:val="20"/>
          <w:color w:val="auto"/>
        </w:rPr>
      </w:pPr>
      <w:r>
        <w:rPr>
          <w:rFonts w:ascii="Arial" w:cs="Arial" w:eastAsia="Arial" w:hAnsi="Arial"/>
          <w:sz w:val="18"/>
          <w:szCs w:val="18"/>
          <w:color w:val="auto"/>
        </w:rPr>
        <w:t>Sales and marketing expenses consist primarily of salaries and other related costs for personnel in field sales, marketing, business development and customer service functions. Other costs in sales and marketing expenses include the development and printing of advertising and promotional material, professional services, market research and sales meetings.</w:t>
      </w:r>
    </w:p>
    <w:p>
      <w:pPr>
        <w:spacing w:after="0" w:line="19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Sales and marketing expense is summarized by segment as follows: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2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w:t>
            </w: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40" w:type="dxa"/>
            <w:vAlign w:val="bottom"/>
            <w:gridSpan w:val="5"/>
          </w:tcPr>
          <w:p>
            <w:pPr>
              <w:ind w:left="180"/>
              <w:spacing w:after="0"/>
              <w:rPr>
                <w:sz w:val="20"/>
                <w:szCs w:val="20"/>
                <w:color w:val="auto"/>
              </w:rPr>
            </w:pPr>
            <w:r>
              <w:rPr>
                <w:rFonts w:ascii="Arial" w:cs="Arial" w:eastAsia="Arial" w:hAnsi="Arial"/>
                <w:sz w:val="14"/>
                <w:szCs w:val="14"/>
                <w:b w:val="1"/>
                <w:bCs w:val="1"/>
                <w:color w:val="auto"/>
              </w:rPr>
              <w:t>Nine Months Ended</w:t>
            </w: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5"/>
          </w:tcPr>
          <w:p>
            <w:pPr>
              <w:jc w:val="right"/>
              <w:ind w:right="500"/>
              <w:spacing w:after="0"/>
              <w:rPr>
                <w:sz w:val="20"/>
                <w:szCs w:val="20"/>
                <w:color w:val="auto"/>
              </w:rPr>
            </w:pPr>
            <w:r>
              <w:rPr>
                <w:rFonts w:ascii="Arial" w:cs="Arial" w:eastAsia="Arial" w:hAnsi="Arial"/>
                <w:sz w:val="14"/>
                <w:szCs w:val="14"/>
                <w:b w:val="1"/>
                <w:bCs w:val="1"/>
                <w:color w:val="auto"/>
              </w:rPr>
              <w:t>September 30,</w:t>
            </w:r>
          </w:p>
        </w:tc>
        <w:tc>
          <w:tcPr>
            <w:tcW w:w="9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gridSpan w:val="5"/>
          </w:tcPr>
          <w:p>
            <w:pPr>
              <w:jc w:val="right"/>
              <w:ind w:right="500"/>
              <w:spacing w:after="0"/>
              <w:rPr>
                <w:sz w:val="20"/>
                <w:szCs w:val="20"/>
                <w:color w:val="auto"/>
              </w:rPr>
            </w:pPr>
            <w:r>
              <w:rPr>
                <w:rFonts w:ascii="Arial" w:cs="Arial" w:eastAsia="Arial" w:hAnsi="Arial"/>
                <w:sz w:val="14"/>
                <w:szCs w:val="14"/>
                <w:b w:val="1"/>
                <w:bCs w:val="1"/>
                <w:color w:val="auto"/>
              </w:rPr>
              <w:t>September 30,</w:t>
            </w: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00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Pr>
          <w:p>
            <w:pPr>
              <w:spacing w:after="0"/>
              <w:rPr>
                <w:sz w:val="13"/>
                <w:szCs w:val="13"/>
                <w:color w:val="auto"/>
              </w:rPr>
            </w:pPr>
          </w:p>
        </w:tc>
        <w:tc>
          <w:tcPr>
            <w:tcW w:w="660" w:type="dxa"/>
            <w:vAlign w:val="bottom"/>
            <w:vMerge w:val="restart"/>
          </w:tcPr>
          <w:p>
            <w:pPr>
              <w:jc w:val="right"/>
              <w:ind w:right="194"/>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40" w:type="dxa"/>
            <w:vAlign w:val="bottom"/>
            <w:vMerge w:val="restart"/>
          </w:tcPr>
          <w:p>
            <w:pPr>
              <w:jc w:val="right"/>
              <w:ind w:right="179"/>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ind w:left="20"/>
              <w:spacing w:after="0" w:line="153" w:lineRule="exact"/>
              <w:rPr>
                <w:sz w:val="20"/>
                <w:szCs w:val="20"/>
                <w:color w:val="auto"/>
              </w:rPr>
            </w:pPr>
            <w:r>
              <w:rPr>
                <w:rFonts w:ascii="Arial" w:cs="Arial" w:eastAsia="Arial" w:hAnsi="Arial"/>
                <w:sz w:val="14"/>
                <w:szCs w:val="14"/>
                <w:b w:val="1"/>
                <w:bCs w:val="1"/>
                <w:color w:val="auto"/>
              </w:rPr>
              <w:t>Change</w:t>
            </w:r>
          </w:p>
        </w:tc>
        <w:tc>
          <w:tcPr>
            <w:tcW w:w="1080" w:type="dxa"/>
            <w:vAlign w:val="bottom"/>
            <w:gridSpan w:val="2"/>
          </w:tcPr>
          <w:p>
            <w:pPr>
              <w:ind w:left="240"/>
              <w:spacing w:after="0" w:line="153" w:lineRule="exact"/>
              <w:rPr>
                <w:sz w:val="20"/>
                <w:szCs w:val="20"/>
                <w:color w:val="auto"/>
              </w:rPr>
            </w:pPr>
            <w:r>
              <w:rPr>
                <w:rFonts w:ascii="Arial" w:cs="Arial" w:eastAsia="Arial" w:hAnsi="Arial"/>
                <w:sz w:val="14"/>
                <w:szCs w:val="14"/>
                <w:b w:val="1"/>
                <w:bCs w:val="1"/>
                <w:color w:val="auto"/>
              </w:rPr>
              <w:t>Change</w:t>
            </w:r>
          </w:p>
        </w:tc>
        <w:tc>
          <w:tcPr>
            <w:tcW w:w="180" w:type="dxa"/>
            <w:vAlign w:val="bottom"/>
          </w:tcPr>
          <w:p>
            <w:pPr>
              <w:spacing w:after="0"/>
              <w:rPr>
                <w:sz w:val="13"/>
                <w:szCs w:val="13"/>
                <w:color w:val="auto"/>
              </w:rPr>
            </w:pPr>
          </w:p>
        </w:tc>
        <w:tc>
          <w:tcPr>
            <w:tcW w:w="660" w:type="dxa"/>
            <w:vAlign w:val="bottom"/>
            <w:vMerge w:val="restart"/>
          </w:tcPr>
          <w:p>
            <w:pPr>
              <w:jc w:val="right"/>
              <w:ind w:right="194"/>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vMerge w:val="restart"/>
          </w:tcPr>
          <w:p>
            <w:pPr>
              <w:jc w:val="right"/>
              <w:ind w:right="199"/>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2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Change</w:t>
            </w:r>
          </w:p>
        </w:tc>
        <w:tc>
          <w:tcPr>
            <w:tcW w:w="980" w:type="dxa"/>
            <w:vAlign w:val="bottom"/>
          </w:tcPr>
          <w:p>
            <w:pPr>
              <w:jc w:val="right"/>
              <w:ind w:right="177"/>
              <w:spacing w:after="0" w:line="153" w:lineRule="exact"/>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58"/>
        </w:trPr>
        <w:tc>
          <w:tcPr>
            <w:tcW w:w="3000" w:type="dxa"/>
            <w:vAlign w:val="bottom"/>
            <w:gridSpan w:val="3"/>
            <w:vMerge w:val="continue"/>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80" w:type="dxa"/>
            <w:vAlign w:val="bottom"/>
          </w:tcPr>
          <w:p>
            <w:pPr>
              <w:jc w:val="right"/>
              <w:ind w:right="297"/>
              <w:spacing w:after="0" w:line="158"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960" w:type="dxa"/>
            <w:vAlign w:val="bottom"/>
          </w:tcPr>
          <w:p>
            <w:pPr>
              <w:jc w:val="right"/>
              <w:ind w:right="317"/>
              <w:spacing w:after="0" w:line="158"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jc w:val="right"/>
              <w:ind w:right="297"/>
              <w:spacing w:after="0" w:line="158"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980" w:type="dxa"/>
            <w:vAlign w:val="bottom"/>
          </w:tcPr>
          <w:p>
            <w:pPr>
              <w:jc w:val="right"/>
              <w:ind w:right="337"/>
              <w:spacing w:after="0" w:line="158"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20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30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9,480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8,021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1,459</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18.2 %</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29,854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24,902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4,952</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19.9 %</w:t>
            </w:r>
          </w:p>
        </w:tc>
        <w:tc>
          <w:tcPr>
            <w:tcW w:w="0" w:type="dxa"/>
            <w:vAlign w:val="bottom"/>
          </w:tcPr>
          <w:p>
            <w:pPr>
              <w:spacing w:after="0"/>
              <w:rPr>
                <w:sz w:val="1"/>
                <w:szCs w:val="1"/>
                <w:color w:val="auto"/>
              </w:rPr>
            </w:pPr>
          </w:p>
        </w:tc>
      </w:tr>
      <w:tr>
        <w:trPr>
          <w:trHeight w:val="243"/>
        </w:trPr>
        <w:tc>
          <w:tcPr>
            <w:tcW w:w="3000" w:type="dxa"/>
            <w:vAlign w:val="bottom"/>
            <w:gridSpan w:val="3"/>
          </w:tcPr>
          <w:p>
            <w:pPr>
              <w:ind w:left="40"/>
              <w:spacing w:after="0"/>
              <w:rPr>
                <w:sz w:val="20"/>
                <w:szCs w:val="20"/>
                <w:color w:val="auto"/>
              </w:rPr>
            </w:pPr>
            <w:r>
              <w:rPr>
                <w:rFonts w:ascii="Arial" w:cs="Arial" w:eastAsia="Arial" w:hAnsi="Arial"/>
                <w:sz w:val="18"/>
                <w:szCs w:val="18"/>
                <w:color w:val="auto"/>
              </w:rPr>
              <w:t>International</w:t>
            </w:r>
          </w:p>
        </w:tc>
        <w:tc>
          <w:tcPr>
            <w:tcW w:w="18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Arial" w:cs="Arial" w:eastAsia="Arial" w:hAnsi="Arial"/>
                <w:sz w:val="18"/>
                <w:szCs w:val="18"/>
                <w:color w:val="auto"/>
              </w:rPr>
              <w:t>595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685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(90)</w:t>
            </w:r>
          </w:p>
        </w:tc>
        <w:tc>
          <w:tcPr>
            <w:tcW w:w="1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(13.1)%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2,038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2,954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(916)</w:t>
            </w: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(31.0)%</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c>
          <w:tcPr>
            <w:tcW w:w="20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 w:type="dxa"/>
            <w:vAlign w:val="bottom"/>
            <w:tcBorders>
              <w:bottom w:val="single" w:sz="8" w:color="CCEEFF"/>
            </w:tcBorders>
            <w:shd w:val="clear" w:color="auto" w:fill="CCEEFF"/>
          </w:tcPr>
          <w:p>
            <w:pPr>
              <w:spacing w:after="0"/>
              <w:rPr>
                <w:sz w:val="22"/>
                <w:szCs w:val="22"/>
                <w:color w:val="auto"/>
              </w:rPr>
            </w:pPr>
          </w:p>
        </w:tc>
        <w:tc>
          <w:tcPr>
            <w:tcW w:w="296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Total sales and marketing</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10,075</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8,706</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1,369</w:t>
            </w:r>
          </w:p>
        </w:tc>
        <w:tc>
          <w:tcPr>
            <w:tcW w:w="12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15.7 %</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31,892</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27,856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4,036</w:t>
            </w:r>
          </w:p>
        </w:tc>
        <w:tc>
          <w:tcPr>
            <w:tcW w:w="12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14.5 %</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60" w:firstLine="405"/>
        <w:spacing w:after="0" w:line="277" w:lineRule="auto"/>
        <w:rPr>
          <w:sz w:val="20"/>
          <w:szCs w:val="20"/>
          <w:color w:val="auto"/>
        </w:rPr>
      </w:pPr>
      <w:r>
        <w:rPr>
          <w:rFonts w:ascii="Arial" w:cs="Arial" w:eastAsia="Arial" w:hAnsi="Arial"/>
          <w:sz w:val="18"/>
          <w:szCs w:val="18"/>
          <w:color w:val="auto"/>
        </w:rPr>
        <w:t>The increases in the U.S. segment sales and marketing expenses for the three and nine months ended September 30, 2017 over the prior year periods are primarily due to employee-related expenses, market research and promotional program expenses.</w:t>
      </w:r>
    </w:p>
    <w:p>
      <w:pPr>
        <w:spacing w:after="0" w:line="184" w:lineRule="exact"/>
        <w:rPr>
          <w:sz w:val="20"/>
          <w:szCs w:val="20"/>
          <w:color w:val="auto"/>
        </w:rPr>
      </w:pPr>
    </w:p>
    <w:p>
      <w:pPr>
        <w:ind w:right="260" w:firstLine="405"/>
        <w:spacing w:after="0" w:line="277" w:lineRule="auto"/>
        <w:rPr>
          <w:sz w:val="20"/>
          <w:szCs w:val="20"/>
          <w:color w:val="auto"/>
        </w:rPr>
      </w:pPr>
      <w:r>
        <w:rPr>
          <w:rFonts w:ascii="Arial" w:cs="Arial" w:eastAsia="Arial" w:hAnsi="Arial"/>
          <w:sz w:val="18"/>
          <w:szCs w:val="18"/>
          <w:color w:val="auto"/>
        </w:rPr>
        <w:t>The decreases in the International segment sales and marketing expenses for the three and nine months ended September 30, 2017 over the prior year periods are primarily due to lower headcount.</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117" w:lineRule="exact"/>
        <w:rPr>
          <w:sz w:val="20"/>
          <w:szCs w:val="20"/>
          <w:color w:val="auto"/>
        </w:rPr>
      </w:pPr>
    </w:p>
    <w:p>
      <w:pPr>
        <w:ind w:right="320" w:firstLine="405"/>
        <w:spacing w:after="0" w:line="259" w:lineRule="auto"/>
        <w:rPr>
          <w:sz w:val="20"/>
          <w:szCs w:val="20"/>
          <w:color w:val="auto"/>
        </w:rPr>
      </w:pPr>
      <w:r>
        <w:rPr>
          <w:rFonts w:ascii="Arial" w:cs="Arial" w:eastAsia="Arial" w:hAnsi="Arial"/>
          <w:sz w:val="18"/>
          <w:szCs w:val="18"/>
          <w:color w:val="auto"/>
        </w:rPr>
        <w:t>General and administrative expenses consist of salaries and other related costs for personnel in executive, finance, legal, information technology and human resource functions. Other costs included in general and administrative expenses are professional fees for information technology services, external legal fees, consulting and accounting services as well as bad debt expense, certain facility and insurance costs, including director and officer liability insurance.</w:t>
      </w:r>
    </w:p>
    <w:p>
      <w:pPr>
        <w:spacing w:after="0" w:line="200" w:lineRule="exact"/>
        <w:rPr>
          <w:sz w:val="20"/>
          <w:szCs w:val="20"/>
          <w:color w:val="auto"/>
        </w:rPr>
      </w:pPr>
    </w:p>
    <w:p>
      <w:pPr>
        <w:ind w:left="420"/>
        <w:spacing w:after="0"/>
        <w:rPr>
          <w:sz w:val="20"/>
          <w:szCs w:val="20"/>
          <w:color w:val="auto"/>
        </w:rPr>
      </w:pPr>
      <w:r>
        <w:rPr>
          <w:rFonts w:ascii="Arial" w:cs="Arial" w:eastAsia="Arial" w:hAnsi="Arial"/>
          <w:sz w:val="18"/>
          <w:szCs w:val="18"/>
          <w:color w:val="auto"/>
        </w:rPr>
        <w:t>General and administrative expense is summarized by segment as follows: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20" w:type="dxa"/>
            <w:vAlign w:val="bottom"/>
            <w:gridSpan w:val="5"/>
          </w:tcPr>
          <w:p>
            <w:pPr>
              <w:ind w:left="140"/>
              <w:spacing w:after="0"/>
              <w:rPr>
                <w:sz w:val="20"/>
                <w:szCs w:val="20"/>
                <w:color w:val="auto"/>
              </w:rPr>
            </w:pPr>
            <w:r>
              <w:rPr>
                <w:rFonts w:ascii="Arial" w:cs="Arial" w:eastAsia="Arial" w:hAnsi="Arial"/>
                <w:sz w:val="14"/>
                <w:szCs w:val="14"/>
                <w:b w:val="1"/>
                <w:bCs w:val="1"/>
                <w:color w:val="auto"/>
              </w:rPr>
              <w:t>Three Months Ended</w:t>
            </w: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20" w:type="dxa"/>
            <w:vAlign w:val="bottom"/>
            <w:gridSpan w:val="5"/>
          </w:tcPr>
          <w:p>
            <w:pPr>
              <w:ind w:left="180"/>
              <w:spacing w:after="0"/>
              <w:rPr>
                <w:sz w:val="20"/>
                <w:szCs w:val="20"/>
                <w:color w:val="auto"/>
              </w:rPr>
            </w:pPr>
            <w:r>
              <w:rPr>
                <w:rFonts w:ascii="Arial" w:cs="Arial" w:eastAsia="Arial" w:hAnsi="Arial"/>
                <w:sz w:val="14"/>
                <w:szCs w:val="14"/>
                <w:b w:val="1"/>
                <w:bCs w:val="1"/>
                <w:color w:val="auto"/>
              </w:rPr>
              <w:t>Nine Months Ended</w:t>
            </w: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5"/>
          </w:tcPr>
          <w:p>
            <w:pPr>
              <w:jc w:val="right"/>
              <w:ind w:right="480"/>
              <w:spacing w:after="0"/>
              <w:rPr>
                <w:sz w:val="20"/>
                <w:szCs w:val="20"/>
                <w:color w:val="auto"/>
              </w:rPr>
            </w:pPr>
            <w:r>
              <w:rPr>
                <w:rFonts w:ascii="Arial" w:cs="Arial" w:eastAsia="Arial" w:hAnsi="Arial"/>
                <w:sz w:val="14"/>
                <w:szCs w:val="14"/>
                <w:b w:val="1"/>
                <w:bCs w:val="1"/>
                <w:color w:val="auto"/>
              </w:rPr>
              <w:t>September 30,</w:t>
            </w:r>
          </w:p>
        </w:tc>
        <w:tc>
          <w:tcPr>
            <w:tcW w:w="9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5"/>
          </w:tcPr>
          <w:p>
            <w:pPr>
              <w:jc w:val="right"/>
              <w:ind w:right="500"/>
              <w:spacing w:after="0"/>
              <w:rPr>
                <w:sz w:val="20"/>
                <w:szCs w:val="20"/>
                <w:color w:val="auto"/>
              </w:rPr>
            </w:pPr>
            <w:r>
              <w:rPr>
                <w:rFonts w:ascii="Arial" w:cs="Arial" w:eastAsia="Arial" w:hAnsi="Arial"/>
                <w:sz w:val="14"/>
                <w:szCs w:val="14"/>
                <w:b w:val="1"/>
                <w:bCs w:val="1"/>
                <w:color w:val="auto"/>
              </w:rPr>
              <w:t>September 30,</w:t>
            </w: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00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Pr>
          <w:p>
            <w:pPr>
              <w:spacing w:after="0"/>
              <w:rPr>
                <w:sz w:val="13"/>
                <w:szCs w:val="13"/>
                <w:color w:val="auto"/>
              </w:rPr>
            </w:pPr>
          </w:p>
        </w:tc>
        <w:tc>
          <w:tcPr>
            <w:tcW w:w="660" w:type="dxa"/>
            <w:vAlign w:val="bottom"/>
            <w:vMerge w:val="restart"/>
          </w:tcPr>
          <w:p>
            <w:pPr>
              <w:jc w:val="right"/>
              <w:ind w:right="194"/>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vMerge w:val="restart"/>
          </w:tcPr>
          <w:p>
            <w:pPr>
              <w:jc w:val="right"/>
              <w:ind w:right="199"/>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Change</w:t>
            </w:r>
          </w:p>
        </w:tc>
        <w:tc>
          <w:tcPr>
            <w:tcW w:w="1080" w:type="dxa"/>
            <w:vAlign w:val="bottom"/>
            <w:gridSpan w:val="2"/>
          </w:tcPr>
          <w:p>
            <w:pPr>
              <w:ind w:left="260"/>
              <w:spacing w:after="0" w:line="153" w:lineRule="exact"/>
              <w:rPr>
                <w:sz w:val="20"/>
                <w:szCs w:val="20"/>
                <w:color w:val="auto"/>
              </w:rPr>
            </w:pPr>
            <w:r>
              <w:rPr>
                <w:rFonts w:ascii="Arial" w:cs="Arial" w:eastAsia="Arial" w:hAnsi="Arial"/>
                <w:sz w:val="14"/>
                <w:szCs w:val="14"/>
                <w:b w:val="1"/>
                <w:bCs w:val="1"/>
                <w:color w:val="auto"/>
              </w:rPr>
              <w:t>Change</w:t>
            </w:r>
          </w:p>
        </w:tc>
        <w:tc>
          <w:tcPr>
            <w:tcW w:w="200" w:type="dxa"/>
            <w:vAlign w:val="bottom"/>
          </w:tcPr>
          <w:p>
            <w:pPr>
              <w:spacing w:after="0"/>
              <w:rPr>
                <w:sz w:val="13"/>
                <w:szCs w:val="13"/>
                <w:color w:val="auto"/>
              </w:rPr>
            </w:pPr>
          </w:p>
        </w:tc>
        <w:tc>
          <w:tcPr>
            <w:tcW w:w="660" w:type="dxa"/>
            <w:vAlign w:val="bottom"/>
            <w:vMerge w:val="restart"/>
          </w:tcPr>
          <w:p>
            <w:pPr>
              <w:jc w:val="right"/>
              <w:ind w:right="194"/>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vMerge w:val="restart"/>
          </w:tcPr>
          <w:p>
            <w:pPr>
              <w:jc w:val="right"/>
              <w:ind w:right="199"/>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Change</w:t>
            </w:r>
          </w:p>
        </w:tc>
        <w:tc>
          <w:tcPr>
            <w:tcW w:w="980" w:type="dxa"/>
            <w:vAlign w:val="bottom"/>
          </w:tcPr>
          <w:p>
            <w:pPr>
              <w:jc w:val="right"/>
              <w:ind w:right="177"/>
              <w:spacing w:after="0" w:line="153" w:lineRule="exact"/>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58"/>
        </w:trPr>
        <w:tc>
          <w:tcPr>
            <w:tcW w:w="3000" w:type="dxa"/>
            <w:vAlign w:val="bottom"/>
            <w:gridSpan w:val="3"/>
            <w:vMerge w:val="continue"/>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jc w:val="right"/>
              <w:ind w:right="297"/>
              <w:spacing w:after="0" w:line="158"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980" w:type="dxa"/>
            <w:vAlign w:val="bottom"/>
          </w:tcPr>
          <w:p>
            <w:pPr>
              <w:jc w:val="right"/>
              <w:ind w:right="337"/>
              <w:spacing w:after="0" w:line="158"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ind w:right="317"/>
              <w:spacing w:after="0" w:line="158"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980" w:type="dxa"/>
            <w:vAlign w:val="bottom"/>
          </w:tcPr>
          <w:p>
            <w:pPr>
              <w:jc w:val="right"/>
              <w:ind w:right="337"/>
              <w:spacing w:after="0" w:line="158"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20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300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11,901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9,693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2,208</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22.8 %</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35,055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w w:val="98"/>
              </w:rPr>
              <w:t>27,629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7,426</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26.9 %</w:t>
            </w:r>
          </w:p>
        </w:tc>
        <w:tc>
          <w:tcPr>
            <w:tcW w:w="0" w:type="dxa"/>
            <w:vAlign w:val="bottom"/>
          </w:tcPr>
          <w:p>
            <w:pPr>
              <w:spacing w:after="0"/>
              <w:rPr>
                <w:sz w:val="1"/>
                <w:szCs w:val="1"/>
                <w:color w:val="auto"/>
              </w:rPr>
            </w:pPr>
          </w:p>
        </w:tc>
      </w:tr>
      <w:tr>
        <w:trPr>
          <w:trHeight w:val="243"/>
        </w:trPr>
        <w:tc>
          <w:tcPr>
            <w:tcW w:w="3000" w:type="dxa"/>
            <w:vAlign w:val="bottom"/>
            <w:gridSpan w:val="3"/>
          </w:tcPr>
          <w:p>
            <w:pPr>
              <w:ind w:left="40"/>
              <w:spacing w:after="0"/>
              <w:rPr>
                <w:sz w:val="20"/>
                <w:szCs w:val="20"/>
                <w:color w:val="auto"/>
              </w:rPr>
            </w:pPr>
            <w:r>
              <w:rPr>
                <w:rFonts w:ascii="Arial" w:cs="Arial" w:eastAsia="Arial" w:hAnsi="Arial"/>
                <w:sz w:val="18"/>
                <w:szCs w:val="18"/>
                <w:color w:val="auto"/>
              </w:rPr>
              <w:t>International</w:t>
            </w:r>
          </w:p>
        </w:tc>
        <w:tc>
          <w:tcPr>
            <w:tcW w:w="18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Arial" w:cs="Arial" w:eastAsia="Arial" w:hAnsi="Arial"/>
                <w:sz w:val="18"/>
                <w:szCs w:val="18"/>
                <w:color w:val="auto"/>
              </w:rPr>
              <w:t>175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60" w:type="dxa"/>
            <w:vAlign w:val="bottom"/>
          </w:tcPr>
          <w:p>
            <w:pPr>
              <w:jc w:val="right"/>
              <w:ind w:right="19"/>
              <w:spacing w:after="0"/>
              <w:rPr>
                <w:sz w:val="20"/>
                <w:szCs w:val="20"/>
                <w:color w:val="auto"/>
              </w:rPr>
            </w:pPr>
            <w:r>
              <w:rPr>
                <w:rFonts w:ascii="Arial" w:cs="Arial" w:eastAsia="Arial" w:hAnsi="Arial"/>
                <w:sz w:val="18"/>
                <w:szCs w:val="18"/>
                <w:color w:val="auto"/>
              </w:rPr>
              <w:t>398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(223)</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(56.0)%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Arial" w:cs="Arial" w:eastAsia="Arial" w:hAnsi="Arial"/>
                <w:sz w:val="18"/>
                <w:szCs w:val="18"/>
                <w:color w:val="auto"/>
              </w:rPr>
              <w:t>494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jc w:val="right"/>
              <w:ind w:right="19"/>
              <w:spacing w:after="0"/>
              <w:rPr>
                <w:sz w:val="20"/>
                <w:szCs w:val="20"/>
                <w:color w:val="auto"/>
              </w:rPr>
            </w:pPr>
            <w:r>
              <w:rPr>
                <w:rFonts w:ascii="Arial" w:cs="Arial" w:eastAsia="Arial" w:hAnsi="Arial"/>
                <w:sz w:val="18"/>
                <w:szCs w:val="18"/>
                <w:color w:val="auto"/>
              </w:rPr>
              <w:t>1,213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(719)</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(59.3)%</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c>
          <w:tcPr>
            <w:tcW w:w="20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 w:type="dxa"/>
            <w:vAlign w:val="bottom"/>
            <w:tcBorders>
              <w:bottom w:val="single" w:sz="8" w:color="CCEEFF"/>
            </w:tcBorders>
            <w:shd w:val="clear" w:color="auto" w:fill="CCEEFF"/>
          </w:tcPr>
          <w:p>
            <w:pPr>
              <w:spacing w:after="0"/>
              <w:rPr>
                <w:sz w:val="22"/>
                <w:szCs w:val="22"/>
                <w:color w:val="auto"/>
              </w:rPr>
            </w:pPr>
          </w:p>
        </w:tc>
        <w:tc>
          <w:tcPr>
            <w:tcW w:w="296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Total general and administrative</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12,076</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w w:val="98"/>
              </w:rPr>
              <w:t>10,091</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1,985</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19.7 %</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35,549</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w w:val="98"/>
              </w:rPr>
              <w:t>28,842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6,707</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23.3 %</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380" w:firstLine="405"/>
        <w:spacing w:after="0" w:line="277" w:lineRule="auto"/>
        <w:rPr>
          <w:sz w:val="20"/>
          <w:szCs w:val="20"/>
          <w:color w:val="auto"/>
        </w:rPr>
      </w:pPr>
      <w:r>
        <w:rPr>
          <w:rFonts w:ascii="Arial" w:cs="Arial" w:eastAsia="Arial" w:hAnsi="Arial"/>
          <w:sz w:val="18"/>
          <w:szCs w:val="18"/>
          <w:color w:val="auto"/>
        </w:rPr>
        <w:t>The increase in the U.S. segment general and administrative expenses for the three months ended September 30, 2017 over the prior year period are primarily due to higher employee-related expenses and campus consolidation costs.</w:t>
      </w:r>
    </w:p>
    <w:p>
      <w:pPr>
        <w:spacing w:after="0" w:line="184" w:lineRule="exact"/>
        <w:rPr>
          <w:sz w:val="20"/>
          <w:szCs w:val="20"/>
          <w:color w:val="auto"/>
        </w:rPr>
      </w:pPr>
    </w:p>
    <w:p>
      <w:pPr>
        <w:ind w:right="680" w:firstLine="405"/>
        <w:spacing w:after="0" w:line="308" w:lineRule="auto"/>
        <w:rPr>
          <w:sz w:val="20"/>
          <w:szCs w:val="20"/>
          <w:color w:val="auto"/>
        </w:rPr>
      </w:pPr>
      <w:r>
        <w:rPr>
          <w:rFonts w:ascii="Arial" w:cs="Arial" w:eastAsia="Arial" w:hAnsi="Arial"/>
          <w:sz w:val="17"/>
          <w:szCs w:val="17"/>
          <w:color w:val="auto"/>
        </w:rPr>
        <w:t>The increase in U.S. segment general and administrative expenses for the nine months ended September 30, 2017 over the prior year period are primarily due to $1.7 million of debt refinancing costs, higher employee-related expenses and campus consolidation costs.</w:t>
      </w:r>
    </w:p>
    <w:p>
      <w:pPr>
        <w:spacing w:after="0" w:line="160" w:lineRule="exact"/>
        <w:rPr>
          <w:sz w:val="20"/>
          <w:szCs w:val="20"/>
          <w:color w:val="auto"/>
        </w:rPr>
      </w:pPr>
    </w:p>
    <w:p>
      <w:pPr>
        <w:ind w:right="140" w:firstLine="405"/>
        <w:spacing w:after="0" w:line="277" w:lineRule="auto"/>
        <w:rPr>
          <w:sz w:val="20"/>
          <w:szCs w:val="20"/>
          <w:color w:val="auto"/>
        </w:rPr>
      </w:pPr>
      <w:r>
        <w:rPr>
          <w:rFonts w:ascii="Arial" w:cs="Arial" w:eastAsia="Arial" w:hAnsi="Arial"/>
          <w:sz w:val="18"/>
          <w:szCs w:val="18"/>
          <w:color w:val="auto"/>
        </w:rPr>
        <w:t>The decreases in the International segment general and administrative expenses for the three and nine months ended September 30, 2017 over the prior year periods are primarily due to lower employee headcount and related expenses.</w:t>
      </w: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ind w:left="400"/>
        <w:spacing w:after="0"/>
        <w:rPr>
          <w:sz w:val="20"/>
          <w:szCs w:val="20"/>
          <w:color w:val="auto"/>
        </w:rPr>
      </w:pPr>
      <w:r>
        <w:rPr>
          <w:rFonts w:ascii="Arial" w:cs="Arial" w:eastAsia="Arial" w:hAnsi="Arial"/>
          <w:sz w:val="16"/>
          <w:szCs w:val="16"/>
          <w:color w:val="auto"/>
        </w:rPr>
        <w:t>23</w:t>
      </w:r>
    </w:p>
    <w:p>
      <w:pPr>
        <w:sectPr>
          <w:pgSz w:w="11900" w:h="16838" w:orient="portrait"/>
          <w:cols w:equalWidth="0" w:num="1">
            <w:col w:w="11420"/>
          </w:cols>
          <w:pgMar w:left="240" w:top="121" w:right="239" w:bottom="1440" w:gutter="0" w:footer="0" w:header="0"/>
          <w:type w:val="continuous"/>
        </w:sectPr>
      </w:pPr>
    </w:p>
    <w:bookmarkStart w:id="26" w:name="page27"/>
    <w:bookmarkEnd w:id="2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w:t>
      </w:r>
    </w:p>
    <w:p>
      <w:pPr>
        <w:spacing w:after="0" w:line="117" w:lineRule="exact"/>
        <w:rPr>
          <w:sz w:val="20"/>
          <w:szCs w:val="20"/>
          <w:color w:val="auto"/>
        </w:rPr>
      </w:pPr>
    </w:p>
    <w:p>
      <w:pPr>
        <w:ind w:right="140" w:firstLine="405"/>
        <w:spacing w:after="0" w:line="264" w:lineRule="auto"/>
        <w:rPr>
          <w:sz w:val="20"/>
          <w:szCs w:val="20"/>
          <w:color w:val="auto"/>
        </w:rPr>
      </w:pPr>
      <w:r>
        <w:rPr>
          <w:rFonts w:ascii="Arial" w:cs="Arial" w:eastAsia="Arial" w:hAnsi="Arial"/>
          <w:sz w:val="18"/>
          <w:szCs w:val="18"/>
          <w:color w:val="auto"/>
        </w:rPr>
        <w:t>Research and development expenses relate primarily to the development of new products to add to our portfolio and costs related to its medical affairs, medical information and regulatory functions. We do not allocate research and development expenses incurred in the United States to our International segment.</w:t>
      </w:r>
    </w:p>
    <w:p>
      <w:pPr>
        <w:spacing w:after="0" w:line="195" w:lineRule="exact"/>
        <w:rPr>
          <w:sz w:val="20"/>
          <w:szCs w:val="20"/>
          <w:color w:val="auto"/>
        </w:rPr>
      </w:pPr>
    </w:p>
    <w:p>
      <w:pPr>
        <w:ind w:left="420"/>
        <w:spacing w:after="0"/>
        <w:rPr>
          <w:sz w:val="20"/>
          <w:szCs w:val="20"/>
          <w:color w:val="auto"/>
        </w:rPr>
      </w:pPr>
      <w:r>
        <w:rPr>
          <w:rFonts w:ascii="Arial" w:cs="Arial" w:eastAsia="Arial" w:hAnsi="Arial"/>
          <w:sz w:val="18"/>
          <w:szCs w:val="18"/>
          <w:color w:val="auto"/>
        </w:rPr>
        <w:t>Research and development expense is summarized by segment as follows: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20" w:type="dxa"/>
            <w:vAlign w:val="bottom"/>
            <w:gridSpan w:val="5"/>
          </w:tcPr>
          <w:p>
            <w:pPr>
              <w:jc w:val="right"/>
              <w:ind w:right="320"/>
              <w:spacing w:after="0"/>
              <w:rPr>
                <w:sz w:val="20"/>
                <w:szCs w:val="20"/>
                <w:color w:val="auto"/>
              </w:rPr>
            </w:pPr>
            <w:r>
              <w:rPr>
                <w:rFonts w:ascii="Arial" w:cs="Arial" w:eastAsia="Arial" w:hAnsi="Arial"/>
                <w:sz w:val="14"/>
                <w:szCs w:val="14"/>
                <w:b w:val="1"/>
                <w:bCs w:val="1"/>
                <w:color w:val="auto"/>
                <w:w w:val="99"/>
              </w:rPr>
              <w:t>Three Months Ended</w:t>
            </w: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20" w:type="dxa"/>
            <w:vAlign w:val="bottom"/>
            <w:gridSpan w:val="5"/>
          </w:tcPr>
          <w:p>
            <w:pPr>
              <w:jc w:val="center"/>
              <w:ind w:right="180"/>
              <w:spacing w:after="0"/>
              <w:rPr>
                <w:sz w:val="20"/>
                <w:szCs w:val="20"/>
                <w:color w:val="auto"/>
              </w:rPr>
            </w:pPr>
            <w:r>
              <w:rPr>
                <w:rFonts w:ascii="Arial" w:cs="Arial" w:eastAsia="Arial" w:hAnsi="Arial"/>
                <w:sz w:val="14"/>
                <w:szCs w:val="14"/>
                <w:b w:val="1"/>
                <w:bCs w:val="1"/>
                <w:color w:val="auto"/>
                <w:w w:val="93"/>
              </w:rPr>
              <w:t>Nine Months Ended</w:t>
            </w: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1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5"/>
          </w:tcPr>
          <w:p>
            <w:pPr>
              <w:ind w:left="320"/>
              <w:spacing w:after="0"/>
              <w:rPr>
                <w:sz w:val="20"/>
                <w:szCs w:val="20"/>
                <w:color w:val="auto"/>
              </w:rPr>
            </w:pPr>
            <w:r>
              <w:rPr>
                <w:rFonts w:ascii="Arial" w:cs="Arial" w:eastAsia="Arial" w:hAnsi="Arial"/>
                <w:sz w:val="14"/>
                <w:szCs w:val="14"/>
                <w:b w:val="1"/>
                <w:bCs w:val="1"/>
                <w:color w:val="auto"/>
              </w:rPr>
              <w:t>September 30,</w:t>
            </w:r>
          </w:p>
        </w:tc>
        <w:tc>
          <w:tcPr>
            <w:tcW w:w="9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5"/>
          </w:tcPr>
          <w:p>
            <w:pPr>
              <w:jc w:val="center"/>
              <w:ind w:right="200"/>
              <w:spacing w:after="0"/>
              <w:rPr>
                <w:sz w:val="20"/>
                <w:szCs w:val="20"/>
                <w:color w:val="auto"/>
              </w:rPr>
            </w:pPr>
            <w:r>
              <w:rPr>
                <w:rFonts w:ascii="Arial" w:cs="Arial" w:eastAsia="Arial" w:hAnsi="Arial"/>
                <w:sz w:val="14"/>
                <w:szCs w:val="14"/>
                <w:b w:val="1"/>
                <w:bCs w:val="1"/>
                <w:color w:val="auto"/>
                <w:w w:val="91"/>
              </w:rPr>
              <w:t>September 30,</w:t>
            </w: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30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13"/>
                <w:szCs w:val="13"/>
                <w:color w:val="auto"/>
              </w:rPr>
            </w:pPr>
          </w:p>
        </w:tc>
        <w:tc>
          <w:tcPr>
            <w:tcW w:w="640" w:type="dxa"/>
            <w:vAlign w:val="bottom"/>
            <w:vMerge w:val="restart"/>
          </w:tcPr>
          <w:p>
            <w:pPr>
              <w:jc w:val="right"/>
              <w:ind w:right="194"/>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vMerge w:val="restart"/>
          </w:tcPr>
          <w:p>
            <w:pPr>
              <w:jc w:val="right"/>
              <w:ind w:right="199"/>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20" w:type="dxa"/>
            <w:vAlign w:val="bottom"/>
            <w:gridSpan w:val="2"/>
          </w:tcPr>
          <w:p>
            <w:pPr>
              <w:jc w:val="right"/>
              <w:ind w:right="300"/>
              <w:spacing w:after="0" w:line="153" w:lineRule="exact"/>
              <w:rPr>
                <w:sz w:val="20"/>
                <w:szCs w:val="20"/>
                <w:color w:val="auto"/>
              </w:rPr>
            </w:pPr>
            <w:r>
              <w:rPr>
                <w:rFonts w:ascii="Arial" w:cs="Arial" w:eastAsia="Arial" w:hAnsi="Arial"/>
                <w:sz w:val="14"/>
                <w:szCs w:val="14"/>
                <w:b w:val="1"/>
                <w:bCs w:val="1"/>
                <w:color w:val="auto"/>
                <w:w w:val="97"/>
              </w:rPr>
              <w:t>Change</w:t>
            </w:r>
          </w:p>
        </w:tc>
        <w:tc>
          <w:tcPr>
            <w:tcW w:w="1040" w:type="dxa"/>
            <w:vAlign w:val="bottom"/>
            <w:gridSpan w:val="2"/>
          </w:tcPr>
          <w:p>
            <w:pPr>
              <w:ind w:left="220"/>
              <w:spacing w:after="0" w:line="153" w:lineRule="exact"/>
              <w:rPr>
                <w:sz w:val="20"/>
                <w:szCs w:val="20"/>
                <w:color w:val="auto"/>
              </w:rPr>
            </w:pPr>
            <w:r>
              <w:rPr>
                <w:rFonts w:ascii="Arial" w:cs="Arial" w:eastAsia="Arial" w:hAnsi="Arial"/>
                <w:sz w:val="14"/>
                <w:szCs w:val="14"/>
                <w:b w:val="1"/>
                <w:bCs w:val="1"/>
                <w:color w:val="auto"/>
              </w:rPr>
              <w:t>Change</w:t>
            </w:r>
          </w:p>
        </w:tc>
        <w:tc>
          <w:tcPr>
            <w:tcW w:w="180" w:type="dxa"/>
            <w:vAlign w:val="bottom"/>
          </w:tcPr>
          <w:p>
            <w:pPr>
              <w:spacing w:after="0"/>
              <w:rPr>
                <w:sz w:val="13"/>
                <w:szCs w:val="13"/>
                <w:color w:val="auto"/>
              </w:rPr>
            </w:pPr>
          </w:p>
        </w:tc>
        <w:tc>
          <w:tcPr>
            <w:tcW w:w="660" w:type="dxa"/>
            <w:vAlign w:val="bottom"/>
            <w:vMerge w:val="restart"/>
          </w:tcPr>
          <w:p>
            <w:pPr>
              <w:jc w:val="right"/>
              <w:ind w:right="194"/>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vMerge w:val="restart"/>
          </w:tcPr>
          <w:p>
            <w:pPr>
              <w:jc w:val="right"/>
              <w:ind w:right="199"/>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ind w:left="40"/>
              <w:spacing w:after="0" w:line="153" w:lineRule="exact"/>
              <w:rPr>
                <w:sz w:val="20"/>
                <w:szCs w:val="20"/>
                <w:color w:val="auto"/>
              </w:rPr>
            </w:pPr>
            <w:r>
              <w:rPr>
                <w:rFonts w:ascii="Arial" w:cs="Arial" w:eastAsia="Arial" w:hAnsi="Arial"/>
                <w:sz w:val="14"/>
                <w:szCs w:val="14"/>
                <w:b w:val="1"/>
                <w:bCs w:val="1"/>
                <w:color w:val="auto"/>
              </w:rPr>
              <w:t>Change</w:t>
            </w:r>
          </w:p>
        </w:tc>
        <w:tc>
          <w:tcPr>
            <w:tcW w:w="940" w:type="dxa"/>
            <w:vAlign w:val="bottom"/>
          </w:tcPr>
          <w:p>
            <w:pPr>
              <w:jc w:val="right"/>
              <w:ind w:right="157"/>
              <w:spacing w:after="0" w:line="153" w:lineRule="exact"/>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58"/>
        </w:trPr>
        <w:tc>
          <w:tcPr>
            <w:tcW w:w="3080" w:type="dxa"/>
            <w:vAlign w:val="bottom"/>
            <w:gridSpan w:val="3"/>
            <w:vMerge w:val="continue"/>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jc w:val="right"/>
              <w:ind w:right="297"/>
              <w:spacing w:after="0" w:line="158"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920" w:type="dxa"/>
            <w:vAlign w:val="bottom"/>
          </w:tcPr>
          <w:p>
            <w:pPr>
              <w:jc w:val="right"/>
              <w:ind w:right="317"/>
              <w:spacing w:after="0" w:line="158"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ind w:right="317"/>
              <w:spacing w:after="0" w:line="158" w:lineRule="exact"/>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3"/>
                <w:szCs w:val="13"/>
                <w:color w:val="auto"/>
              </w:rPr>
            </w:pPr>
          </w:p>
        </w:tc>
        <w:tc>
          <w:tcPr>
            <w:tcW w:w="940" w:type="dxa"/>
            <w:vAlign w:val="bottom"/>
          </w:tcPr>
          <w:p>
            <w:pPr>
              <w:jc w:val="right"/>
              <w:ind w:right="317"/>
              <w:spacing w:after="0" w:line="158"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21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308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3,196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2,685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511</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13,265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7,985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5,280</w:t>
            </w: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66.1%</w:t>
            </w:r>
          </w:p>
        </w:tc>
        <w:tc>
          <w:tcPr>
            <w:tcW w:w="0" w:type="dxa"/>
            <w:vAlign w:val="bottom"/>
          </w:tcPr>
          <w:p>
            <w:pPr>
              <w:spacing w:after="0"/>
              <w:rPr>
                <w:sz w:val="1"/>
                <w:szCs w:val="1"/>
                <w:color w:val="auto"/>
              </w:rPr>
            </w:pPr>
          </w:p>
        </w:tc>
      </w:tr>
      <w:tr>
        <w:trPr>
          <w:trHeight w:val="243"/>
        </w:trPr>
        <w:tc>
          <w:tcPr>
            <w:tcW w:w="3080" w:type="dxa"/>
            <w:vAlign w:val="bottom"/>
            <w:gridSpan w:val="3"/>
          </w:tcPr>
          <w:p>
            <w:pPr>
              <w:ind w:left="40"/>
              <w:spacing w:after="0"/>
              <w:rPr>
                <w:sz w:val="20"/>
                <w:szCs w:val="20"/>
                <w:color w:val="auto"/>
              </w:rPr>
            </w:pPr>
            <w:r>
              <w:rPr>
                <w:rFonts w:ascii="Arial" w:cs="Arial" w:eastAsia="Arial" w:hAnsi="Arial"/>
                <w:sz w:val="18"/>
                <w:szCs w:val="18"/>
                <w:color w:val="auto"/>
              </w:rPr>
              <w:t>International</w:t>
            </w:r>
          </w:p>
        </w:tc>
        <w:tc>
          <w:tcPr>
            <w:tcW w:w="20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358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40" w:type="dxa"/>
            <w:vAlign w:val="bottom"/>
          </w:tcPr>
          <w:p>
            <w:pPr>
              <w:jc w:val="right"/>
              <w:ind w:right="19"/>
              <w:spacing w:after="0"/>
              <w:rPr>
                <w:sz w:val="20"/>
                <w:szCs w:val="20"/>
                <w:color w:val="auto"/>
              </w:rPr>
            </w:pPr>
            <w:r>
              <w:rPr>
                <w:rFonts w:ascii="Arial" w:cs="Arial" w:eastAsia="Arial" w:hAnsi="Arial"/>
                <w:sz w:val="18"/>
                <w:szCs w:val="18"/>
                <w:color w:val="auto"/>
              </w:rPr>
              <w:t>164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00" w:type="dxa"/>
            <w:vAlign w:val="bottom"/>
          </w:tcPr>
          <w:p>
            <w:pPr>
              <w:jc w:val="right"/>
              <w:ind w:right="17"/>
              <w:spacing w:after="0"/>
              <w:rPr>
                <w:sz w:val="20"/>
                <w:szCs w:val="20"/>
                <w:color w:val="auto"/>
              </w:rPr>
            </w:pPr>
            <w:r>
              <w:rPr>
                <w:rFonts w:ascii="Arial" w:cs="Arial" w:eastAsia="Arial" w:hAnsi="Arial"/>
                <w:sz w:val="18"/>
                <w:szCs w:val="18"/>
                <w:color w:val="auto"/>
              </w:rPr>
              <w:t>194</w:t>
            </w:r>
          </w:p>
        </w:tc>
        <w:tc>
          <w:tcPr>
            <w:tcW w:w="1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118.3%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Arial" w:cs="Arial" w:eastAsia="Arial" w:hAnsi="Arial"/>
                <w:sz w:val="18"/>
                <w:szCs w:val="18"/>
                <w:color w:val="auto"/>
              </w:rPr>
              <w:t>884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60" w:type="dxa"/>
            <w:vAlign w:val="bottom"/>
          </w:tcPr>
          <w:p>
            <w:pPr>
              <w:jc w:val="right"/>
              <w:ind w:right="19"/>
              <w:spacing w:after="0"/>
              <w:rPr>
                <w:sz w:val="20"/>
                <w:szCs w:val="20"/>
                <w:color w:val="auto"/>
              </w:rPr>
            </w:pPr>
            <w:r>
              <w:rPr>
                <w:rFonts w:ascii="Arial" w:cs="Arial" w:eastAsia="Arial" w:hAnsi="Arial"/>
                <w:sz w:val="18"/>
                <w:szCs w:val="18"/>
                <w:color w:val="auto"/>
              </w:rPr>
              <w:t>508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00" w:type="dxa"/>
            <w:vAlign w:val="bottom"/>
          </w:tcPr>
          <w:p>
            <w:pPr>
              <w:jc w:val="right"/>
              <w:ind w:right="17"/>
              <w:spacing w:after="0"/>
              <w:rPr>
                <w:sz w:val="20"/>
                <w:szCs w:val="20"/>
                <w:color w:val="auto"/>
              </w:rPr>
            </w:pPr>
            <w:r>
              <w:rPr>
                <w:rFonts w:ascii="Arial" w:cs="Arial" w:eastAsia="Arial" w:hAnsi="Arial"/>
                <w:sz w:val="18"/>
                <w:szCs w:val="18"/>
                <w:color w:val="auto"/>
              </w:rPr>
              <w:t>376</w:t>
            </w:r>
          </w:p>
        </w:tc>
        <w:tc>
          <w:tcPr>
            <w:tcW w:w="1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74.0%</w:t>
            </w: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880" w:type="dxa"/>
            <w:vAlign w:val="bottom"/>
            <w:tcBorders>
              <w:bottom w:val="single" w:sz="8" w:color="CCEEFF"/>
            </w:tcBorders>
          </w:tcPr>
          <w:p>
            <w:pPr>
              <w:spacing w:after="0"/>
              <w:rPr>
                <w:sz w:val="2"/>
                <w:szCs w:val="2"/>
                <w:color w:val="auto"/>
              </w:rPr>
            </w:pPr>
          </w:p>
        </w:tc>
        <w:tc>
          <w:tcPr>
            <w:tcW w:w="21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0" w:type="dxa"/>
            <w:vAlign w:val="bottom"/>
            <w:tcBorders>
              <w:bottom w:val="single" w:sz="8" w:color="CCEEFF"/>
            </w:tcBorders>
            <w:shd w:val="clear" w:color="auto" w:fill="CCEEFF"/>
          </w:tcPr>
          <w:p>
            <w:pPr>
              <w:spacing w:after="0"/>
              <w:rPr>
                <w:sz w:val="22"/>
                <w:szCs w:val="22"/>
                <w:color w:val="auto"/>
              </w:rPr>
            </w:pPr>
          </w:p>
        </w:tc>
        <w:tc>
          <w:tcPr>
            <w:tcW w:w="3040" w:type="dxa"/>
            <w:vAlign w:val="bottom"/>
            <w:tcBorders>
              <w:bottom w:val="single" w:sz="8" w:color="CCEEFF"/>
            </w:tcBorders>
            <w:gridSpan w:val="2"/>
            <w:shd w:val="clear" w:color="auto" w:fill="CCEEFF"/>
          </w:tcPr>
          <w:p>
            <w:pPr>
              <w:ind w:left="340"/>
              <w:spacing w:after="0"/>
              <w:rPr>
                <w:sz w:val="20"/>
                <w:szCs w:val="20"/>
                <w:color w:val="auto"/>
              </w:rPr>
            </w:pPr>
            <w:r>
              <w:rPr>
                <w:rFonts w:ascii="Arial" w:cs="Arial" w:eastAsia="Arial" w:hAnsi="Arial"/>
                <w:sz w:val="18"/>
                <w:szCs w:val="18"/>
                <w:color w:val="auto"/>
              </w:rPr>
              <w:t>Total research and development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3,554</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2,849</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705</w:t>
            </w:r>
          </w:p>
        </w:tc>
        <w:tc>
          <w:tcPr>
            <w:tcW w:w="12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14,149</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8,493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5,656</w:t>
            </w:r>
          </w:p>
        </w:tc>
        <w:tc>
          <w:tcPr>
            <w:tcW w:w="10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66.6%</w:t>
            </w:r>
          </w:p>
        </w:tc>
        <w:tc>
          <w:tcPr>
            <w:tcW w:w="0" w:type="dxa"/>
            <w:vAlign w:val="bottom"/>
          </w:tcPr>
          <w:p>
            <w:pPr>
              <w:spacing w:after="0"/>
              <w:rPr>
                <w:sz w:val="1"/>
                <w:szCs w:val="1"/>
                <w:color w:val="auto"/>
              </w:rPr>
            </w:pPr>
          </w:p>
        </w:tc>
      </w:tr>
      <w:tr>
        <w:trPr>
          <w:trHeight w:val="20"/>
        </w:trPr>
        <w:tc>
          <w:tcPr>
            <w:tcW w:w="4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21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500" w:firstLine="405"/>
        <w:spacing w:after="0" w:line="277" w:lineRule="auto"/>
        <w:rPr>
          <w:sz w:val="20"/>
          <w:szCs w:val="20"/>
          <w:color w:val="auto"/>
        </w:rPr>
      </w:pPr>
      <w:r>
        <w:rPr>
          <w:rFonts w:ascii="Arial" w:cs="Arial" w:eastAsia="Arial" w:hAnsi="Arial"/>
          <w:sz w:val="18"/>
          <w:szCs w:val="18"/>
          <w:color w:val="auto"/>
        </w:rPr>
        <w:t>The increase in the U.S. segment research and development expenses for the three months ended September 30, 2017 over the prior year period is primarily due to an increase in higher employee-related expenses.</w:t>
      </w:r>
    </w:p>
    <w:p>
      <w:pPr>
        <w:spacing w:after="0" w:line="184" w:lineRule="exact"/>
        <w:rPr>
          <w:sz w:val="20"/>
          <w:szCs w:val="20"/>
          <w:color w:val="auto"/>
        </w:rPr>
      </w:pPr>
    </w:p>
    <w:p>
      <w:pPr>
        <w:ind w:right="280" w:firstLine="405"/>
        <w:spacing w:after="0" w:line="259" w:lineRule="auto"/>
        <w:rPr>
          <w:sz w:val="20"/>
          <w:szCs w:val="20"/>
          <w:color w:val="auto"/>
        </w:rPr>
      </w:pPr>
      <w:r>
        <w:rPr>
          <w:rFonts w:ascii="Arial" w:cs="Arial" w:eastAsia="Arial" w:hAnsi="Arial"/>
          <w:sz w:val="18"/>
          <w:szCs w:val="18"/>
          <w:color w:val="auto"/>
        </w:rPr>
        <w:t>The increase in the U.S. segment research and development expenses for the nine months ended September 30, 2017 over the prior year period is primarily due to an increase in depreciation expense and other charges as a result of the scheduled decommissioning of certain long-lived assets associated with research and development operations as well as higher employee-related expenses, partially offset by lower pharmacovigilance expenses due to the transition to a new vendor in the prior year.</w:t>
      </w:r>
    </w:p>
    <w:p>
      <w:pPr>
        <w:spacing w:after="0" w:line="200" w:lineRule="exact"/>
        <w:rPr>
          <w:sz w:val="20"/>
          <w:szCs w:val="20"/>
          <w:color w:val="auto"/>
        </w:rPr>
      </w:pPr>
    </w:p>
    <w:p>
      <w:pPr>
        <w:ind w:right="100" w:firstLine="405"/>
        <w:spacing w:after="0" w:line="277" w:lineRule="auto"/>
        <w:rPr>
          <w:sz w:val="20"/>
          <w:szCs w:val="20"/>
          <w:color w:val="auto"/>
        </w:rPr>
      </w:pPr>
      <w:r>
        <w:rPr>
          <w:rFonts w:ascii="Arial" w:cs="Arial" w:eastAsia="Arial" w:hAnsi="Arial"/>
          <w:sz w:val="18"/>
          <w:szCs w:val="18"/>
          <w:color w:val="auto"/>
        </w:rPr>
        <w:t>The increases in International segment research and development expenses for the three and nine months ended September 30, 2017 over the prior year periods were driven by a European Phase IV study for one of our products.</w:t>
      </w: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Sales of Assets</w:t>
      </w:r>
    </w:p>
    <w:p>
      <w:pPr>
        <w:spacing w:after="0" w:line="117" w:lineRule="exact"/>
        <w:rPr>
          <w:sz w:val="20"/>
          <w:szCs w:val="20"/>
          <w:color w:val="auto"/>
        </w:rPr>
      </w:pPr>
    </w:p>
    <w:p>
      <w:pPr>
        <w:ind w:right="200" w:firstLine="405"/>
        <w:spacing w:after="0" w:line="279" w:lineRule="auto"/>
        <w:rPr>
          <w:sz w:val="20"/>
          <w:szCs w:val="20"/>
          <w:color w:val="auto"/>
        </w:rPr>
      </w:pPr>
      <w:r>
        <w:rPr>
          <w:rFonts w:ascii="Arial" w:cs="Arial" w:eastAsia="Arial" w:hAnsi="Arial"/>
          <w:sz w:val="17"/>
          <w:szCs w:val="17"/>
          <w:color w:val="auto"/>
        </w:rPr>
        <w:t>Effective January 7, 2016, our Canadian subsidiary entered into an asset purchase agreement, pursuant to which it would sell substantially all of the assets of our Canadian radiopharmacies and Gludef manufacturing and distribution business to one of our existing Canadian radiopharmacy customers. The purchase price for the asset sale was $9.0 million in cash and also included a working capital adjustment of $0.5 million, resulting in a pre-tax gain of $5.9 million recorded within operating income during the nine months ended September 30, 2016.</w:t>
      </w:r>
    </w:p>
    <w:p>
      <w:pPr>
        <w:spacing w:after="0" w:line="185" w:lineRule="exact"/>
        <w:rPr>
          <w:sz w:val="20"/>
          <w:szCs w:val="20"/>
          <w:color w:val="auto"/>
        </w:rPr>
      </w:pPr>
    </w:p>
    <w:p>
      <w:pPr>
        <w:ind w:firstLine="405"/>
        <w:spacing w:after="0" w:line="257" w:lineRule="auto"/>
        <w:rPr>
          <w:sz w:val="20"/>
          <w:szCs w:val="20"/>
          <w:color w:val="auto"/>
        </w:rPr>
      </w:pPr>
      <w:r>
        <w:rPr>
          <w:rFonts w:ascii="Arial" w:cs="Arial" w:eastAsia="Arial" w:hAnsi="Arial"/>
          <w:sz w:val="18"/>
          <w:szCs w:val="18"/>
          <w:color w:val="auto"/>
        </w:rPr>
        <w:t>Effective August 11, 2016, we entered into a share purchase agreement, pursuant to which we sold 100% of the stock of our Australian subsidiary to one of our existing radiopharmacy customers. This sale included the radiopharmacy business as well as all the direct/bulk business. The sale price for the share sale was AUD$2.0 million (approximately $1.5 million U.S. Dollars) in cash and also included a working capital receivable adjustment of approximately AUD$2.0 million (approximately $1.5 million U.S. Dollars), resulting in a pre-tax book gain of $0.6 million, which was recorded within operating income for the nine months ended September 30, 2016.</w:t>
      </w:r>
    </w:p>
    <w:p>
      <w:pPr>
        <w:spacing w:after="0" w:line="3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117" w:lineRule="exact"/>
        <w:rPr>
          <w:sz w:val="20"/>
          <w:szCs w:val="20"/>
          <w:color w:val="auto"/>
        </w:rPr>
      </w:pPr>
    </w:p>
    <w:p>
      <w:pPr>
        <w:jc w:val="both"/>
        <w:ind w:right="320" w:firstLine="405"/>
        <w:spacing w:after="0" w:line="286" w:lineRule="auto"/>
        <w:rPr>
          <w:sz w:val="20"/>
          <w:szCs w:val="20"/>
          <w:color w:val="auto"/>
        </w:rPr>
      </w:pPr>
      <w:r>
        <w:rPr>
          <w:rFonts w:ascii="Arial" w:cs="Arial" w:eastAsia="Arial" w:hAnsi="Arial"/>
          <w:sz w:val="17"/>
          <w:szCs w:val="17"/>
          <w:color w:val="auto"/>
        </w:rPr>
        <w:t>Interest expense decreased by approximately $2.4 million and $6.7 million for the three and nine months ended September 30, 2017, respectively, as compared to the prior year periods, due to the March 2017 refinancing of our long-term debt and reductions in the principal balance of our long-term debt related to the 2017 refinancing and the voluntary principal prepayments we made during September and November 2016.</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on Extinguishment of Debt</w:t>
      </w:r>
    </w:p>
    <w:p>
      <w:pPr>
        <w:spacing w:after="0" w:line="117" w:lineRule="exact"/>
        <w:rPr>
          <w:sz w:val="20"/>
          <w:szCs w:val="20"/>
          <w:color w:val="auto"/>
        </w:rPr>
      </w:pPr>
    </w:p>
    <w:p>
      <w:pPr>
        <w:ind w:right="220" w:firstLine="405"/>
        <w:spacing w:after="0" w:line="264" w:lineRule="auto"/>
        <w:rPr>
          <w:sz w:val="20"/>
          <w:szCs w:val="20"/>
          <w:color w:val="auto"/>
        </w:rPr>
      </w:pPr>
      <w:r>
        <w:rPr>
          <w:rFonts w:ascii="Arial" w:cs="Arial" w:eastAsia="Arial" w:hAnsi="Arial"/>
          <w:sz w:val="18"/>
          <w:szCs w:val="18"/>
          <w:color w:val="auto"/>
        </w:rPr>
        <w:t>For the nine months ended September 30, 2017, we incurred a $2.2 million loss on extinguishment of debt in connection with the refinancing of our existing indebtedness with the new term loan and revolving credit facilities, see Note 8, “Financing Arrangements” to our condensed consolidated financial statements.</w:t>
      </w:r>
    </w:p>
    <w:p>
      <w:pPr>
        <w:spacing w:after="0" w:line="200" w:lineRule="exact"/>
        <w:rPr>
          <w:sz w:val="20"/>
          <w:szCs w:val="20"/>
          <w:color w:val="auto"/>
        </w:rPr>
      </w:pPr>
    </w:p>
    <w:p>
      <w:pPr>
        <w:spacing w:after="0" w:line="238"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121"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11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Provision for income taxes for the periods presented is as follows:</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00" w:type="dxa"/>
            <w:vAlign w:val="bottom"/>
            <w:gridSpan w:val="5"/>
          </w:tcPr>
          <w:p>
            <w:pPr>
              <w:jc w:val="center"/>
              <w:ind w:right="80"/>
              <w:spacing w:after="0"/>
              <w:rPr>
                <w:sz w:val="20"/>
                <w:szCs w:val="20"/>
                <w:color w:val="auto"/>
              </w:rPr>
            </w:pPr>
            <w:r>
              <w:rPr>
                <w:rFonts w:ascii="Arial" w:cs="Arial" w:eastAsia="Arial" w:hAnsi="Arial"/>
                <w:sz w:val="14"/>
                <w:szCs w:val="14"/>
                <w:b w:val="1"/>
                <w:bCs w:val="1"/>
                <w:color w:val="auto"/>
                <w:w w:val="93"/>
              </w:rPr>
              <w:t>Three Months Ended</w:t>
            </w: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0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94"/>
              </w:rPr>
              <w:t>Nine Months Ended</w:t>
            </w: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5"/>
          </w:tcPr>
          <w:p>
            <w:pPr>
              <w:jc w:val="center"/>
              <w:ind w:right="60"/>
              <w:spacing w:after="0"/>
              <w:rPr>
                <w:sz w:val="20"/>
                <w:szCs w:val="20"/>
                <w:color w:val="auto"/>
              </w:rPr>
            </w:pPr>
            <w:r>
              <w:rPr>
                <w:rFonts w:ascii="Arial" w:cs="Arial" w:eastAsia="Arial" w:hAnsi="Arial"/>
                <w:sz w:val="14"/>
                <w:szCs w:val="14"/>
                <w:b w:val="1"/>
                <w:bCs w:val="1"/>
                <w:color w:val="auto"/>
                <w:w w:val="91"/>
              </w:rPr>
              <w:t>September 30,</w:t>
            </w:r>
          </w:p>
        </w:tc>
        <w:tc>
          <w:tcPr>
            <w:tcW w:w="10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4"/>
          </w:tcPr>
          <w:p>
            <w:pPr>
              <w:jc w:val="center"/>
              <w:ind w:right="220"/>
              <w:spacing w:after="0"/>
              <w:rPr>
                <w:sz w:val="20"/>
                <w:szCs w:val="20"/>
                <w:color w:val="auto"/>
              </w:rPr>
            </w:pPr>
            <w:r>
              <w:rPr>
                <w:rFonts w:ascii="Arial" w:cs="Arial" w:eastAsia="Arial" w:hAnsi="Arial"/>
                <w:sz w:val="14"/>
                <w:szCs w:val="14"/>
                <w:b w:val="1"/>
                <w:bCs w:val="1"/>
                <w:color w:val="auto"/>
                <w:w w:val="91"/>
              </w:rPr>
              <w:t>September 30,</w:t>
            </w: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82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13"/>
                <w:szCs w:val="13"/>
                <w:color w:val="auto"/>
              </w:rPr>
            </w:pPr>
          </w:p>
        </w:tc>
        <w:tc>
          <w:tcPr>
            <w:tcW w:w="640" w:type="dxa"/>
            <w:vAlign w:val="bottom"/>
            <w:vMerge w:val="restart"/>
          </w:tcPr>
          <w:p>
            <w:pPr>
              <w:jc w:val="right"/>
              <w:ind w:right="199"/>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vMerge w:val="restart"/>
          </w:tcPr>
          <w:p>
            <w:pPr>
              <w:jc w:val="right"/>
              <w:ind w:right="204"/>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89"/>
              </w:rPr>
              <w:t>Change</w:t>
            </w:r>
          </w:p>
        </w:tc>
        <w:tc>
          <w:tcPr>
            <w:tcW w:w="1360" w:type="dxa"/>
            <w:vAlign w:val="bottom"/>
            <w:gridSpan w:val="3"/>
          </w:tcPr>
          <w:p>
            <w:pPr>
              <w:jc w:val="center"/>
              <w:ind w:right="320"/>
              <w:spacing w:after="0" w:line="153" w:lineRule="exact"/>
              <w:rPr>
                <w:sz w:val="20"/>
                <w:szCs w:val="20"/>
                <w:color w:val="auto"/>
              </w:rPr>
            </w:pPr>
            <w:r>
              <w:rPr>
                <w:rFonts w:ascii="Arial" w:cs="Arial" w:eastAsia="Arial" w:hAnsi="Arial"/>
                <w:sz w:val="14"/>
                <w:szCs w:val="14"/>
                <w:b w:val="1"/>
                <w:bCs w:val="1"/>
                <w:color w:val="auto"/>
                <w:w w:val="93"/>
              </w:rPr>
              <w:t>Change</w:t>
            </w:r>
          </w:p>
        </w:tc>
        <w:tc>
          <w:tcPr>
            <w:tcW w:w="640" w:type="dxa"/>
            <w:vAlign w:val="bottom"/>
            <w:vMerge w:val="restart"/>
          </w:tcPr>
          <w:p>
            <w:pPr>
              <w:jc w:val="right"/>
              <w:ind w:right="199"/>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vMerge w:val="restart"/>
          </w:tcPr>
          <w:p>
            <w:pPr>
              <w:jc w:val="right"/>
              <w:ind w:right="204"/>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3"/>
                <w:szCs w:val="13"/>
                <w:color w:val="auto"/>
              </w:rPr>
            </w:pPr>
          </w:p>
        </w:tc>
        <w:tc>
          <w:tcPr>
            <w:tcW w:w="96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3"/>
              </w:rPr>
              <w:t>Change</w:t>
            </w:r>
          </w:p>
        </w:tc>
        <w:tc>
          <w:tcPr>
            <w:tcW w:w="90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89"/>
              </w:rPr>
              <w:t>Change</w:t>
            </w:r>
          </w:p>
        </w:tc>
        <w:tc>
          <w:tcPr>
            <w:tcW w:w="0" w:type="dxa"/>
            <w:vAlign w:val="bottom"/>
          </w:tcPr>
          <w:p>
            <w:pPr>
              <w:spacing w:after="0"/>
              <w:rPr>
                <w:sz w:val="1"/>
                <w:szCs w:val="1"/>
                <w:color w:val="auto"/>
              </w:rPr>
            </w:pPr>
          </w:p>
        </w:tc>
      </w:tr>
      <w:tr>
        <w:trPr>
          <w:trHeight w:val="158"/>
        </w:trPr>
        <w:tc>
          <w:tcPr>
            <w:tcW w:w="2820" w:type="dxa"/>
            <w:vAlign w:val="bottom"/>
            <w:gridSpan w:val="3"/>
            <w:vMerge w:val="continue"/>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80" w:type="dxa"/>
            <w:vAlign w:val="bottom"/>
          </w:tcPr>
          <w:p>
            <w:pPr>
              <w:jc w:val="right"/>
              <w:ind w:right="302"/>
              <w:spacing w:after="0" w:line="158"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1040" w:type="dxa"/>
            <w:vAlign w:val="bottom"/>
          </w:tcPr>
          <w:p>
            <w:pPr>
              <w:jc w:val="right"/>
              <w:ind w:right="362"/>
              <w:spacing w:after="0" w:line="158"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tcPr>
          <w:p>
            <w:pPr>
              <w:jc w:val="right"/>
              <w:ind w:right="302"/>
              <w:spacing w:after="0" w:line="158"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3"/>
                <w:szCs w:val="13"/>
                <w:color w:val="auto"/>
              </w:rPr>
            </w:pPr>
          </w:p>
        </w:tc>
        <w:tc>
          <w:tcPr>
            <w:tcW w:w="900" w:type="dxa"/>
            <w:vAlign w:val="bottom"/>
          </w:tcPr>
          <w:p>
            <w:pPr>
              <w:jc w:val="right"/>
              <w:ind w:right="302"/>
              <w:spacing w:after="0" w:line="158"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CCEEFF"/>
            </w:tcBorders>
          </w:tcPr>
          <w:p>
            <w:pPr>
              <w:spacing w:after="0" w:line="20" w:lineRule="exact"/>
              <w:rPr>
                <w:sz w:val="1"/>
                <w:szCs w:val="1"/>
                <w:color w:val="auto"/>
              </w:rPr>
            </w:pPr>
          </w:p>
        </w:tc>
        <w:tc>
          <w:tcPr>
            <w:tcW w:w="19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7"/>
        </w:trPr>
        <w:tc>
          <w:tcPr>
            <w:tcW w:w="282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762</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CEEFF"/>
          </w:tcPr>
          <w:p>
            <w:pPr>
              <w:jc w:val="right"/>
              <w:ind w:right="24"/>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ind w:right="2"/>
              <w:spacing w:after="0"/>
              <w:rPr>
                <w:sz w:val="20"/>
                <w:szCs w:val="20"/>
                <w:color w:val="auto"/>
              </w:rPr>
            </w:pPr>
            <w:r>
              <w:rPr>
                <w:rFonts w:ascii="Arial" w:cs="Arial" w:eastAsia="Arial" w:hAnsi="Arial"/>
                <w:sz w:val="18"/>
                <w:szCs w:val="18"/>
                <w:color w:val="auto"/>
              </w:rPr>
              <w:t>742</w:t>
            </w:r>
          </w:p>
        </w:tc>
        <w:tc>
          <w:tcPr>
            <w:tcW w:w="120" w:type="dxa"/>
            <w:vAlign w:val="bottom"/>
            <w:shd w:val="clear" w:color="auto" w:fill="CCEEFF"/>
          </w:tcPr>
          <w:p>
            <w:pPr>
              <w:spacing w:after="0"/>
              <w:rPr>
                <w:sz w:val="20"/>
                <w:szCs w:val="20"/>
                <w:color w:val="auto"/>
              </w:rPr>
            </w:pPr>
          </w:p>
        </w:tc>
        <w:tc>
          <w:tcPr>
            <w:tcW w:w="13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&gt;1,000%  $</w:t>
            </w:r>
          </w:p>
        </w:tc>
        <w:tc>
          <w:tcPr>
            <w:tcW w:w="64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2,116</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CEEFF"/>
          </w:tcPr>
          <w:p>
            <w:pPr>
              <w:jc w:val="right"/>
              <w:ind w:right="24"/>
              <w:spacing w:after="0"/>
              <w:rPr>
                <w:sz w:val="20"/>
                <w:szCs w:val="20"/>
                <w:color w:val="auto"/>
              </w:rPr>
            </w:pPr>
            <w:r>
              <w:rPr>
                <w:rFonts w:ascii="Arial" w:cs="Arial" w:eastAsia="Arial" w:hAnsi="Arial"/>
                <w:sz w:val="18"/>
                <w:szCs w:val="18"/>
                <w:color w:val="auto"/>
              </w:rPr>
              <w:t>657</w:t>
            </w:r>
          </w:p>
        </w:tc>
        <w:tc>
          <w:tcPr>
            <w:tcW w:w="100" w:type="dxa"/>
            <w:vAlign w:val="bottom"/>
            <w:shd w:val="clear" w:color="auto" w:fill="CCEEFF"/>
          </w:tcPr>
          <w:p>
            <w:pPr>
              <w:spacing w:after="0"/>
              <w:rPr>
                <w:sz w:val="20"/>
                <w:szCs w:val="20"/>
                <w:color w:val="auto"/>
              </w:rPr>
            </w:pPr>
          </w:p>
        </w:tc>
        <w:tc>
          <w:tcPr>
            <w:tcW w:w="84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   1,459</w:t>
            </w:r>
          </w:p>
        </w:tc>
        <w:tc>
          <w:tcPr>
            <w:tcW w:w="12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222.1%</w:t>
            </w:r>
          </w:p>
        </w:tc>
        <w:tc>
          <w:tcPr>
            <w:tcW w:w="0" w:type="dxa"/>
            <w:vAlign w:val="bottom"/>
          </w:tcPr>
          <w:p>
            <w:pPr>
              <w:spacing w:after="0"/>
              <w:rPr>
                <w:sz w:val="1"/>
                <w:szCs w:val="1"/>
                <w:color w:val="auto"/>
              </w:rPr>
            </w:pPr>
          </w:p>
        </w:tc>
      </w:tr>
      <w:tr>
        <w:trPr>
          <w:trHeight w:val="27"/>
        </w:trPr>
        <w:tc>
          <w:tcPr>
            <w:tcW w:w="4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c>
          <w:tcPr>
            <w:tcW w:w="19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20" w:firstLine="405"/>
        <w:spacing w:after="0" w:line="302" w:lineRule="auto"/>
        <w:rPr>
          <w:sz w:val="20"/>
          <w:szCs w:val="20"/>
          <w:color w:val="auto"/>
        </w:rPr>
      </w:pPr>
      <w:r>
        <w:rPr>
          <w:rFonts w:ascii="Arial" w:cs="Arial" w:eastAsia="Arial" w:hAnsi="Arial"/>
          <w:sz w:val="16"/>
          <w:szCs w:val="16"/>
          <w:color w:val="auto"/>
        </w:rPr>
        <w:t>Our provision for income taxes results primarily from interest and penalties associated with uncertain tax positions, offset by reversals of those positions as statutes lapse or such positions are settled during the year, as well as taxes due in certain foreign jurisdictions where we generate taxable income. The $0.7 million and $1.5 million increases in the tax provision for the three and nine months ended September 30, 2017, as compared to the same periods in 2016 primarily reflect a reduced amount of statute lapses and consequent liability releases in the current period, when compared with the prior year period.</w:t>
      </w:r>
    </w:p>
    <w:p>
      <w:pPr>
        <w:spacing w:after="0" w:line="168" w:lineRule="exact"/>
        <w:rPr>
          <w:sz w:val="20"/>
          <w:szCs w:val="20"/>
          <w:color w:val="auto"/>
        </w:rPr>
      </w:pPr>
    </w:p>
    <w:p>
      <w:pPr>
        <w:ind w:right="100" w:firstLine="405"/>
        <w:spacing w:after="0" w:line="255" w:lineRule="auto"/>
        <w:rPr>
          <w:sz w:val="20"/>
          <w:szCs w:val="20"/>
          <w:color w:val="auto"/>
        </w:rPr>
      </w:pPr>
      <w:r>
        <w:rPr>
          <w:rFonts w:ascii="Arial" w:cs="Arial" w:eastAsia="Arial" w:hAnsi="Arial"/>
          <w:sz w:val="18"/>
          <w:szCs w:val="18"/>
          <w:color w:val="auto"/>
        </w:rPr>
        <w:t>We regularly assess our ability to realize our deferred tax assets. Assessing the realizability of deferred tax assets requires significant management judgment. In determining whether our deferred tax assets are more likely than not realizable, we evaluated all available positive and negative evidence, and weighed the objective evidence and expected impact. Evidence considered included our history of net operating losses, which resulted in our recording of a full valuation allowance against our domestic net deferred tax assets beginning in 2011, and in each year thereafter. We were profitable on a cumulative basis for the three-year period ended September 30, 2017, but substantially all of that profitability was achieved during 2016 and the nine months ended September 30, 2017.</w:t>
      </w:r>
    </w:p>
    <w:p>
      <w:pPr>
        <w:spacing w:after="0" w:line="207" w:lineRule="exact"/>
        <w:rPr>
          <w:sz w:val="20"/>
          <w:szCs w:val="20"/>
          <w:color w:val="auto"/>
        </w:rPr>
      </w:pPr>
    </w:p>
    <w:p>
      <w:pPr>
        <w:ind w:firstLine="405"/>
        <w:spacing w:after="0" w:line="255" w:lineRule="auto"/>
        <w:rPr>
          <w:sz w:val="20"/>
          <w:szCs w:val="20"/>
          <w:color w:val="auto"/>
        </w:rPr>
      </w:pPr>
      <w:r>
        <w:rPr>
          <w:rFonts w:ascii="Arial" w:cs="Arial" w:eastAsia="Arial" w:hAnsi="Arial"/>
          <w:sz w:val="18"/>
          <w:szCs w:val="18"/>
          <w:color w:val="auto"/>
        </w:rPr>
        <w:t>We continue to evaluate other negative evidence, including customer concentration and contractual risk, the risk of Moly supply availability and cost, DEFINITY supplier risk, and certain product development risks, all of which provide for uncertainties around our future level of profitability. Based on our review of all available evidence, we determined that we have not yet attained a sustained level of profitability sufficient to outweigh the objectively verifiable negative evidence, and have recorded a full valuation allowance against our domestic net deferred tax assets at September 30, 2017. We will continue to assess the level of the valuation allowance required. If a sufficient weight of positive evidence exists in future periods to support a release of some or all of the valuation allowance recorded against domestic deferred tax assets, such a release would likely have a material impact on our results of operations in that future period.</w:t>
      </w:r>
    </w:p>
    <w:p>
      <w:pPr>
        <w:spacing w:after="0" w:line="203"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effective tax rate for the periods presented are as follows:</w:t>
      </w:r>
    </w:p>
    <w:p>
      <w:pPr>
        <w:spacing w:after="0" w:line="392" w:lineRule="exact"/>
        <w:rPr>
          <w:sz w:val="20"/>
          <w:szCs w:val="20"/>
          <w:color w:val="auto"/>
        </w:rPr>
      </w:pPr>
    </w:p>
    <w:p>
      <w:pPr>
        <w:jc w:val="center"/>
        <w:ind w:left="6040"/>
        <w:spacing w:after="0"/>
        <w:rPr>
          <w:sz w:val="20"/>
          <w:szCs w:val="20"/>
          <w:color w:val="auto"/>
        </w:rPr>
      </w:pPr>
      <w:r>
        <w:rPr>
          <w:rFonts w:ascii="Arial" w:cs="Arial" w:eastAsia="Arial" w:hAnsi="Arial"/>
          <w:sz w:val="14"/>
          <w:szCs w:val="14"/>
          <w:b w:val="1"/>
          <w:bCs w:val="1"/>
          <w:color w:val="auto"/>
        </w:rPr>
        <w:t>Nine Months Ended</w:t>
      </w:r>
    </w:p>
    <w:p>
      <w:pPr>
        <w:spacing w:after="0" w:line="4" w:lineRule="exact"/>
        <w:rPr>
          <w:sz w:val="20"/>
          <w:szCs w:val="20"/>
          <w:color w:val="auto"/>
        </w:rPr>
      </w:pPr>
    </w:p>
    <w:p>
      <w:pPr>
        <w:jc w:val="center"/>
        <w:ind w:left="6040"/>
        <w:spacing w:after="0"/>
        <w:rPr>
          <w:sz w:val="20"/>
          <w:szCs w:val="20"/>
          <w:color w:val="auto"/>
        </w:rPr>
      </w:pPr>
      <w:r>
        <w:rPr>
          <w:rFonts w:ascii="Arial" w:cs="Arial" w:eastAsia="Arial" w:hAnsi="Arial"/>
          <w:sz w:val="14"/>
          <w:szCs w:val="14"/>
          <w:b w:val="1"/>
          <w:bCs w:val="1"/>
          <w:color w:val="auto"/>
        </w:rPr>
        <w:t>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4961890</wp:posOffset>
            </wp:positionH>
            <wp:positionV relativeFrom="paragraph">
              <wp:posOffset>13335</wp:posOffset>
            </wp:positionV>
            <wp:extent cx="116649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166495" cy="8890"/>
                    </a:xfrm>
                    <a:prstGeom prst="rect">
                      <a:avLst/>
                    </a:prstGeom>
                    <a:noFill/>
                  </pic:spPr>
                </pic:pic>
              </a:graphicData>
            </a:graphic>
          </wp:anchor>
        </w:drawing>
      </w:r>
    </w:p>
    <w:p>
      <w:pPr>
        <w:spacing w:after="0" w:line="87" w:lineRule="exact"/>
        <w:rPr>
          <w:sz w:val="20"/>
          <w:szCs w:val="20"/>
          <w:color w:val="auto"/>
        </w:rPr>
      </w:pPr>
    </w:p>
    <w:tbl>
      <w:tblPr>
        <w:tblLayout w:type="fixed"/>
        <w:tblInd w:w="1800" w:type="dxa"/>
        <w:tblCellMar>
          <w:top w:w="0" w:type="dxa"/>
          <w:left w:w="0" w:type="dxa"/>
          <w:bottom w:w="0" w:type="dxa"/>
          <w:right w:w="0" w:type="dxa"/>
        </w:tblCellMar>
      </w:tblPr>
      <w:tr>
        <w:trPr>
          <w:trHeight w:val="192"/>
        </w:trPr>
        <w:tc>
          <w:tcPr>
            <w:tcW w:w="6020" w:type="dxa"/>
            <w:vAlign w:val="bottom"/>
            <w:tcBorders>
              <w:bottom w:val="single" w:sz="8" w:color="CCEEFF"/>
            </w:tcBorders>
          </w:tcPr>
          <w:p>
            <w:pPr>
              <w:spacing w:after="0"/>
              <w:rPr>
                <w:sz w:val="16"/>
                <w:szCs w:val="16"/>
                <w:color w:val="auto"/>
              </w:rPr>
            </w:pPr>
          </w:p>
        </w:tc>
        <w:tc>
          <w:tcPr>
            <w:tcW w:w="86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2016</w:t>
            </w:r>
          </w:p>
        </w:tc>
      </w:tr>
      <w:tr>
        <w:trPr>
          <w:trHeight w:val="243"/>
        </w:trPr>
        <w:tc>
          <w:tcPr>
            <w:tcW w:w="6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Effective tax rate</w:t>
            </w:r>
          </w:p>
        </w:tc>
        <w:tc>
          <w:tcPr>
            <w:tcW w:w="860" w:type="dxa"/>
            <w:vAlign w:val="bottom"/>
            <w:shd w:val="clear" w:color="auto" w:fill="CCEEFF"/>
          </w:tcPr>
          <w:p>
            <w:pPr>
              <w:jc w:val="right"/>
              <w:ind w:right="179"/>
              <w:spacing w:after="0"/>
              <w:rPr>
                <w:sz w:val="20"/>
                <w:szCs w:val="20"/>
                <w:color w:val="auto"/>
              </w:rPr>
            </w:pPr>
            <w:r>
              <w:rPr>
                <w:rFonts w:ascii="Arial" w:cs="Arial" w:eastAsia="Arial" w:hAnsi="Arial"/>
                <w:sz w:val="18"/>
                <w:szCs w:val="18"/>
                <w:color w:val="auto"/>
              </w:rPr>
              <w:t>7.5%</w:t>
            </w:r>
          </w:p>
        </w:tc>
        <w:tc>
          <w:tcPr>
            <w:tcW w:w="100" w:type="dxa"/>
            <w:vAlign w:val="bottom"/>
            <w:shd w:val="clear" w:color="auto" w:fill="CCEEFF"/>
          </w:tcPr>
          <w:p>
            <w:pPr>
              <w:spacing w:after="0"/>
              <w:rPr>
                <w:sz w:val="21"/>
                <w:szCs w:val="21"/>
                <w:color w:val="auto"/>
              </w:rPr>
            </w:pPr>
          </w:p>
        </w:tc>
        <w:tc>
          <w:tcPr>
            <w:tcW w:w="880" w:type="dxa"/>
            <w:vAlign w:val="bottom"/>
            <w:shd w:val="clear" w:color="auto" w:fill="CCEEFF"/>
          </w:tcPr>
          <w:p>
            <w:pPr>
              <w:jc w:val="right"/>
              <w:ind w:right="179"/>
              <w:spacing w:after="0"/>
              <w:rPr>
                <w:sz w:val="20"/>
                <w:szCs w:val="20"/>
                <w:color w:val="auto"/>
              </w:rPr>
            </w:pPr>
            <w:r>
              <w:rPr>
                <w:rFonts w:ascii="Arial" w:cs="Arial" w:eastAsia="Arial" w:hAnsi="Arial"/>
                <w:sz w:val="18"/>
                <w:szCs w:val="18"/>
                <w:color w:val="auto"/>
              </w:rPr>
              <w:t>2.9%</w:t>
            </w:r>
          </w:p>
        </w:tc>
      </w:tr>
      <w:tr>
        <w:trPr>
          <w:trHeight w:val="27"/>
        </w:trPr>
        <w:tc>
          <w:tcPr>
            <w:tcW w:w="602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58"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121"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regarding our cash flows: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9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900" w:type="dxa"/>
            <w:vAlign w:val="bottom"/>
            <w:gridSpan w:val="4"/>
          </w:tcPr>
          <w:p>
            <w:pPr>
              <w:jc w:val="right"/>
              <w:ind w:right="354"/>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79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gridSpan w:val="4"/>
          </w:tcPr>
          <w:p>
            <w:pPr>
              <w:jc w:val="right"/>
              <w:ind w:right="534"/>
              <w:spacing w:after="0"/>
              <w:rPr>
                <w:sz w:val="20"/>
                <w:szCs w:val="20"/>
                <w:color w:val="auto"/>
              </w:rPr>
            </w:pPr>
            <w:r>
              <w:rPr>
                <w:rFonts w:ascii="Arial" w:cs="Arial" w:eastAsia="Arial" w:hAnsi="Arial"/>
                <w:sz w:val="14"/>
                <w:szCs w:val="14"/>
                <w:b w:val="1"/>
                <w:bCs w:val="1"/>
                <w:color w:val="auto"/>
              </w:rPr>
              <w:t>September 30,</w:t>
            </w:r>
          </w:p>
        </w:tc>
      </w:tr>
      <w:tr>
        <w:trPr>
          <w:trHeight w:val="264"/>
        </w:trPr>
        <w:tc>
          <w:tcPr>
            <w:tcW w:w="79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thousands)</w:t>
            </w: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74"/>
              <w:spacing w:after="0"/>
              <w:rPr>
                <w:sz w:val="20"/>
                <w:szCs w:val="20"/>
                <w:color w:val="auto"/>
              </w:rPr>
            </w:pPr>
            <w:r>
              <w:rPr>
                <w:rFonts w:ascii="Arial" w:cs="Arial" w:eastAsia="Arial" w:hAnsi="Arial"/>
                <w:sz w:val="14"/>
                <w:szCs w:val="14"/>
                <w:b w:val="1"/>
                <w:bCs w:val="1"/>
                <w:color w:val="auto"/>
              </w:rPr>
              <w:t>2016</w:t>
            </w:r>
          </w:p>
        </w:tc>
      </w:tr>
      <w:tr>
        <w:trPr>
          <w:trHeight w:val="250"/>
        </w:trPr>
        <w:tc>
          <w:tcPr>
            <w:tcW w:w="7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41,691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36,861</w:t>
            </w:r>
          </w:p>
        </w:tc>
      </w:tr>
      <w:tr>
        <w:trPr>
          <w:trHeight w:val="243"/>
        </w:trPr>
        <w:tc>
          <w:tcPr>
            <w:tcW w:w="7920" w:type="dxa"/>
            <w:vAlign w:val="bottom"/>
          </w:tcPr>
          <w:p>
            <w:pPr>
              <w:ind w:left="40"/>
              <w:spacing w:after="0"/>
              <w:rPr>
                <w:sz w:val="20"/>
                <w:szCs w:val="20"/>
                <w:color w:val="auto"/>
              </w:rPr>
            </w:pPr>
            <w:r>
              <w:rPr>
                <w:rFonts w:ascii="Arial" w:cs="Arial" w:eastAsia="Arial" w:hAnsi="Arial"/>
                <w:sz w:val="18"/>
                <w:szCs w:val="18"/>
                <w:color w:val="auto"/>
              </w:rPr>
              <w:t>Net cash (used in) provided by investing activities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Pr>
          <w:p>
            <w:pPr>
              <w:ind w:left="120"/>
              <w:spacing w:after="0"/>
              <w:rPr>
                <w:sz w:val="20"/>
                <w:szCs w:val="20"/>
                <w:color w:val="auto"/>
              </w:rPr>
            </w:pPr>
            <w:r>
              <w:rPr>
                <w:rFonts w:ascii="Arial" w:cs="Arial" w:eastAsia="Arial" w:hAnsi="Arial"/>
                <w:sz w:val="18"/>
                <w:szCs w:val="18"/>
                <w:color w:val="auto"/>
                <w:w w:val="95"/>
              </w:rPr>
              <w:t>(10,355)</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ind w:right="14"/>
              <w:spacing w:after="0"/>
              <w:rPr>
                <w:sz w:val="20"/>
                <w:szCs w:val="20"/>
                <w:color w:val="auto"/>
              </w:rPr>
            </w:pPr>
            <w:r>
              <w:rPr>
                <w:rFonts w:ascii="Arial" w:cs="Arial" w:eastAsia="Arial" w:hAnsi="Arial"/>
                <w:sz w:val="18"/>
                <w:szCs w:val="18"/>
                <w:color w:val="auto"/>
              </w:rPr>
              <w:t>5,639</w:t>
            </w:r>
          </w:p>
        </w:tc>
      </w:tr>
      <w:tr>
        <w:trPr>
          <w:trHeight w:val="27"/>
        </w:trPr>
        <w:tc>
          <w:tcPr>
            <w:tcW w:w="79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43"/>
        </w:trPr>
        <w:tc>
          <w:tcPr>
            <w:tcW w:w="7920" w:type="dxa"/>
            <w:vAlign w:val="bottom"/>
            <w:shd w:val="clear" w:color="auto" w:fill="CCEEFF"/>
          </w:tcPr>
          <w:p>
            <w:pPr>
              <w:ind w:left="40"/>
              <w:spacing w:after="0"/>
              <w:rPr>
                <w:sz w:val="20"/>
                <w:szCs w:val="20"/>
                <w:color w:val="auto"/>
              </w:rPr>
            </w:pPr>
            <w:r>
              <w:rPr>
                <w:rFonts w:ascii="Arial" w:cs="Arial" w:eastAsia="Arial" w:hAnsi="Arial"/>
                <w:sz w:val="18"/>
                <w:szCs w:val="18"/>
                <w:color w:val="auto"/>
              </w:rPr>
              <w:t>Net cash used in financing activities</w:t>
            </w: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ind w:left="120"/>
              <w:spacing w:after="0"/>
              <w:rPr>
                <w:sz w:val="20"/>
                <w:szCs w:val="20"/>
                <w:color w:val="auto"/>
              </w:rPr>
            </w:pPr>
            <w:r>
              <w:rPr>
                <w:rFonts w:ascii="Arial" w:cs="Arial" w:eastAsia="Arial" w:hAnsi="Arial"/>
                <w:sz w:val="18"/>
                <w:szCs w:val="18"/>
                <w:color w:val="auto"/>
                <w:w w:val="95"/>
              </w:rPr>
              <w:t>(14,600)</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(17,958)</w:t>
            </w:r>
          </w:p>
        </w:tc>
      </w:tr>
      <w:tr>
        <w:trPr>
          <w:trHeight w:val="27"/>
        </w:trPr>
        <w:tc>
          <w:tcPr>
            <w:tcW w:w="792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r>
    </w:tbl>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Provided by Operating Activities</w:t>
      </w:r>
    </w:p>
    <w:p>
      <w:pPr>
        <w:spacing w:after="0" w:line="117" w:lineRule="exact"/>
        <w:rPr>
          <w:sz w:val="20"/>
          <w:szCs w:val="20"/>
          <w:color w:val="auto"/>
        </w:rPr>
      </w:pPr>
    </w:p>
    <w:p>
      <w:pPr>
        <w:ind w:right="60" w:firstLine="405"/>
        <w:spacing w:after="0" w:line="257" w:lineRule="auto"/>
        <w:rPr>
          <w:sz w:val="20"/>
          <w:szCs w:val="20"/>
          <w:color w:val="auto"/>
        </w:rPr>
      </w:pPr>
      <w:r>
        <w:rPr>
          <w:rFonts w:ascii="Arial" w:cs="Arial" w:eastAsia="Arial" w:hAnsi="Arial"/>
          <w:sz w:val="18"/>
          <w:szCs w:val="18"/>
          <w:color w:val="auto"/>
        </w:rPr>
        <w:t>Cash provided by operating activities of $41.7 million in the nine months ended September 30, 2017 was driven primarily by net income of $26.3 million plus $15.0 million of depreciation, amortization and accretion expense, $3.8 million of stock-based compensation expense and a $2.2 million loss on debt extinguishment. These net sources of cash were offset by a net decrease of $8.9 million related to movements in our working capital accounts during the period. The overall decreases in cash from our working capital accounts were primarily driven by higher accounts receivable related to increases in revenues to certain major customers and timing of inventory purchases during the period.</w:t>
      </w:r>
    </w:p>
    <w:p>
      <w:pPr>
        <w:spacing w:after="0" w:line="202"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Cash provided by operating activities of $36.9 million in the nine months ended September 30, 2016 was driven primarily by net income of $21.9 million plus $12.7 million of depreciation, amortization and accretion expense, $1.9 million of stock-based compensation expense and $1.4 million of debt retirement costs. These net sources of cash were offset by the gain on sales of assets of $6.5 million. In addition, we had a $3.6 million net increase related to movements in our working capital during the period. The overall increases in cash from our working capital accounts were primarily driven by the timing of payment runs, timing of payroll and accrued bonuses, and improved collections, which were offset by an increase in inventory due to the timing of production and receipt of inventory and an increase in prepaid expenses due to insurance renewals.</w:t>
      </w:r>
    </w:p>
    <w:p>
      <w:pPr>
        <w:spacing w:after="0" w:line="3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(Used in) Provided by Investing Activities</w:t>
      </w:r>
    </w:p>
    <w:p>
      <w:pPr>
        <w:spacing w:after="0" w:line="117" w:lineRule="exact"/>
        <w:rPr>
          <w:sz w:val="20"/>
          <w:szCs w:val="20"/>
          <w:color w:val="auto"/>
        </w:rPr>
      </w:pPr>
    </w:p>
    <w:p>
      <w:pPr>
        <w:ind w:right="60" w:firstLine="405"/>
        <w:spacing w:after="0" w:line="308" w:lineRule="auto"/>
        <w:rPr>
          <w:sz w:val="20"/>
          <w:szCs w:val="20"/>
          <w:color w:val="auto"/>
        </w:rPr>
      </w:pPr>
      <w:r>
        <w:rPr>
          <w:rFonts w:ascii="Arial" w:cs="Arial" w:eastAsia="Arial" w:hAnsi="Arial"/>
          <w:sz w:val="17"/>
          <w:szCs w:val="17"/>
          <w:color w:val="auto"/>
        </w:rPr>
        <w:t>Net cash used in investing activities during the nine months ended September 30, 2017 reflected $11.6 million in capital expenditures offset by the cash proceeds of $1.2 million received from the sale of assets from our Australian radiopharmacy business during the third quarter of 2016.</w:t>
      </w:r>
    </w:p>
    <w:p>
      <w:pPr>
        <w:spacing w:after="0" w:line="160" w:lineRule="exact"/>
        <w:rPr>
          <w:sz w:val="20"/>
          <w:szCs w:val="20"/>
          <w:color w:val="auto"/>
        </w:rPr>
      </w:pPr>
    </w:p>
    <w:p>
      <w:pPr>
        <w:jc w:val="both"/>
        <w:ind w:right="520" w:firstLine="405"/>
        <w:spacing w:after="0" w:line="342" w:lineRule="auto"/>
        <w:rPr>
          <w:sz w:val="20"/>
          <w:szCs w:val="20"/>
          <w:color w:val="auto"/>
        </w:rPr>
      </w:pPr>
      <w:r>
        <w:rPr>
          <w:rFonts w:ascii="Arial" w:cs="Arial" w:eastAsia="Arial" w:hAnsi="Arial"/>
          <w:sz w:val="16"/>
          <w:szCs w:val="16"/>
          <w:color w:val="auto"/>
        </w:rPr>
        <w:t>Net cash provided by investing activities during the nine months ended September 30, 2016 was primarily due to cash proceeds of $10.5 million received from the sale of assets from our Canadian and Australian radiopharmacy businesses, which was offset by $5.0 million in capital expenditures.</w:t>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Used in Financing Activities</w:t>
      </w:r>
    </w:p>
    <w:p>
      <w:pPr>
        <w:spacing w:after="0" w:line="117" w:lineRule="exact"/>
        <w:rPr>
          <w:sz w:val="20"/>
          <w:szCs w:val="20"/>
          <w:color w:val="auto"/>
        </w:rPr>
      </w:pPr>
    </w:p>
    <w:p>
      <w:pPr>
        <w:jc w:val="both"/>
        <w:ind w:right="540" w:firstLine="405"/>
        <w:spacing w:after="0" w:line="342" w:lineRule="auto"/>
        <w:rPr>
          <w:sz w:val="20"/>
          <w:szCs w:val="20"/>
          <w:color w:val="auto"/>
        </w:rPr>
      </w:pPr>
      <w:r>
        <w:rPr>
          <w:rFonts w:ascii="Arial" w:cs="Arial" w:eastAsia="Arial" w:hAnsi="Arial"/>
          <w:sz w:val="16"/>
          <w:szCs w:val="16"/>
          <w:color w:val="auto"/>
        </w:rPr>
        <w:t>Net cash used in financing activities during the nine months ended September 30, 2017 is primarily related to the net outflow of $11.9 million in connection with our refinancing of our previous $365.0 million seven-year term loan agreement with a new five-year $275.0 million term loan facility.</w:t>
      </w:r>
    </w:p>
    <w:p>
      <w:pPr>
        <w:spacing w:after="0" w:line="137" w:lineRule="exact"/>
        <w:rPr>
          <w:sz w:val="20"/>
          <w:szCs w:val="20"/>
          <w:color w:val="auto"/>
        </w:rPr>
      </w:pPr>
    </w:p>
    <w:p>
      <w:pPr>
        <w:ind w:right="400" w:firstLine="405"/>
        <w:spacing w:after="0" w:line="264" w:lineRule="auto"/>
        <w:rPr>
          <w:sz w:val="20"/>
          <w:szCs w:val="20"/>
          <w:color w:val="auto"/>
        </w:rPr>
      </w:pPr>
      <w:r>
        <w:rPr>
          <w:rFonts w:ascii="Arial" w:cs="Arial" w:eastAsia="Arial" w:hAnsi="Arial"/>
          <w:sz w:val="18"/>
          <w:szCs w:val="18"/>
          <w:color w:val="auto"/>
        </w:rPr>
        <w:t>Net cash used in financing activities during the nine months ended September 30, 2016 was primarily used to repay $55.0 million of the principal balance of our $365.0 million Term Facility with net proceeds of $39.9 million, which were raised upon completion of a follow-on underwritten primary offering, and $15.1 million from cash on hand.</w:t>
      </w:r>
    </w:p>
    <w:p>
      <w:pPr>
        <w:spacing w:after="0" w:line="3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External Sources of Liquidity</w:t>
      </w:r>
    </w:p>
    <w:p>
      <w:pPr>
        <w:spacing w:after="0" w:line="121" w:lineRule="exact"/>
        <w:rPr>
          <w:sz w:val="20"/>
          <w:szCs w:val="20"/>
          <w:color w:val="auto"/>
        </w:rPr>
      </w:pPr>
    </w:p>
    <w:p>
      <w:pPr>
        <w:ind w:right="560" w:firstLine="405"/>
        <w:spacing w:after="0" w:line="277" w:lineRule="auto"/>
        <w:rPr>
          <w:sz w:val="20"/>
          <w:szCs w:val="20"/>
          <w:color w:val="auto"/>
        </w:rPr>
      </w:pPr>
      <w:r>
        <w:rPr>
          <w:rFonts w:ascii="Arial" w:cs="Arial" w:eastAsia="Arial" w:hAnsi="Arial"/>
          <w:sz w:val="18"/>
          <w:szCs w:val="18"/>
          <w:color w:val="auto"/>
        </w:rPr>
        <w:t>On June 30, 2015, we completed our initial public offering, entered into a $365.0 million seven-year term facility (the “2015 Term Facility”) and amended and restated our revolving facility (the “2015 Revolving Facility”) that had a borrowing capacity of $50.0 million.</w:t>
      </w:r>
    </w:p>
    <w:p>
      <w:pPr>
        <w:spacing w:after="0" w:line="184" w:lineRule="exact"/>
        <w:rPr>
          <w:sz w:val="20"/>
          <w:szCs w:val="20"/>
          <w:color w:val="auto"/>
        </w:rPr>
      </w:pPr>
    </w:p>
    <w:p>
      <w:pPr>
        <w:jc w:val="both"/>
        <w:ind w:right="40" w:firstLine="405"/>
        <w:spacing w:after="0" w:line="264" w:lineRule="auto"/>
        <w:rPr>
          <w:sz w:val="20"/>
          <w:szCs w:val="20"/>
          <w:color w:val="auto"/>
        </w:rPr>
      </w:pPr>
      <w:r>
        <w:rPr>
          <w:rFonts w:ascii="Arial" w:cs="Arial" w:eastAsia="Arial" w:hAnsi="Arial"/>
          <w:sz w:val="18"/>
          <w:szCs w:val="18"/>
          <w:color w:val="auto"/>
        </w:rPr>
        <w:t>In September 2016, we completed a follow-on underwritten offering of 5,200,000 shares of common stock and utilized the net proceeds to us from this offering, combined with cash on hand, to prepay $55.0 million of the principal balance of our 2015 Term Facility. In November 2016, we completed a second follow-on underwritten offering that included 1,000,000 shares of common stock</w:t>
      </w:r>
    </w:p>
    <w:p>
      <w:pPr>
        <w:spacing w:after="0" w:line="200" w:lineRule="exact"/>
        <w:rPr>
          <w:sz w:val="20"/>
          <w:szCs w:val="20"/>
          <w:color w:val="auto"/>
        </w:rPr>
      </w:pPr>
    </w:p>
    <w:p>
      <w:pPr>
        <w:spacing w:after="0" w:line="238"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121" w:right="25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6"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offered by us and utilized the net proceeds to us from this offering, combined with cash on hand, to prepay $20.0 million of the principal balance of our 2015 Term Facility. As of December 31, 2016, the principal balance outstanding on our 2015 Term Facility was $284.5 million.</w:t>
      </w:r>
    </w:p>
    <w:p>
      <w:pPr>
        <w:spacing w:after="0" w:line="184" w:lineRule="exact"/>
        <w:rPr>
          <w:sz w:val="20"/>
          <w:szCs w:val="20"/>
          <w:color w:val="auto"/>
        </w:rPr>
      </w:pPr>
    </w:p>
    <w:p>
      <w:pPr>
        <w:ind w:right="60" w:firstLine="405"/>
        <w:spacing w:after="0" w:line="297" w:lineRule="auto"/>
        <w:rPr>
          <w:sz w:val="20"/>
          <w:szCs w:val="20"/>
          <w:color w:val="auto"/>
        </w:rPr>
      </w:pPr>
      <w:r>
        <w:rPr>
          <w:rFonts w:ascii="Arial" w:cs="Arial" w:eastAsia="Arial" w:hAnsi="Arial"/>
          <w:sz w:val="16"/>
          <w:szCs w:val="16"/>
          <w:color w:val="auto"/>
        </w:rPr>
        <w:t>In March 2017, we refinanced the 2015 Term Facility with a new five-year $275.0 million term loan facility (the “2017 Term Facility” and the loans thereunder, the “Term Loans”). In addition, we replaced our 2015 Revolving Facility with a new $75.0 million five-year revolving credit facility (the “2017 Revolving Facility” and, together with the 2017 Term Facility, the “2017 Facility”, the terms of which are set forth in the Credit Agreement). The 2017 Term Facility was issued net of a $0.7 million discount. We have the right to request an increase to the 2017 Term Facility or request the establishment of one or more new incremental term loan facilities, in an aggregate principal amount of up to $75.0 million, plus additional amounts, in certain circumstances.</w:t>
      </w:r>
    </w:p>
    <w:p>
      <w:pPr>
        <w:spacing w:after="0" w:line="172" w:lineRule="exact"/>
        <w:rPr>
          <w:sz w:val="20"/>
          <w:szCs w:val="20"/>
          <w:color w:val="auto"/>
        </w:rPr>
      </w:pPr>
    </w:p>
    <w:p>
      <w:pPr>
        <w:ind w:right="160" w:firstLine="405"/>
        <w:spacing w:after="0" w:line="264" w:lineRule="auto"/>
        <w:rPr>
          <w:sz w:val="20"/>
          <w:szCs w:val="20"/>
          <w:color w:val="auto"/>
        </w:rPr>
      </w:pPr>
      <w:r>
        <w:rPr>
          <w:rFonts w:ascii="Arial" w:cs="Arial" w:eastAsia="Arial" w:hAnsi="Arial"/>
          <w:sz w:val="18"/>
          <w:szCs w:val="18"/>
          <w:color w:val="auto"/>
        </w:rPr>
        <w:t>We used the net proceeds of the 2017 Term Facility, together with approximately $15.3 million of cash on hand, to refinance in full the aggregate remaining principal amount of the loans outstanding under the 2015 Term Facility and pay related interest, transaction fees and expenses. No amounts were outstanding under the 2015 Revolving Facility at that time.</w:t>
      </w:r>
    </w:p>
    <w:p>
      <w:pPr>
        <w:spacing w:after="0" w:line="195"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 Term Loans under the 2017 Term Facility bear interest, with pricing based from time to time at our election at (i) LIBOR plus a spread of 4.50% or</w:t>
      </w:r>
    </w:p>
    <w:p>
      <w:pPr>
        <w:spacing w:after="0" w:line="46" w:lineRule="exact"/>
        <w:rPr>
          <w:sz w:val="20"/>
          <w:szCs w:val="20"/>
          <w:color w:val="auto"/>
        </w:rPr>
      </w:pPr>
    </w:p>
    <w:p>
      <w:pPr>
        <w:ind w:right="160" w:firstLine="8"/>
        <w:spacing w:after="0" w:line="255" w:lineRule="auto"/>
        <w:tabs>
          <w:tab w:leader="none" w:pos="265"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Base Rate (as defined in the Credit Agreement) plus a spread of 3.50%. Interest is payable (i) with respect to LIBOR Term Loans, at the end of each Interest Period (as defined in the Credit Agreement) and (ii) with respect to Base Rate Term Loans, at the end of each quarter. At September 30, 2017, our interest rate under the 2017 Term Facility was 5.7%.</w:t>
      </w:r>
    </w:p>
    <w:p>
      <w:pPr>
        <w:spacing w:after="0" w:line="204" w:lineRule="exact"/>
        <w:rPr>
          <w:sz w:val="20"/>
          <w:szCs w:val="20"/>
          <w:color w:val="auto"/>
        </w:rPr>
      </w:pPr>
    </w:p>
    <w:p>
      <w:pPr>
        <w:ind w:right="100" w:firstLine="405"/>
        <w:spacing w:after="0" w:line="308" w:lineRule="auto"/>
        <w:rPr>
          <w:sz w:val="20"/>
          <w:szCs w:val="20"/>
          <w:color w:val="auto"/>
        </w:rPr>
      </w:pPr>
      <w:r>
        <w:rPr>
          <w:rFonts w:ascii="Arial" w:cs="Arial" w:eastAsia="Arial" w:hAnsi="Arial"/>
          <w:sz w:val="17"/>
          <w:szCs w:val="17"/>
          <w:color w:val="auto"/>
        </w:rPr>
        <w:t>We are permitted to voluntarily prepay the Term Loans, in whole or in part. The 2017 Term Facility requires us to make mandatory prepayments of the outstanding Term Loans in certain circumstances. The 2017 Term Facility amortizes at 1.00% per year until its June 30, 2022 maturity date.</w:t>
      </w:r>
    </w:p>
    <w:p>
      <w:pPr>
        <w:spacing w:after="0" w:line="160" w:lineRule="exact"/>
        <w:rPr>
          <w:sz w:val="20"/>
          <w:szCs w:val="20"/>
          <w:color w:val="auto"/>
        </w:rPr>
      </w:pPr>
    </w:p>
    <w:p>
      <w:pPr>
        <w:ind w:right="120" w:firstLine="405"/>
        <w:spacing w:after="0" w:line="257" w:lineRule="auto"/>
        <w:rPr>
          <w:sz w:val="20"/>
          <w:szCs w:val="20"/>
          <w:color w:val="auto"/>
        </w:rPr>
      </w:pPr>
      <w:r>
        <w:rPr>
          <w:rFonts w:ascii="Arial" w:cs="Arial" w:eastAsia="Arial" w:hAnsi="Arial"/>
          <w:sz w:val="18"/>
          <w:szCs w:val="18"/>
          <w:color w:val="auto"/>
        </w:rPr>
        <w:t>Under the terms of the 2017 Revolving Facility, the lenders thereunder agreed to extend credit to us from time to time until March 30, 2022 (the “Revolving Termination Date”) consisting of revolving loans (the “Revolving Loans” and, together with the Term Loans, the “Loans”) in an aggregate principal amount not to exceed $75.0 million (the “Revolving Commitment”) at any time outstanding. The 2017 Revolving Facility includes a $20.0 million sub-facility for the issuance of letters of credit (the “Letters of Credit”). The Letters of Credit and the borrowings under the 2017 Revolving Facility are expected to be used for working capital and other general corporate purposes.</w:t>
      </w:r>
    </w:p>
    <w:p>
      <w:pPr>
        <w:spacing w:after="0" w:line="202"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Revolving Loans under the 2017 Revolving Facility bear interest, with pricing based from time to time at our election at (i) LIBOR plus a spread of 3.50% or (ii) the Base Rate (as defined in the Credit Agreement) plus a spread of 2.50%. The 2017 Revolving Facility also includes an unused line fee, which is set at 0.375% while our secured leverage ratio (as defined in the Credit Agreement) is greater than 3.00 to 1.00 and 0.25% when our secured leverage ratio is less than or equal to 3.00 to 1.00.</w:t>
      </w:r>
    </w:p>
    <w:p>
      <w:pPr>
        <w:spacing w:after="0" w:line="200" w:lineRule="exact"/>
        <w:rPr>
          <w:sz w:val="20"/>
          <w:szCs w:val="20"/>
          <w:color w:val="auto"/>
        </w:rPr>
      </w:pPr>
    </w:p>
    <w:p>
      <w:pPr>
        <w:ind w:right="460" w:firstLine="405"/>
        <w:spacing w:after="0" w:line="255" w:lineRule="auto"/>
        <w:rPr>
          <w:sz w:val="20"/>
          <w:szCs w:val="20"/>
          <w:color w:val="auto"/>
        </w:rPr>
      </w:pPr>
      <w:r>
        <w:rPr>
          <w:rFonts w:ascii="Arial" w:cs="Arial" w:eastAsia="Arial" w:hAnsi="Arial"/>
          <w:sz w:val="18"/>
          <w:szCs w:val="18"/>
          <w:color w:val="auto"/>
        </w:rPr>
        <w:t>We are permitted to voluntarily prepay the Revolving Loans, in whole or in part, or reduce or terminate the Revolving Commitment, in each case, without premium or penalty. On any business day on which the total amount of outstanding Revolving Loans and Letters of Credit exceeds the total Revolving Commitment, we must prepay the Revolving Loans in an amount equal to such excess. The 2017 Facility contains a number of affirmative, negative, reporting and financial covenants, in each case subject to certain exceptions and materiality thresholds. The 2017 Facility requires us to be in quarterly compliance, measured on a trailing four quarter basis, with a financial covenant. The maximum consolidated leverage ratio permitted by the financial covenant is displayed in the table below:</w:t>
      </w:r>
    </w:p>
    <w:p>
      <w:pPr>
        <w:spacing w:after="0" w:line="203" w:lineRule="exact"/>
        <w:rPr>
          <w:sz w:val="20"/>
          <w:szCs w:val="20"/>
          <w:color w:val="auto"/>
        </w:rPr>
      </w:pPr>
    </w:p>
    <w:p>
      <w:pPr>
        <w:jc w:val="center"/>
        <w:ind w:left="420"/>
        <w:spacing w:after="0"/>
        <w:rPr>
          <w:sz w:val="20"/>
          <w:szCs w:val="20"/>
          <w:color w:val="auto"/>
        </w:rPr>
      </w:pPr>
      <w:r>
        <w:rPr>
          <w:rFonts w:ascii="Arial" w:cs="Arial" w:eastAsia="Arial" w:hAnsi="Arial"/>
          <w:sz w:val="18"/>
          <w:szCs w:val="18"/>
          <w:b w:val="1"/>
          <w:bCs w:val="1"/>
          <w:color w:val="auto"/>
        </w:rPr>
        <w:t>2017 Facility Financial Covenant</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tbl>
      <w:tblPr>
        <w:tblLayout w:type="fixed"/>
        <w:tblInd w:w="3160" w:type="dxa"/>
        <w:tblCellMar>
          <w:top w:w="0" w:type="dxa"/>
          <w:left w:w="0" w:type="dxa"/>
          <w:bottom w:w="0" w:type="dxa"/>
          <w:right w:w="0" w:type="dxa"/>
        </w:tblCellMar>
      </w:tblPr>
      <w:tr>
        <w:trPr>
          <w:trHeight w:val="216"/>
        </w:trPr>
        <w:tc>
          <w:tcPr>
            <w:tcW w:w="2900" w:type="dxa"/>
            <w:vAlign w:val="bottom"/>
          </w:tcPr>
          <w:p>
            <w:pPr>
              <w:spacing w:after="0"/>
              <w:rPr>
                <w:sz w:val="18"/>
                <w:szCs w:val="18"/>
                <w:color w:val="auto"/>
              </w:rPr>
            </w:pPr>
          </w:p>
        </w:tc>
        <w:tc>
          <w:tcPr>
            <w:tcW w:w="2200" w:type="dxa"/>
            <w:vAlign w:val="bottom"/>
          </w:tcPr>
          <w:p>
            <w:pPr>
              <w:jc w:val="center"/>
              <w:ind w:left="590"/>
              <w:spacing w:after="0"/>
              <w:rPr>
                <w:sz w:val="20"/>
                <w:szCs w:val="20"/>
                <w:color w:val="auto"/>
              </w:rPr>
            </w:pPr>
            <w:r>
              <w:rPr>
                <w:rFonts w:ascii="Arial" w:cs="Arial" w:eastAsia="Arial" w:hAnsi="Arial"/>
                <w:sz w:val="18"/>
                <w:szCs w:val="18"/>
                <w:b w:val="1"/>
                <w:bCs w:val="1"/>
                <w:color w:val="auto"/>
                <w:w w:val="87"/>
              </w:rPr>
              <w:t>Consolidated</w:t>
            </w:r>
          </w:p>
        </w:tc>
      </w:tr>
      <w:tr>
        <w:trPr>
          <w:trHeight w:val="234"/>
        </w:trPr>
        <w:tc>
          <w:tcPr>
            <w:tcW w:w="2900" w:type="dxa"/>
            <w:vAlign w:val="bottom"/>
          </w:tcPr>
          <w:p>
            <w:pPr>
              <w:ind w:left="1540"/>
              <w:spacing w:after="0"/>
              <w:rPr>
                <w:sz w:val="20"/>
                <w:szCs w:val="20"/>
                <w:color w:val="auto"/>
              </w:rPr>
            </w:pPr>
            <w:r>
              <w:rPr>
                <w:rFonts w:ascii="Arial" w:cs="Arial" w:eastAsia="Arial" w:hAnsi="Arial"/>
                <w:sz w:val="18"/>
                <w:szCs w:val="18"/>
                <w:b w:val="1"/>
                <w:bCs w:val="1"/>
                <w:color w:val="auto"/>
              </w:rPr>
              <w:t>Period</w:t>
            </w:r>
          </w:p>
        </w:tc>
        <w:tc>
          <w:tcPr>
            <w:tcW w:w="2200" w:type="dxa"/>
            <w:vAlign w:val="bottom"/>
          </w:tcPr>
          <w:p>
            <w:pPr>
              <w:jc w:val="center"/>
              <w:ind w:left="570"/>
              <w:spacing w:after="0"/>
              <w:rPr>
                <w:sz w:val="20"/>
                <w:szCs w:val="20"/>
                <w:color w:val="auto"/>
              </w:rPr>
            </w:pPr>
            <w:r>
              <w:rPr>
                <w:rFonts w:ascii="Arial" w:cs="Arial" w:eastAsia="Arial" w:hAnsi="Arial"/>
                <w:sz w:val="18"/>
                <w:szCs w:val="18"/>
                <w:b w:val="1"/>
                <w:bCs w:val="1"/>
                <w:color w:val="auto"/>
                <w:w w:val="91"/>
              </w:rPr>
              <w:t>Leverage Ratio</w:t>
            </w:r>
          </w:p>
        </w:tc>
      </w:tr>
      <w:tr>
        <w:trPr>
          <w:trHeight w:val="27"/>
        </w:trPr>
        <w:tc>
          <w:tcPr>
            <w:tcW w:w="290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r>
      <w:tr>
        <w:trPr>
          <w:trHeight w:val="244"/>
        </w:trPr>
        <w:tc>
          <w:tcPr>
            <w:tcW w:w="2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Q3 2017 through Q1 2018</w:t>
            </w:r>
          </w:p>
        </w:tc>
        <w:tc>
          <w:tcPr>
            <w:tcW w:w="2200" w:type="dxa"/>
            <w:vAlign w:val="bottom"/>
            <w:tcBorders>
              <w:bottom w:val="single" w:sz="8" w:color="CCEEFF"/>
            </w:tcBorders>
            <w:shd w:val="clear" w:color="auto" w:fill="CCEEFF"/>
          </w:tcPr>
          <w:p>
            <w:pPr>
              <w:jc w:val="center"/>
              <w:ind w:left="570"/>
              <w:spacing w:after="0"/>
              <w:rPr>
                <w:sz w:val="20"/>
                <w:szCs w:val="20"/>
                <w:color w:val="auto"/>
              </w:rPr>
            </w:pPr>
            <w:r>
              <w:rPr>
                <w:rFonts w:ascii="Arial" w:cs="Arial" w:eastAsia="Arial" w:hAnsi="Arial"/>
                <w:sz w:val="18"/>
                <w:szCs w:val="18"/>
                <w:color w:val="auto"/>
                <w:w w:val="90"/>
              </w:rPr>
              <w:t>5.00 to 1.00</w:t>
            </w:r>
          </w:p>
        </w:tc>
      </w:tr>
      <w:tr>
        <w:trPr>
          <w:trHeight w:val="243"/>
        </w:trPr>
        <w:tc>
          <w:tcPr>
            <w:tcW w:w="2900" w:type="dxa"/>
            <w:vAlign w:val="bottom"/>
          </w:tcPr>
          <w:p>
            <w:pPr>
              <w:ind w:left="40"/>
              <w:spacing w:after="0"/>
              <w:rPr>
                <w:sz w:val="20"/>
                <w:szCs w:val="20"/>
                <w:color w:val="auto"/>
              </w:rPr>
            </w:pPr>
            <w:r>
              <w:rPr>
                <w:rFonts w:ascii="Arial" w:cs="Arial" w:eastAsia="Arial" w:hAnsi="Arial"/>
                <w:sz w:val="18"/>
                <w:szCs w:val="18"/>
                <w:color w:val="auto"/>
              </w:rPr>
              <w:t>Q2 2018 through Q1 2019</w:t>
            </w:r>
          </w:p>
        </w:tc>
        <w:tc>
          <w:tcPr>
            <w:tcW w:w="2200" w:type="dxa"/>
            <w:vAlign w:val="bottom"/>
          </w:tcPr>
          <w:p>
            <w:pPr>
              <w:jc w:val="center"/>
              <w:ind w:left="570"/>
              <w:spacing w:after="0"/>
              <w:rPr>
                <w:sz w:val="20"/>
                <w:szCs w:val="20"/>
                <w:color w:val="auto"/>
              </w:rPr>
            </w:pPr>
            <w:r>
              <w:rPr>
                <w:rFonts w:ascii="Arial" w:cs="Arial" w:eastAsia="Arial" w:hAnsi="Arial"/>
                <w:sz w:val="18"/>
                <w:szCs w:val="18"/>
                <w:color w:val="auto"/>
                <w:w w:val="90"/>
              </w:rPr>
              <w:t>4.75 to 1.00</w:t>
            </w:r>
          </w:p>
        </w:tc>
      </w:tr>
      <w:tr>
        <w:trPr>
          <w:trHeight w:val="27"/>
        </w:trPr>
        <w:tc>
          <w:tcPr>
            <w:tcW w:w="2900" w:type="dxa"/>
            <w:vAlign w:val="bottom"/>
          </w:tcPr>
          <w:p>
            <w:pPr>
              <w:spacing w:after="0"/>
              <w:rPr>
                <w:sz w:val="2"/>
                <w:szCs w:val="2"/>
                <w:color w:val="auto"/>
              </w:rPr>
            </w:pPr>
          </w:p>
        </w:tc>
        <w:tc>
          <w:tcPr>
            <w:tcW w:w="2200" w:type="dxa"/>
            <w:vAlign w:val="bottom"/>
          </w:tcPr>
          <w:p>
            <w:pPr>
              <w:spacing w:after="0"/>
              <w:rPr>
                <w:sz w:val="2"/>
                <w:szCs w:val="2"/>
                <w:color w:val="auto"/>
              </w:rPr>
            </w:pPr>
          </w:p>
        </w:tc>
      </w:tr>
      <w:tr>
        <w:trPr>
          <w:trHeight w:val="243"/>
        </w:trPr>
        <w:tc>
          <w:tcPr>
            <w:tcW w:w="2900" w:type="dxa"/>
            <w:vAlign w:val="bottom"/>
            <w:shd w:val="clear" w:color="auto" w:fill="CCEEFF"/>
          </w:tcPr>
          <w:p>
            <w:pPr>
              <w:ind w:left="40"/>
              <w:spacing w:after="0"/>
              <w:rPr>
                <w:sz w:val="20"/>
                <w:szCs w:val="20"/>
                <w:color w:val="auto"/>
              </w:rPr>
            </w:pPr>
            <w:r>
              <w:rPr>
                <w:rFonts w:ascii="Arial" w:cs="Arial" w:eastAsia="Arial" w:hAnsi="Arial"/>
                <w:sz w:val="18"/>
                <w:szCs w:val="18"/>
                <w:color w:val="auto"/>
              </w:rPr>
              <w:t>Thereafter</w:t>
            </w:r>
          </w:p>
        </w:tc>
        <w:tc>
          <w:tcPr>
            <w:tcW w:w="2200" w:type="dxa"/>
            <w:vAlign w:val="bottom"/>
            <w:shd w:val="clear" w:color="auto" w:fill="CCEEFF"/>
          </w:tcPr>
          <w:p>
            <w:pPr>
              <w:jc w:val="center"/>
              <w:ind w:left="570"/>
              <w:spacing w:after="0"/>
              <w:rPr>
                <w:sz w:val="20"/>
                <w:szCs w:val="20"/>
                <w:color w:val="auto"/>
              </w:rPr>
            </w:pPr>
            <w:r>
              <w:rPr>
                <w:rFonts w:ascii="Arial" w:cs="Arial" w:eastAsia="Arial" w:hAnsi="Arial"/>
                <w:sz w:val="18"/>
                <w:szCs w:val="18"/>
                <w:color w:val="auto"/>
                <w:w w:val="90"/>
              </w:rPr>
              <w:t>4.50 to 1.00</w:t>
            </w:r>
          </w:p>
        </w:tc>
      </w:tr>
      <w:tr>
        <w:trPr>
          <w:trHeight w:val="27"/>
        </w:trPr>
        <w:tc>
          <w:tcPr>
            <w:tcW w:w="2900" w:type="dxa"/>
            <w:vAlign w:val="bottom"/>
            <w:shd w:val="clear" w:color="auto" w:fill="CCEEFF"/>
          </w:tcPr>
          <w:p>
            <w:pPr>
              <w:spacing w:after="0"/>
              <w:rPr>
                <w:sz w:val="2"/>
                <w:szCs w:val="2"/>
                <w:color w:val="auto"/>
              </w:rPr>
            </w:pPr>
          </w:p>
        </w:tc>
        <w:tc>
          <w:tcPr>
            <w:tcW w:w="2200" w:type="dxa"/>
            <w:vAlign w:val="bottom"/>
            <w:shd w:val="clear" w:color="auto" w:fill="CCEEFF"/>
          </w:tcPr>
          <w:p>
            <w:pPr>
              <w:spacing w:after="0"/>
              <w:rPr>
                <w:sz w:val="2"/>
                <w:szCs w:val="2"/>
                <w:color w:val="auto"/>
              </w:rPr>
            </w:pPr>
          </w:p>
        </w:tc>
      </w:tr>
    </w:tbl>
    <w:p>
      <w:pPr>
        <w:spacing w:after="0" w:line="215"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The 2017 Facility contains usual and customary restrictions on our ability and that of our subsidiaries to: (i) incur additional indebtedness (ii) create liens; (iii) consolidate, merge, sell or otherwise dispose of all or substantially all of its assets; (iv) sell certain assets; (v) pay dividends on, repurchase or make distributions in respect of capital stock or make other restricted payments; (vi) make certain investments; (vii) repay subordinated indebtedness prior to stated maturity; and (viii) enter into certain transactions with its affiliates.</w:t>
      </w:r>
    </w:p>
    <w:p>
      <w:pPr>
        <w:spacing w:after="0" w:line="200" w:lineRule="exact"/>
        <w:rPr>
          <w:sz w:val="20"/>
          <w:szCs w:val="20"/>
          <w:color w:val="auto"/>
        </w:rPr>
      </w:pPr>
    </w:p>
    <w:p>
      <w:pPr>
        <w:spacing w:after="0" w:line="244"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380"/>
          </w:cols>
          <w:pgMar w:left="240" w:top="121" w:right="27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6"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Upon an event of default, the administrative agent under the Credit Agreement will have the right to declare the Loans and other obligations outstanding immediately due and payable and all commitments immediately terminated or reduced.</w:t>
      </w:r>
    </w:p>
    <w:p>
      <w:pPr>
        <w:spacing w:after="0" w:line="184" w:lineRule="exact"/>
        <w:rPr>
          <w:sz w:val="20"/>
          <w:szCs w:val="20"/>
          <w:color w:val="auto"/>
        </w:rPr>
      </w:pPr>
    </w:p>
    <w:p>
      <w:pPr>
        <w:ind w:right="380" w:firstLine="405"/>
        <w:spacing w:after="0" w:line="264" w:lineRule="auto"/>
        <w:rPr>
          <w:sz w:val="20"/>
          <w:szCs w:val="20"/>
          <w:color w:val="auto"/>
        </w:rPr>
      </w:pPr>
      <w:r>
        <w:rPr>
          <w:rFonts w:ascii="Arial" w:cs="Arial" w:eastAsia="Arial" w:hAnsi="Arial"/>
          <w:sz w:val="18"/>
          <w:szCs w:val="18"/>
          <w:color w:val="auto"/>
        </w:rPr>
        <w:t>The 2017 Facility is guaranteed by Holdings and Lantheus MI Real Estate, LLC (“LMI-RE”), and obligations under the 2017 Facility are generally secured by first priority liens over substantially all of the assets of each of LMI, Holdings and LMI-RE (subject to customary exclusions set forth in the transaction documents) owned as of March 30, 2017 or thereafter acquired.</w:t>
      </w:r>
    </w:p>
    <w:p>
      <w:pPr>
        <w:spacing w:after="0" w:line="195" w:lineRule="exact"/>
        <w:rPr>
          <w:sz w:val="20"/>
          <w:szCs w:val="20"/>
          <w:color w:val="auto"/>
        </w:rPr>
      </w:pPr>
    </w:p>
    <w:p>
      <w:pPr>
        <w:ind w:right="480" w:firstLine="405"/>
        <w:spacing w:after="0" w:line="342" w:lineRule="auto"/>
        <w:rPr>
          <w:sz w:val="20"/>
          <w:szCs w:val="20"/>
          <w:color w:val="auto"/>
        </w:rPr>
      </w:pPr>
      <w:r>
        <w:rPr>
          <w:rFonts w:ascii="Arial" w:cs="Arial" w:eastAsia="Arial" w:hAnsi="Arial"/>
          <w:sz w:val="16"/>
          <w:szCs w:val="16"/>
          <w:color w:val="auto"/>
        </w:rPr>
        <w:t>Our ability to fund our future capital needs will be affected by our ability to continue to generate cash from operations and may be affected by our ability to access the capital markets, money markets, or other sources of funding, as well as the capacity and terms of our financing arrangements.</w:t>
      </w:r>
    </w:p>
    <w:p>
      <w:pPr>
        <w:spacing w:after="0" w:line="137" w:lineRule="exact"/>
        <w:rPr>
          <w:sz w:val="20"/>
          <w:szCs w:val="20"/>
          <w:color w:val="auto"/>
        </w:rPr>
      </w:pPr>
    </w:p>
    <w:p>
      <w:pPr>
        <w:ind w:right="20" w:firstLine="405"/>
        <w:spacing w:after="0" w:line="259" w:lineRule="auto"/>
        <w:rPr>
          <w:sz w:val="20"/>
          <w:szCs w:val="20"/>
          <w:color w:val="auto"/>
        </w:rPr>
      </w:pPr>
      <w:r>
        <w:rPr>
          <w:rFonts w:ascii="Arial" w:cs="Arial" w:eastAsia="Arial" w:hAnsi="Arial"/>
          <w:sz w:val="18"/>
          <w:szCs w:val="18"/>
          <w:color w:val="auto"/>
        </w:rPr>
        <w:t>We may from time to time repurchase or otherwise retire our debt and take other steps to reduce our debt or otherwise improve our balance sheet. These actions may include prepayments of our term loans or other retirements or refinancing of outstanding debt, privately negotiated transactions or otherwise. The amount of debt that may be retired, if any, would be decided at the sole discretion of our Board of Directors and will depend on market conditions, our cash position and other considerations.</w:t>
      </w:r>
    </w:p>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Funding Requirements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Our future capital requirements will depend on many factors, including:</w:t>
      </w:r>
    </w:p>
    <w:p>
      <w:pPr>
        <w:spacing w:after="0" w:line="117" w:lineRule="exact"/>
        <w:rPr>
          <w:sz w:val="20"/>
          <w:szCs w:val="20"/>
          <w:color w:val="auto"/>
        </w:rPr>
      </w:pPr>
    </w:p>
    <w:p>
      <w:pPr>
        <w:ind w:left="1620" w:hanging="234"/>
        <w:spacing w:after="0"/>
        <w:tabs>
          <w:tab w:leader="none" w:pos="16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Our ability to have product manufactured and released from JHS and other manufacturing sites in a timely manner in the future;</w:t>
      </w:r>
    </w:p>
    <w:p>
      <w:pPr>
        <w:spacing w:after="0" w:line="128" w:lineRule="exact"/>
        <w:rPr>
          <w:rFonts w:ascii="Arial" w:cs="Arial" w:eastAsia="Arial" w:hAnsi="Arial"/>
          <w:sz w:val="17"/>
          <w:szCs w:val="17"/>
          <w:color w:val="auto"/>
        </w:rPr>
      </w:pPr>
    </w:p>
    <w:p>
      <w:pPr>
        <w:ind w:left="2040" w:right="100" w:hanging="654"/>
        <w:spacing w:after="0" w:line="277" w:lineRule="auto"/>
        <w:tabs>
          <w:tab w:leader="none" w:pos="16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pricing environment and the level of product sales of our currently marketed products, particularly DEFINITY and any additional products that we may market in the future;</w:t>
      </w:r>
    </w:p>
    <w:p>
      <w:pPr>
        <w:spacing w:after="0" w:line="62" w:lineRule="exact"/>
        <w:rPr>
          <w:rFonts w:ascii="Arial" w:cs="Arial" w:eastAsia="Arial" w:hAnsi="Arial"/>
          <w:sz w:val="18"/>
          <w:szCs w:val="18"/>
          <w:color w:val="auto"/>
        </w:rPr>
      </w:pPr>
    </w:p>
    <w:p>
      <w:pPr>
        <w:ind w:left="2040" w:right="660" w:hanging="654"/>
        <w:spacing w:after="0" w:line="277" w:lineRule="auto"/>
        <w:tabs>
          <w:tab w:leader="none" w:pos="16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Revenue mix shifts and associated volume and selling price changes that could result from contractual status changes with key customers and additional competition;</w:t>
      </w:r>
    </w:p>
    <w:p>
      <w:pPr>
        <w:spacing w:after="0" w:line="62" w:lineRule="exact"/>
        <w:rPr>
          <w:rFonts w:ascii="Arial" w:cs="Arial" w:eastAsia="Arial" w:hAnsi="Arial"/>
          <w:sz w:val="18"/>
          <w:szCs w:val="18"/>
          <w:color w:val="auto"/>
        </w:rPr>
      </w:pPr>
    </w:p>
    <w:p>
      <w:pPr>
        <w:ind w:left="2040" w:right="360" w:hanging="654"/>
        <w:spacing w:after="0" w:line="308" w:lineRule="auto"/>
        <w:tabs>
          <w:tab w:leader="none" w:pos="1635"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costs of further commercialization of our existing products, particularly in international markets, including product marketing, sales and distribution and whether we obtain local partners to help share such commercialization costs;</w:t>
      </w:r>
    </w:p>
    <w:p>
      <w:pPr>
        <w:spacing w:after="0" w:line="38" w:lineRule="exact"/>
        <w:rPr>
          <w:rFonts w:ascii="Arial" w:cs="Arial" w:eastAsia="Arial" w:hAnsi="Arial"/>
          <w:sz w:val="17"/>
          <w:szCs w:val="17"/>
          <w:color w:val="auto"/>
        </w:rPr>
      </w:pPr>
    </w:p>
    <w:p>
      <w:pPr>
        <w:ind w:left="1620" w:hanging="234"/>
        <w:spacing w:after="0"/>
        <w:tabs>
          <w:tab w:leader="none" w:pos="1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costs of investing in our facilities, equipment and technology infrastructure;</w:t>
      </w:r>
    </w:p>
    <w:p>
      <w:pPr>
        <w:spacing w:after="0" w:line="117" w:lineRule="exact"/>
        <w:rPr>
          <w:rFonts w:ascii="Arial" w:cs="Arial" w:eastAsia="Arial" w:hAnsi="Arial"/>
          <w:sz w:val="18"/>
          <w:szCs w:val="18"/>
          <w:color w:val="auto"/>
        </w:rPr>
      </w:pPr>
    </w:p>
    <w:p>
      <w:pPr>
        <w:ind w:left="1620" w:hanging="234"/>
        <w:spacing w:after="0"/>
        <w:tabs>
          <w:tab w:leader="none" w:pos="1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costs and timing of establishing manufacturing and supply arrangements for commercial supplies of our products;</w:t>
      </w:r>
    </w:p>
    <w:p>
      <w:pPr>
        <w:spacing w:after="0" w:line="117" w:lineRule="exact"/>
        <w:rPr>
          <w:rFonts w:ascii="Arial" w:cs="Arial" w:eastAsia="Arial" w:hAnsi="Arial"/>
          <w:sz w:val="18"/>
          <w:szCs w:val="18"/>
          <w:color w:val="auto"/>
        </w:rPr>
      </w:pPr>
    </w:p>
    <w:p>
      <w:pPr>
        <w:ind w:left="2040" w:right="260" w:hanging="654"/>
        <w:spacing w:after="0" w:line="277" w:lineRule="auto"/>
        <w:tabs>
          <w:tab w:leader="none" w:pos="16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extent to which we acquire or invest in (i) new products, businesses and technologies, or (ii) the further clinical development or commercialization of existing development candidates or products;</w:t>
      </w:r>
    </w:p>
    <w:p>
      <w:pPr>
        <w:spacing w:after="0" w:line="62" w:lineRule="exact"/>
        <w:rPr>
          <w:rFonts w:ascii="Arial" w:cs="Arial" w:eastAsia="Arial" w:hAnsi="Arial"/>
          <w:sz w:val="18"/>
          <w:szCs w:val="18"/>
          <w:color w:val="auto"/>
        </w:rPr>
      </w:pPr>
    </w:p>
    <w:p>
      <w:pPr>
        <w:ind w:left="2040" w:right="260" w:hanging="654"/>
        <w:spacing w:after="0" w:line="277" w:lineRule="auto"/>
        <w:tabs>
          <w:tab w:leader="none" w:pos="16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extent to which we choose to establish collaboration, co-promotion, distribution or other similar arrangements for our marketed products;</w:t>
      </w:r>
    </w:p>
    <w:p>
      <w:pPr>
        <w:spacing w:after="0" w:line="62" w:lineRule="exact"/>
        <w:rPr>
          <w:rFonts w:ascii="Arial" w:cs="Arial" w:eastAsia="Arial" w:hAnsi="Arial"/>
          <w:sz w:val="18"/>
          <w:szCs w:val="18"/>
          <w:color w:val="auto"/>
        </w:rPr>
      </w:pPr>
    </w:p>
    <w:p>
      <w:pPr>
        <w:ind w:left="2040" w:right="80" w:hanging="654"/>
        <w:spacing w:after="0" w:line="277" w:lineRule="auto"/>
        <w:tabs>
          <w:tab w:leader="none" w:pos="16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legal costs relating to maintaining, expanding and enforcing our intellectual property portfolio, pursuing insurance or other claims and defending against product liability, regulatory compliance or other claims; and</w:t>
      </w:r>
    </w:p>
    <w:p>
      <w:pPr>
        <w:spacing w:after="0" w:line="62" w:lineRule="exact"/>
        <w:rPr>
          <w:rFonts w:ascii="Arial" w:cs="Arial" w:eastAsia="Arial" w:hAnsi="Arial"/>
          <w:sz w:val="18"/>
          <w:szCs w:val="18"/>
          <w:color w:val="auto"/>
        </w:rPr>
      </w:pPr>
    </w:p>
    <w:p>
      <w:pPr>
        <w:ind w:left="1620" w:hanging="234"/>
        <w:spacing w:after="0"/>
        <w:tabs>
          <w:tab w:leader="none" w:pos="1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cost of interest on any additional borrowings which we may incur under our financing arrangements.</w:t>
      </w:r>
    </w:p>
    <w:p>
      <w:pPr>
        <w:spacing w:after="0" w:line="239" w:lineRule="exact"/>
        <w:rPr>
          <w:sz w:val="20"/>
          <w:szCs w:val="20"/>
          <w:color w:val="auto"/>
        </w:rPr>
      </w:pPr>
    </w:p>
    <w:p>
      <w:pPr>
        <w:ind w:right="320" w:firstLine="405"/>
        <w:spacing w:after="0" w:line="257" w:lineRule="auto"/>
        <w:rPr>
          <w:sz w:val="20"/>
          <w:szCs w:val="20"/>
          <w:color w:val="auto"/>
        </w:rPr>
      </w:pPr>
      <w:r>
        <w:rPr>
          <w:rFonts w:ascii="Arial" w:cs="Arial" w:eastAsia="Arial" w:hAnsi="Arial"/>
          <w:sz w:val="18"/>
          <w:szCs w:val="18"/>
          <w:color w:val="auto"/>
        </w:rPr>
        <w:t>Until we successfully become dual sourced for our principal products, we are vulnerable to future supply shortages. Disruption in the financial performance could also occur if we experience significant adverse changes in customer mix, broad economic downturns, adverse industry or company conditions or catastrophic external events, including natural disasters and political or military conflict. If we experience one or more of these events in the future, we may be required to implement additional expense reductions, such as a delay or elimination of discretionary spending in all functional areas, as well as scaling back select operating and strategic initiatives.</w:t>
      </w:r>
    </w:p>
    <w:p>
      <w:pPr>
        <w:spacing w:after="0" w:line="202" w:lineRule="exact"/>
        <w:rPr>
          <w:sz w:val="20"/>
          <w:szCs w:val="20"/>
          <w:color w:val="auto"/>
        </w:rPr>
      </w:pPr>
    </w:p>
    <w:p>
      <w:pPr>
        <w:ind w:right="140" w:firstLine="405"/>
        <w:spacing w:after="0" w:line="272" w:lineRule="auto"/>
        <w:rPr>
          <w:sz w:val="20"/>
          <w:szCs w:val="20"/>
          <w:color w:val="auto"/>
        </w:rPr>
      </w:pPr>
      <w:r>
        <w:rPr>
          <w:rFonts w:ascii="Arial" w:cs="Arial" w:eastAsia="Arial" w:hAnsi="Arial"/>
          <w:sz w:val="17"/>
          <w:szCs w:val="17"/>
          <w:color w:val="auto"/>
        </w:rPr>
        <w:t>If our capital resources become insufficient to meet our future capital requirements, we would need to finance our cash needs through public or private equity offerings, assets securitizations, debt financings, sale-leasebacks or other financing or strategic alternatives, to the extent such transactions are permissible under the covenants of the agreements governing our senior secured credit facilities. Additional equity or debt financing, or other transactions, may not be available on acceptable terms, if at all. If any of these transactions require an amendment or waiver under the covenants in the agreements governing our senior secured credit facilities, which could result in additional expenses associated with obtaining the amendment or waiver, we will seek to obtain such a waiver to remain in compliance with those covenants. However, we cannot be assured that such an amendment or waiver would be granted, or that additional capital will be available on acceptable terms, if at all.</w:t>
      </w:r>
    </w:p>
    <w:p>
      <w:pPr>
        <w:spacing w:after="0" w:line="200" w:lineRule="exact"/>
        <w:rPr>
          <w:sz w:val="20"/>
          <w:szCs w:val="20"/>
          <w:color w:val="auto"/>
        </w:rPr>
      </w:pPr>
    </w:p>
    <w:p>
      <w:pPr>
        <w:spacing w:after="0" w:line="235"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40" w:top="121" w:right="2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6" w:lineRule="exact"/>
        <w:rPr>
          <w:sz w:val="20"/>
          <w:szCs w:val="20"/>
          <w:color w:val="auto"/>
        </w:rPr>
      </w:pPr>
    </w:p>
    <w:p>
      <w:pPr>
        <w:ind w:right="240" w:firstLine="405"/>
        <w:spacing w:after="0" w:line="257" w:lineRule="auto"/>
        <w:rPr>
          <w:sz w:val="20"/>
          <w:szCs w:val="20"/>
          <w:color w:val="auto"/>
        </w:rPr>
      </w:pPr>
      <w:r>
        <w:rPr>
          <w:rFonts w:ascii="Arial" w:cs="Arial" w:eastAsia="Arial" w:hAnsi="Arial"/>
          <w:sz w:val="18"/>
          <w:szCs w:val="18"/>
          <w:color w:val="auto"/>
        </w:rPr>
        <w:t>At September 30, 2017, our only current committed external source of funds is our borrowing availability under our 2017 Revolving Facility. We had $68.1 million of cash and cash equivalents at September 30, 2017. Our 2017 Facility contains a number of affirmative, negative, reporting and financial covenants, in each case subject to certain exceptions and materiality thresholds. Incremental borrowings under the 2017 Revolving Facility may affect our ability to comply with the covenants in the 2017 Facility, including the financial covenant restricting total net leverage. Accordingly, we may be limited in utilizing the full amount of our 2017 Revolving Facility as a source of liquidity.</w:t>
      </w:r>
    </w:p>
    <w:p>
      <w:pPr>
        <w:spacing w:after="0" w:line="202" w:lineRule="exact"/>
        <w:rPr>
          <w:sz w:val="20"/>
          <w:szCs w:val="20"/>
          <w:color w:val="auto"/>
        </w:rPr>
      </w:pPr>
    </w:p>
    <w:p>
      <w:pPr>
        <w:ind w:right="520" w:firstLine="405"/>
        <w:spacing w:after="0" w:line="277" w:lineRule="auto"/>
        <w:rPr>
          <w:sz w:val="20"/>
          <w:szCs w:val="20"/>
          <w:color w:val="auto"/>
        </w:rPr>
      </w:pPr>
      <w:r>
        <w:rPr>
          <w:rFonts w:ascii="Arial" w:cs="Arial" w:eastAsia="Arial" w:hAnsi="Arial"/>
          <w:sz w:val="18"/>
          <w:szCs w:val="18"/>
          <w:color w:val="auto"/>
        </w:rPr>
        <w:t>Based on our current operating plans, we believe that our existing cash and cash equivalents, results of operations and availability under our 2017 Revolving Facility will be sufficient to continue to fund our liquidity requirements for the foreseeable future.</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right="60" w:firstLine="405"/>
        <w:spacing w:after="0" w:line="291" w:lineRule="auto"/>
        <w:rPr>
          <w:sz w:val="20"/>
          <w:szCs w:val="20"/>
          <w:color w:val="auto"/>
        </w:rPr>
      </w:pPr>
      <w:r>
        <w:rPr>
          <w:rFonts w:ascii="Arial" w:cs="Arial" w:eastAsia="Arial" w:hAnsi="Arial"/>
          <w:sz w:val="16"/>
          <w:szCs w:val="16"/>
          <w:color w:val="auto"/>
        </w:rPr>
        <w:t>The discussion and analysis of our financial position and results of operations is based on our condensed consolidated financial statements, which have been prepared in accordance with U.S. GAAP. The preparation of these condensed consolidated financial statements in accordance with U.S. GAAP requires us to make estimates and judgments that may affect the reported amounts of assets, liabilities, revenues and expenses, and related disclosure of contingent assets and liabilities. On an ongoing basis, we evaluate our estimates and judgments, including those related to revenue recognition and related allowances, inventory, impairments of long-lived assets including intangible assets, impairments of goodwill, income taxes including the valuation allowance for deferred tax assets. Actual results may differ materially from these estimates under different assumptions and conditions. In addition, our reported financial condition and results of operations could vary due to a change in the application of a particular accounting standard.</w:t>
      </w:r>
    </w:p>
    <w:p>
      <w:pPr>
        <w:spacing w:after="0" w:line="181"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color w:val="auto"/>
        </w:rPr>
        <w:t>There have been no material changes to our critical accounting policies or in the underlying accounting assumptions and estimates used in such policies in the nine months ended September 30, 2017. For further information, refer to our summary of significant accounting policies and estimates in our Annual Report on Form 10-K filed for the year ended December 31, 2016.</w:t>
      </w:r>
    </w:p>
    <w:p>
      <w:pPr>
        <w:spacing w:after="0" w:line="3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We are required to provide the U.S. Nuclear Regulatory Commission and Massachusetts Department of Public Health financial assurance demonstrating our ability to fund the decommissioning of our North Billerica, Massachusetts production facility upon closure, though we do not intend to close the facility. We have provided this financial assurance in the form of a $28.2 million surety bond.</w:t>
      </w:r>
    </w:p>
    <w:p>
      <w:pPr>
        <w:spacing w:after="0" w:line="195" w:lineRule="exact"/>
        <w:rPr>
          <w:sz w:val="20"/>
          <w:szCs w:val="20"/>
          <w:color w:val="auto"/>
        </w:rPr>
      </w:pPr>
    </w:p>
    <w:p>
      <w:pPr>
        <w:ind w:right="400" w:firstLine="405"/>
        <w:spacing w:after="0" w:line="277" w:lineRule="auto"/>
        <w:rPr>
          <w:sz w:val="20"/>
          <w:szCs w:val="20"/>
          <w:color w:val="auto"/>
        </w:rPr>
      </w:pPr>
      <w:r>
        <w:rPr>
          <w:rFonts w:ascii="Arial" w:cs="Arial" w:eastAsia="Arial" w:hAnsi="Arial"/>
          <w:sz w:val="18"/>
          <w:szCs w:val="18"/>
          <w:color w:val="auto"/>
        </w:rPr>
        <w:t>Since inception, we have not engaged in any other off-balance sheet arrangements, including structured finance, special purpose entities or variable interest entities.</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firstLine="405"/>
        <w:spacing w:after="0" w:line="342" w:lineRule="auto"/>
        <w:rPr>
          <w:sz w:val="20"/>
          <w:szCs w:val="20"/>
          <w:color w:val="auto"/>
        </w:rPr>
      </w:pPr>
      <w:r>
        <w:rPr>
          <w:rFonts w:ascii="Arial" w:cs="Arial" w:eastAsia="Arial" w:hAnsi="Arial"/>
          <w:sz w:val="16"/>
          <w:szCs w:val="16"/>
          <w:color w:val="auto"/>
        </w:rPr>
        <w:t>For quantitative and qualitative disclosures about market risk, see Part II, Item 7A, “Quantitative and Qualitative Disclosures About Market Risk,” of our Annual Report on Form 10-K for the year ended December 31, 2016. Our exposures to market risk have not changed materially since December 31, 2016.</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Disclosure Controls and Procedures</w:t>
      </w:r>
    </w:p>
    <w:p>
      <w:pPr>
        <w:spacing w:after="0" w:line="121" w:lineRule="exact"/>
        <w:rPr>
          <w:sz w:val="20"/>
          <w:szCs w:val="20"/>
          <w:color w:val="auto"/>
        </w:rPr>
      </w:pPr>
    </w:p>
    <w:p>
      <w:pPr>
        <w:ind w:right="220" w:firstLine="405"/>
        <w:spacing w:after="0" w:line="257" w:lineRule="auto"/>
        <w:rPr>
          <w:sz w:val="20"/>
          <w:szCs w:val="20"/>
          <w:color w:val="auto"/>
        </w:rPr>
      </w:pPr>
      <w:r>
        <w:rPr>
          <w:rFonts w:ascii="Arial" w:cs="Arial" w:eastAsia="Arial" w:hAnsi="Arial"/>
          <w:sz w:val="18"/>
          <w:szCs w:val="18"/>
          <w:color w:val="auto"/>
        </w:rPr>
        <w:t>The Company’s management, with the participation of the Company’s Chief Executive Officer and Chief Financial Officer (its principal executive officer and principal financial officer, respectively), has evaluated the effectiveness of the Company’s disclosure controls and procedures as defined in Rule 13a-15(e) and 15d-15(e) of the Exchange Act as of September 30, 2017. Based on that evaluation, the Company’s Chief Executive Officer and Chief Financial Officer concluded that the Company’s disclosure controls and procedures (as defined in Exchange Act Rules 13a-15(e) and 15d-15(e)) were effective as of September 30, 2017.</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Changes in Internal Controls Over Financial Reporting</w:t>
      </w:r>
    </w:p>
    <w:p>
      <w:pPr>
        <w:spacing w:after="0" w:line="121"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color w:val="auto"/>
        </w:rPr>
        <w:t>There were no changes in our internal control over financial reporting during the quarter ended September 30, 2017, that have materially affected, or are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121"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OTHER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ind w:right="40" w:firstLine="405"/>
        <w:spacing w:after="0" w:line="255" w:lineRule="auto"/>
        <w:rPr>
          <w:sz w:val="20"/>
          <w:szCs w:val="20"/>
          <w:color w:val="auto"/>
        </w:rPr>
      </w:pPr>
      <w:r>
        <w:rPr>
          <w:rFonts w:ascii="Arial" w:cs="Arial" w:eastAsia="Arial" w:hAnsi="Arial"/>
          <w:sz w:val="18"/>
          <w:szCs w:val="18"/>
          <w:color w:val="auto"/>
        </w:rPr>
        <w:t>From time to time, the Company is a party to various legal proceedings arising in the ordinary course of business. In addition, the Company has in the past been, and may in the future be, subject to investigations by governmental and regulatory authorities, which expose it to greater risks associated with litigation, regulatory or other proceedings, as a result of which the Company could be required to pay significant fines or penalties. The outcome of litigation, regulatory or other proceedings cannot be predicted with certainty, and some lawsuits, claims, actions or proceedings may be disposed of unfavorably to the Company. In addition, intellectual property disputes often have a risk of injunctive relief which, if imposed against the Company, could materially and adversely affect its financial condition or results of operations.</w:t>
      </w:r>
    </w:p>
    <w:p>
      <w:pPr>
        <w:spacing w:after="0" w:line="207" w:lineRule="exact"/>
        <w:rPr>
          <w:sz w:val="20"/>
          <w:szCs w:val="20"/>
          <w:color w:val="auto"/>
        </w:rPr>
      </w:pPr>
    </w:p>
    <w:p>
      <w:pPr>
        <w:jc w:val="both"/>
        <w:ind w:right="280" w:firstLine="405"/>
        <w:spacing w:after="0" w:line="264" w:lineRule="auto"/>
        <w:rPr>
          <w:sz w:val="20"/>
          <w:szCs w:val="20"/>
          <w:color w:val="auto"/>
        </w:rPr>
      </w:pPr>
      <w:r>
        <w:rPr>
          <w:rFonts w:ascii="Arial" w:cs="Arial" w:eastAsia="Arial" w:hAnsi="Arial"/>
          <w:sz w:val="18"/>
          <w:szCs w:val="18"/>
          <w:color w:val="auto"/>
        </w:rPr>
        <w:t>As of September 30, 2017, the Company has no material ongoing litigation in which the Company was a party or any material ongoing regulatory or other proceedings and had no knowledge of any investigations by government or regulatory authorities in which the Company is a target that could have a material adverse effect on its current business.</w:t>
      </w:r>
    </w:p>
    <w:p>
      <w:pPr>
        <w:spacing w:after="0" w:line="3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jc w:val="both"/>
        <w:ind w:right="160" w:firstLine="405"/>
        <w:spacing w:after="0" w:line="342" w:lineRule="auto"/>
        <w:rPr>
          <w:sz w:val="20"/>
          <w:szCs w:val="20"/>
          <w:color w:val="auto"/>
        </w:rPr>
      </w:pPr>
      <w:r>
        <w:rPr>
          <w:rFonts w:ascii="Arial" w:cs="Arial" w:eastAsia="Arial" w:hAnsi="Arial"/>
          <w:sz w:val="16"/>
          <w:szCs w:val="16"/>
          <w:color w:val="auto"/>
        </w:rPr>
        <w:t>There have been no material changes to the risk factors set forth in our Annual Report on Form 10-K for the year ended December 31, 2016, except as set forth below. For further information, refer to Part I, Item 1A. “Risk Factors” in our Annual Report on Form 10-K for the year ended December 31, 2016.</w:t>
      </w:r>
    </w:p>
    <w:p>
      <w:pPr>
        <w:spacing w:after="0" w:line="124" w:lineRule="exact"/>
        <w:rPr>
          <w:sz w:val="20"/>
          <w:szCs w:val="20"/>
          <w:color w:val="auto"/>
        </w:rPr>
      </w:pPr>
    </w:p>
    <w:p>
      <w:pPr>
        <w:ind w:right="400" w:firstLine="648"/>
        <w:spacing w:after="0" w:line="277" w:lineRule="auto"/>
        <w:rPr>
          <w:sz w:val="20"/>
          <w:szCs w:val="20"/>
          <w:color w:val="auto"/>
        </w:rPr>
      </w:pPr>
      <w:r>
        <w:rPr>
          <w:rFonts w:ascii="Arial" w:cs="Arial" w:eastAsia="Arial" w:hAnsi="Arial"/>
          <w:sz w:val="18"/>
          <w:szCs w:val="18"/>
          <w:b w:val="1"/>
          <w:bCs w:val="1"/>
          <w:i w:val="1"/>
          <w:iCs w:val="1"/>
          <w:color w:val="auto"/>
        </w:rPr>
        <w:t>The growth of our business is substantially dependent on increased market penetration for the appropriate use of DEFINITY in suboptimal echocardiograms.</w:t>
      </w:r>
    </w:p>
    <w:p>
      <w:pPr>
        <w:spacing w:after="0" w:line="62" w:lineRule="exact"/>
        <w:rPr>
          <w:sz w:val="20"/>
          <w:szCs w:val="20"/>
          <w:color w:val="auto"/>
        </w:rPr>
      </w:pPr>
    </w:p>
    <w:p>
      <w:pPr>
        <w:ind w:right="40" w:firstLine="405"/>
        <w:spacing w:after="0" w:line="271" w:lineRule="auto"/>
        <w:rPr>
          <w:sz w:val="20"/>
          <w:szCs w:val="20"/>
          <w:color w:val="auto"/>
        </w:rPr>
      </w:pPr>
      <w:r>
        <w:rPr>
          <w:rFonts w:ascii="Arial" w:cs="Arial" w:eastAsia="Arial" w:hAnsi="Arial"/>
          <w:sz w:val="17"/>
          <w:szCs w:val="17"/>
          <w:color w:val="auto"/>
        </w:rPr>
        <w:t>The growth of our business is substantially dependent on increased market penetration for the appropriate use of DEFINITY in suboptimal echocardiograms. Of the total number of echocardiograms performed each year in the U.S., over 31.8 million in 2016, based on medical literature, a third-party source estimates that 20%, or approximately 6.4 million echocardiograms in 2016, produced suboptimal images. We estimate that DEFINITY had an approximately 80% share of the U.S. market for contrast agents in echocardiography procedures as of December 2016. We launched DEFINITY in 2001, and in the U.S., its composition of matter patent will expire in 2019, its manufacturing patent will expire in 2021, and a new method of use patent will expire in 2037. In numerous foreign jurisdictions, patent protection or regulatory exclusivity will currently expire in 2019. We have an active next generation development program for this agent, including pursuing additional indications, new patent protection, and new formulations, but there can be no assurance that this program will be successful or that new patents will protect the agent.</w:t>
      </w:r>
    </w:p>
    <w:p>
      <w:pPr>
        <w:spacing w:after="0" w:line="192" w:lineRule="exact"/>
        <w:rPr>
          <w:sz w:val="20"/>
          <w:szCs w:val="20"/>
          <w:color w:val="auto"/>
        </w:rPr>
      </w:pPr>
    </w:p>
    <w:p>
      <w:pPr>
        <w:ind w:right="120" w:firstLine="405"/>
        <w:spacing w:after="0" w:line="259" w:lineRule="auto"/>
        <w:rPr>
          <w:sz w:val="20"/>
          <w:szCs w:val="20"/>
          <w:color w:val="auto"/>
        </w:rPr>
      </w:pPr>
      <w:r>
        <w:rPr>
          <w:rFonts w:ascii="Arial" w:cs="Arial" w:eastAsia="Arial" w:hAnsi="Arial"/>
          <w:sz w:val="18"/>
          <w:szCs w:val="18"/>
          <w:color w:val="auto"/>
        </w:rPr>
        <w:t>We have on-going development and technology transfer activities for a next generation DEFINITY product with SBL located in Songdo, South Korea, approximately 20 miles southwest of Seoul, but can give no assurances as to when those technology transfer activities will be completed and when we will begin to receive a supply of a next generation DEFINITY product from SBL. In addition, those activities could be adversely affected by on-going political and military tensions on the Korean peninsula.</w:t>
      </w:r>
    </w:p>
    <w:p>
      <w:pPr>
        <w:spacing w:after="0" w:line="200" w:lineRule="exact"/>
        <w:rPr>
          <w:sz w:val="20"/>
          <w:szCs w:val="20"/>
          <w:color w:val="auto"/>
        </w:rPr>
      </w:pPr>
    </w:p>
    <w:p>
      <w:pPr>
        <w:ind w:right="100" w:firstLine="405"/>
        <w:spacing w:after="0" w:line="308" w:lineRule="auto"/>
        <w:rPr>
          <w:sz w:val="20"/>
          <w:szCs w:val="20"/>
          <w:color w:val="auto"/>
        </w:rPr>
      </w:pPr>
      <w:r>
        <w:rPr>
          <w:rFonts w:ascii="Arial" w:cs="Arial" w:eastAsia="Arial" w:hAnsi="Arial"/>
          <w:sz w:val="17"/>
          <w:szCs w:val="17"/>
          <w:color w:val="auto"/>
        </w:rPr>
        <w:t>If we are not able to continue to grow DEFINITY sales through increased market penetration, we will not be able to grow the revenue and cash flow of the business or leverage the substantial overhead of the balance of our business, which could have a negative effect on our prospects.</w:t>
      </w:r>
    </w:p>
    <w:p>
      <w:pPr>
        <w:spacing w:after="0" w:line="147"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b w:val="1"/>
          <w:bCs w:val="1"/>
          <w:i w:val="1"/>
          <w:iCs w:val="1"/>
          <w:color w:val="auto"/>
        </w:rPr>
        <w:t>In the U.S., we are heavily dependent on a few large customers and group purchasing organization arrangements to generate a majority of our revenues for our nuclear medical imaging products and our other products. Outside of the U.S., we rely primarily on distributors to generate a substantial portion of our revenue.</w:t>
      </w:r>
    </w:p>
    <w:p>
      <w:pPr>
        <w:spacing w:after="0" w:line="73" w:lineRule="exact"/>
        <w:rPr>
          <w:sz w:val="20"/>
          <w:szCs w:val="20"/>
          <w:color w:val="auto"/>
        </w:rPr>
      </w:pPr>
    </w:p>
    <w:p>
      <w:pPr>
        <w:ind w:right="20" w:firstLine="405"/>
        <w:spacing w:after="0" w:line="254" w:lineRule="auto"/>
        <w:rPr>
          <w:sz w:val="20"/>
          <w:szCs w:val="20"/>
          <w:color w:val="auto"/>
        </w:rPr>
      </w:pPr>
      <w:r>
        <w:rPr>
          <w:rFonts w:ascii="Arial" w:cs="Arial" w:eastAsia="Arial" w:hAnsi="Arial"/>
          <w:sz w:val="18"/>
          <w:szCs w:val="18"/>
          <w:color w:val="auto"/>
        </w:rPr>
        <w:t>In the U.S., we have historically relied on a limited number of radiopharmacy customers, primarily Cardinal, UPPI, GE Healthcare and Triad, to distribute our current largest volume nuclear imaging products and generate a majority of our revenues. Three customers accounted for approximately 30% of our revenues in the year ended December 31, 2016, with UPPI, Cardinal, and GE Healthcare accounting for approximately 11%, 10% and 9%, respectively. Among the existing radiopharmacies in the U.S., continued consolidations, divestitures and reorganizations may have a negative effect on our business, results of operations, financial condition or cash flows. We generally have distribution arrangements with our major radiopharmacy customers pursuant to multi-year contracts, each of which is subject to renewal. If these contracts are terminated prior to expiration of their term, or are not renewed, or are renewed on terms that are less favorable to us, then such an event could have a material adverse effect on our business, results of operations, financial condition and cash flows.</w:t>
      </w:r>
    </w:p>
    <w:p>
      <w:pPr>
        <w:spacing w:after="0" w:line="206" w:lineRule="exact"/>
        <w:rPr>
          <w:sz w:val="20"/>
          <w:szCs w:val="20"/>
          <w:color w:val="auto"/>
        </w:rPr>
      </w:pPr>
    </w:p>
    <w:p>
      <w:pPr>
        <w:ind w:right="20" w:firstLine="405"/>
        <w:spacing w:after="0" w:line="264" w:lineRule="auto"/>
        <w:rPr>
          <w:sz w:val="20"/>
          <w:szCs w:val="20"/>
          <w:color w:val="auto"/>
        </w:rPr>
      </w:pPr>
      <w:r>
        <w:rPr>
          <w:rFonts w:ascii="Arial" w:cs="Arial" w:eastAsia="Arial" w:hAnsi="Arial"/>
          <w:sz w:val="18"/>
          <w:szCs w:val="18"/>
          <w:color w:val="auto"/>
        </w:rPr>
        <w:t>In Puerto Rico, we own and operate one of two radiopharmacies on the island and sell our own products as well as products of third parties to end users. In September 2017, Hurricane Maria devastated the island, interrupting power and telecommunications services for most of the island and limiting ground and air transportation. The building that houses our radiopharmacy sustained</w:t>
      </w:r>
    </w:p>
    <w:p>
      <w:pPr>
        <w:spacing w:after="0" w:line="200" w:lineRule="exact"/>
        <w:rPr>
          <w:sz w:val="20"/>
          <w:szCs w:val="20"/>
          <w:color w:val="auto"/>
        </w:rPr>
      </w:pPr>
    </w:p>
    <w:p>
      <w:pPr>
        <w:spacing w:after="0" w:line="238" w:lineRule="exact"/>
        <w:rPr>
          <w:sz w:val="20"/>
          <w:szCs w:val="20"/>
          <w:color w:val="auto"/>
        </w:rPr>
      </w:pPr>
    </w:p>
    <w:p>
      <w:pPr>
        <w:jc w:val="center"/>
        <w:ind w:left="400"/>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121"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6"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minimal external physical damage as a result of the hurricane. From and after September 20, 2017, the number of diagnostic imaging procedures performed on the island has severely declined. While we currently believe that the number of diagnostic imaging procedures performed in Puerto Rico will slowly return to prior levels, we can give no assurances of that, and failure of our radiopharmacy to return to such prior levels could have a negative effect on the revenue and cash flow of our business.</w:t>
      </w:r>
    </w:p>
    <w:p>
      <w:pPr>
        <w:spacing w:after="0" w:line="200" w:lineRule="exact"/>
        <w:rPr>
          <w:sz w:val="20"/>
          <w:szCs w:val="20"/>
          <w:color w:val="auto"/>
        </w:rPr>
      </w:pPr>
    </w:p>
    <w:p>
      <w:pPr>
        <w:ind w:right="80" w:firstLine="405"/>
        <w:spacing w:after="0" w:line="264" w:lineRule="auto"/>
        <w:rPr>
          <w:sz w:val="20"/>
          <w:szCs w:val="20"/>
          <w:color w:val="auto"/>
        </w:rPr>
      </w:pPr>
      <w:r>
        <w:rPr>
          <w:rFonts w:ascii="Arial" w:cs="Arial" w:eastAsia="Arial" w:hAnsi="Arial"/>
          <w:sz w:val="18"/>
          <w:szCs w:val="18"/>
          <w:color w:val="auto"/>
        </w:rPr>
        <w:t>For all of our medical imaging products, we continue to experience significant pricing pressures from our competitors, large customers and group purchasing organizations, and any significant, additional pricing pressures could lead to a reduction in revenue which could have a material adverse effect on our business, results of operations, financial condition and cash flows.</w:t>
      </w:r>
    </w:p>
    <w:p>
      <w:pPr>
        <w:spacing w:after="0" w:line="195" w:lineRule="exact"/>
        <w:rPr>
          <w:sz w:val="20"/>
          <w:szCs w:val="20"/>
          <w:color w:val="auto"/>
        </w:rPr>
      </w:pPr>
    </w:p>
    <w:p>
      <w:pPr>
        <w:ind w:right="140" w:firstLine="405"/>
        <w:spacing w:after="0" w:line="271" w:lineRule="auto"/>
        <w:rPr>
          <w:sz w:val="20"/>
          <w:szCs w:val="20"/>
          <w:color w:val="auto"/>
        </w:rPr>
      </w:pPr>
      <w:r>
        <w:rPr>
          <w:rFonts w:ascii="Arial" w:cs="Arial" w:eastAsia="Arial" w:hAnsi="Arial"/>
          <w:sz w:val="17"/>
          <w:szCs w:val="17"/>
          <w:color w:val="auto"/>
        </w:rPr>
        <w:t>Outside of the U.S., Canada and Puerto Rico, we have no sales force and, consequently, rely on third-party distributors, either on a country-by-country basis or on a multi-country, regional basis, to market, sell and distribute our products. This is the case in both Canada and Australia, where we formerly owned or operated radiopharmacies and are now distributing products under the Isologic Agreement and the GMS Agreement, respectively. Distributors accounted for approximately 34%, 15% and 17% of International segment revenues for the years ended December 31, 2016, 2015 and 2014, respectively. In certain circumstances, distributors may also sell competing products to our own or products for competing diagnostic modalities and may have incentives to shift sales towards those competing products. As a result, we cannot assure you that our international distributors will increase or maintain current levels of unit sales or that we will be able to increase or maintain our current unit pricing, which, in turn, could have a material adverse effect on our business, results of operations, financial condition and cash flows.</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Our business is subject to international economic, political and other risks that could negatively affect our results of operations or financial</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position.</w:t>
      </w:r>
    </w:p>
    <w:p>
      <w:pPr>
        <w:spacing w:after="0" w:line="103" w:lineRule="exact"/>
        <w:rPr>
          <w:sz w:val="20"/>
          <w:szCs w:val="20"/>
          <w:color w:val="auto"/>
        </w:rPr>
      </w:pPr>
    </w:p>
    <w:p>
      <w:pPr>
        <w:ind w:right="220" w:firstLine="405"/>
        <w:spacing w:after="0" w:line="277" w:lineRule="auto"/>
        <w:rPr>
          <w:sz w:val="20"/>
          <w:szCs w:val="20"/>
          <w:color w:val="auto"/>
        </w:rPr>
      </w:pPr>
      <w:r>
        <w:rPr>
          <w:rFonts w:ascii="Arial" w:cs="Arial" w:eastAsia="Arial" w:hAnsi="Arial"/>
          <w:sz w:val="18"/>
          <w:szCs w:val="18"/>
          <w:color w:val="auto"/>
        </w:rPr>
        <w:t>For the years ended December 31, 2016, 2015 and 2014, we derived approximately 15%, 20% and 22% of our revenues from outside the fifty United States, respectively. Accordingly, our business is subject to risks associated with doing business internationally, including:</w:t>
      </w:r>
    </w:p>
    <w:p>
      <w:pPr>
        <w:spacing w:after="0" w:line="62" w:lineRule="exact"/>
        <w:rPr>
          <w:sz w:val="20"/>
          <w:szCs w:val="20"/>
          <w:color w:val="auto"/>
        </w:rPr>
      </w:pPr>
    </w:p>
    <w:p>
      <w:pPr>
        <w:ind w:left="660" w:right="20" w:hanging="166"/>
        <w:spacing w:after="0" w:line="308" w:lineRule="auto"/>
        <w:tabs>
          <w:tab w:leader="none" w:pos="6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Less stable political and economic environments and changes in a specific country’s or region’s political or economic conditions, including on-going political and military tensions on the Korean peninsula which could adversely affect our next generation DEFINITY program at SBL;</w:t>
      </w:r>
    </w:p>
    <w:p>
      <w:pPr>
        <w:spacing w:after="0" w:line="38" w:lineRule="exact"/>
        <w:rPr>
          <w:rFonts w:ascii="Arial" w:cs="Arial" w:eastAsia="Arial" w:hAnsi="Arial"/>
          <w:sz w:val="17"/>
          <w:szCs w:val="17"/>
          <w:color w:val="auto"/>
        </w:rPr>
      </w:pPr>
    </w:p>
    <w:p>
      <w:pPr>
        <w:ind w:left="660" w:hanging="166"/>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Entering into or renewing commercial agreements with international governments or provincial authorities or entities directly or indirectly controlled by such governments or authorities, such as our Chinese partner Double-Crane Pharmaceutical Company;</w:t>
      </w:r>
    </w:p>
    <w:p>
      <w:pPr>
        <w:spacing w:after="0" w:line="62"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International customers which are agencies or institutions of foreign governments;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Local business practices which may be in conflict with the U.S. Foreign Corrupt Practices Act and U.K. Bribery Act;</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Currency fluctuations;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Potential negative consequences from changes in tax laws affecting our ability to repatriate profits;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Unfavorable labor regulations;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Greater difficulties in relying on non-U.S. courts to enforce either local or U.S. laws, particularly with respect to intellectual property;</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Greater potential for intellectual property piracy;</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Greater difficulties in managing and staffing non-U.S. operations;</w:t>
      </w:r>
    </w:p>
    <w:p>
      <w:pPr>
        <w:spacing w:after="0" w:line="117" w:lineRule="exact"/>
        <w:rPr>
          <w:rFonts w:ascii="Arial" w:cs="Arial" w:eastAsia="Arial" w:hAnsi="Arial"/>
          <w:sz w:val="18"/>
          <w:szCs w:val="18"/>
          <w:color w:val="auto"/>
        </w:rPr>
      </w:pPr>
    </w:p>
    <w:p>
      <w:pPr>
        <w:ind w:left="660" w:right="120" w:hanging="166"/>
        <w:spacing w:after="0" w:line="308" w:lineRule="auto"/>
        <w:tabs>
          <w:tab w:leader="none" w:pos="6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need to ensure compliance with the numerous in-country and international regulatory and legal requirements applicable to our business in each of these jurisdictions and to maintain an effective compliance program to ensure compliance with these requirements;</w:t>
      </w:r>
    </w:p>
    <w:p>
      <w:pPr>
        <w:spacing w:after="0" w:line="38" w:lineRule="exact"/>
        <w:rPr>
          <w:rFonts w:ascii="Arial" w:cs="Arial" w:eastAsia="Arial" w:hAnsi="Arial"/>
          <w:sz w:val="17"/>
          <w:szCs w:val="17"/>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Changes in public attitudes about the perceived safety of nuclear facilities;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Changes in trade policies, regulatory requirements and other barriers;</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Civil unrest or other catastrophic events, including Hurricane Maria in Puerto Rico; and</w:t>
      </w:r>
    </w:p>
    <w:p>
      <w:pPr>
        <w:spacing w:after="0" w:line="117" w:lineRule="exact"/>
        <w:rPr>
          <w:rFonts w:ascii="Arial" w:cs="Arial" w:eastAsia="Arial" w:hAnsi="Arial"/>
          <w:sz w:val="18"/>
          <w:szCs w:val="18"/>
          <w:color w:val="auto"/>
        </w:rPr>
      </w:pPr>
    </w:p>
    <w:p>
      <w:pPr>
        <w:ind w:left="660" w:hanging="166"/>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Longer payment cycles of non-U.S. customers and difficulty collecting receivables in non-U.S. jurisdictions.</w:t>
      </w:r>
    </w:p>
    <w:p>
      <w:pPr>
        <w:spacing w:after="0" w:line="239" w:lineRule="exact"/>
        <w:rPr>
          <w:sz w:val="20"/>
          <w:szCs w:val="20"/>
          <w:color w:val="auto"/>
        </w:rPr>
      </w:pPr>
    </w:p>
    <w:p>
      <w:pPr>
        <w:ind w:right="40" w:firstLine="405"/>
        <w:spacing w:after="0" w:line="264" w:lineRule="auto"/>
        <w:rPr>
          <w:sz w:val="20"/>
          <w:szCs w:val="20"/>
          <w:color w:val="auto"/>
        </w:rPr>
      </w:pPr>
      <w:r>
        <w:rPr>
          <w:rFonts w:ascii="Arial" w:cs="Arial" w:eastAsia="Arial" w:hAnsi="Arial"/>
          <w:sz w:val="18"/>
          <w:szCs w:val="18"/>
          <w:color w:val="auto"/>
        </w:rPr>
        <w:t>These factors are beyond our control. The realization of any of these or other risks associated with operating outside the fifty United States could have a material adverse effect on our business, results of operations, financial condition and cash flows. As our international exposure increases and as we execute our strategy of international expansion, these risks may intensify.</w:t>
      </w:r>
    </w:p>
    <w:p>
      <w:pPr>
        <w:spacing w:after="0" w:line="200" w:lineRule="exact"/>
        <w:rPr>
          <w:sz w:val="20"/>
          <w:szCs w:val="20"/>
          <w:color w:val="auto"/>
        </w:rPr>
      </w:pPr>
    </w:p>
    <w:p>
      <w:pPr>
        <w:spacing w:after="0" w:line="238"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121" w:right="25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Repurchases</w:t>
      </w:r>
    </w:p>
    <w:p>
      <w:pPr>
        <w:spacing w:after="0" w:line="121" w:lineRule="exact"/>
        <w:rPr>
          <w:sz w:val="20"/>
          <w:szCs w:val="20"/>
          <w:color w:val="auto"/>
        </w:rPr>
      </w:pPr>
    </w:p>
    <w:p>
      <w:pPr>
        <w:ind w:right="340" w:firstLine="405"/>
        <w:spacing w:after="0" w:line="297" w:lineRule="auto"/>
        <w:rPr>
          <w:sz w:val="20"/>
          <w:szCs w:val="20"/>
          <w:color w:val="auto"/>
        </w:rPr>
      </w:pPr>
      <w:r>
        <w:rPr>
          <w:rFonts w:ascii="Arial" w:cs="Arial" w:eastAsia="Arial" w:hAnsi="Arial"/>
          <w:sz w:val="16"/>
          <w:szCs w:val="16"/>
          <w:color w:val="auto"/>
        </w:rPr>
        <w:t>The following table presents information with respect to purchases of common stock we made during the quarter ending September 30, 2017. The Company does not have a share repurchase program in effect. The 2015 Equity Incentive Plan, adopted by the Company on June 24, 2015, and amended April 26, 2016 and as further amended on April 27, 2017, provides for the withholding of shares held by employees to satisfy tax obligations. It does not specify a maximum number of shares that can be withheld for this purpose. The shares of common stock withheld to satisfy minimum tax withholding obligations may be deemed to be “issuer purchases” of shares that are required to be disclosed pursuant to this Item.</w:t>
      </w:r>
    </w:p>
    <w:p>
      <w:pPr>
        <w:spacing w:after="0" w:line="313" w:lineRule="exact"/>
        <w:rPr>
          <w:sz w:val="20"/>
          <w:szCs w:val="20"/>
          <w:color w:val="auto"/>
        </w:rPr>
      </w:pPr>
    </w:p>
    <w:tbl>
      <w:tblPr>
        <w:tblLayout w:type="fixed"/>
        <w:tblInd w:w="880" w:type="dxa"/>
        <w:tblCellMar>
          <w:top w:w="0" w:type="dxa"/>
          <w:left w:w="0" w:type="dxa"/>
          <w:bottom w:w="0" w:type="dxa"/>
          <w:right w:w="0" w:type="dxa"/>
        </w:tblCellMar>
      </w:tblPr>
      <w:tr>
        <w:trPr>
          <w:trHeight w:val="161"/>
        </w:trPr>
        <w:tc>
          <w:tcPr>
            <w:tcW w:w="2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100" w:type="dxa"/>
            <w:vAlign w:val="bottom"/>
          </w:tcPr>
          <w:p>
            <w:pPr>
              <w:spacing w:after="0"/>
              <w:rPr>
                <w:sz w:val="14"/>
                <w:szCs w:val="14"/>
                <w:color w:val="auto"/>
              </w:rPr>
            </w:pPr>
          </w:p>
        </w:tc>
        <w:tc>
          <w:tcPr>
            <w:tcW w:w="1740" w:type="dxa"/>
            <w:vAlign w:val="bottom"/>
          </w:tcPr>
          <w:p>
            <w:pPr>
              <w:jc w:val="center"/>
              <w:spacing w:after="0"/>
              <w:rPr>
                <w:sz w:val="20"/>
                <w:szCs w:val="20"/>
                <w:color w:val="auto"/>
              </w:rPr>
            </w:pPr>
            <w:r>
              <w:rPr>
                <w:rFonts w:ascii="Arial" w:cs="Arial" w:eastAsia="Arial" w:hAnsi="Arial"/>
                <w:sz w:val="14"/>
                <w:szCs w:val="14"/>
                <w:b w:val="1"/>
                <w:bCs w:val="1"/>
                <w:color w:val="auto"/>
                <w:w w:val="95"/>
              </w:rPr>
              <w:t>Approximate Dollar</w:t>
            </w: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Value of Shares that</w:t>
            </w:r>
          </w:p>
        </w:tc>
        <w:tc>
          <w:tcPr>
            <w:tcW w:w="0" w:type="dxa"/>
            <w:vAlign w:val="bottom"/>
          </w:tcPr>
          <w:p>
            <w:pPr>
              <w:spacing w:after="0"/>
              <w:rPr>
                <w:sz w:val="1"/>
                <w:szCs w:val="1"/>
                <w:color w:val="auto"/>
              </w:rPr>
            </w:pPr>
          </w:p>
        </w:tc>
      </w:tr>
      <w:tr>
        <w:trPr>
          <w:trHeight w:val="149"/>
        </w:trPr>
        <w:tc>
          <w:tcPr>
            <w:tcW w:w="2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40" w:type="dxa"/>
            <w:vAlign w:val="bottom"/>
            <w:vMerge w:val="restart"/>
          </w:tcPr>
          <w:p>
            <w:pPr>
              <w:jc w:val="right"/>
              <w:ind w:right="156"/>
              <w:spacing w:after="0"/>
              <w:rPr>
                <w:sz w:val="20"/>
                <w:szCs w:val="20"/>
                <w:color w:val="auto"/>
              </w:rPr>
            </w:pPr>
            <w:r>
              <w:rPr>
                <w:rFonts w:ascii="Arial" w:cs="Arial" w:eastAsia="Arial" w:hAnsi="Arial"/>
                <w:sz w:val="14"/>
                <w:szCs w:val="14"/>
                <w:b w:val="1"/>
                <w:bCs w:val="1"/>
                <w:color w:val="auto"/>
              </w:rPr>
              <w:t>Total Number of</w:t>
            </w: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4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Average Price Paid</w:t>
            </w:r>
          </w:p>
        </w:tc>
        <w:tc>
          <w:tcPr>
            <w:tcW w:w="1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Shares Purchased as</w:t>
            </w:r>
          </w:p>
        </w:tc>
        <w:tc>
          <w:tcPr>
            <w:tcW w:w="100" w:type="dxa"/>
            <w:vAlign w:val="bottom"/>
          </w:tcPr>
          <w:p>
            <w:pPr>
              <w:spacing w:after="0"/>
              <w:rPr>
                <w:sz w:val="12"/>
                <w:szCs w:val="12"/>
                <w:color w:val="auto"/>
              </w:rPr>
            </w:pPr>
          </w:p>
        </w:tc>
        <w:tc>
          <w:tcPr>
            <w:tcW w:w="1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May Yet Be Purchased</w:t>
            </w:r>
          </w:p>
        </w:tc>
        <w:tc>
          <w:tcPr>
            <w:tcW w:w="0" w:type="dxa"/>
            <w:vAlign w:val="bottom"/>
          </w:tcPr>
          <w:p>
            <w:pPr>
              <w:spacing w:after="0"/>
              <w:rPr>
                <w:sz w:val="1"/>
                <w:szCs w:val="1"/>
                <w:color w:val="auto"/>
              </w:rPr>
            </w:pPr>
          </w:p>
        </w:tc>
      </w:tr>
      <w:tr>
        <w:trPr>
          <w:trHeight w:val="149"/>
        </w:trPr>
        <w:tc>
          <w:tcPr>
            <w:tcW w:w="2380" w:type="dxa"/>
            <w:vAlign w:val="bottom"/>
            <w:vMerge w:val="restart"/>
          </w:tcPr>
          <w:p>
            <w:pPr>
              <w:ind w:left="980"/>
              <w:spacing w:after="0"/>
              <w:rPr>
                <w:sz w:val="20"/>
                <w:szCs w:val="20"/>
                <w:color w:val="auto"/>
              </w:rPr>
            </w:pPr>
            <w:r>
              <w:rPr>
                <w:rFonts w:ascii="Arial" w:cs="Arial" w:eastAsia="Arial" w:hAnsi="Arial"/>
                <w:sz w:val="14"/>
                <w:szCs w:val="14"/>
                <w:b w:val="1"/>
                <w:bCs w:val="1"/>
                <w:color w:val="auto"/>
              </w:rPr>
              <w:t>Period</w:t>
            </w:r>
          </w:p>
        </w:tc>
        <w:tc>
          <w:tcPr>
            <w:tcW w:w="120" w:type="dxa"/>
            <w:vAlign w:val="bottom"/>
            <w:vMerge w:val="restart"/>
          </w:tcPr>
          <w:p>
            <w:pPr>
              <w:spacing w:after="0"/>
              <w:rPr>
                <w:sz w:val="12"/>
                <w:szCs w:val="12"/>
                <w:color w:val="auto"/>
              </w:rPr>
            </w:pPr>
          </w:p>
        </w:tc>
        <w:tc>
          <w:tcPr>
            <w:tcW w:w="14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40" w:type="dxa"/>
            <w:vAlign w:val="bottom"/>
            <w:gridSpan w:val="2"/>
            <w:vMerge w:val="continue"/>
          </w:tcPr>
          <w:p>
            <w:pPr>
              <w:spacing w:after="0"/>
              <w:rPr>
                <w:sz w:val="12"/>
                <w:szCs w:val="12"/>
                <w:color w:val="auto"/>
              </w:rPr>
            </w:pPr>
          </w:p>
        </w:tc>
        <w:tc>
          <w:tcPr>
            <w:tcW w:w="1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Part of Publicly</w:t>
            </w:r>
          </w:p>
        </w:tc>
        <w:tc>
          <w:tcPr>
            <w:tcW w:w="100" w:type="dxa"/>
            <w:vAlign w:val="bottom"/>
          </w:tcPr>
          <w:p>
            <w:pPr>
              <w:spacing w:after="0"/>
              <w:rPr>
                <w:sz w:val="12"/>
                <w:szCs w:val="12"/>
                <w:color w:val="auto"/>
              </w:rPr>
            </w:pPr>
          </w:p>
        </w:tc>
        <w:tc>
          <w:tcPr>
            <w:tcW w:w="1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8"/>
              </w:rPr>
              <w:t>Under</w:t>
            </w:r>
          </w:p>
        </w:tc>
        <w:tc>
          <w:tcPr>
            <w:tcW w:w="0" w:type="dxa"/>
            <w:vAlign w:val="bottom"/>
          </w:tcPr>
          <w:p>
            <w:pPr>
              <w:spacing w:after="0"/>
              <w:rPr>
                <w:sz w:val="1"/>
                <w:szCs w:val="1"/>
                <w:color w:val="auto"/>
              </w:rPr>
            </w:pPr>
          </w:p>
        </w:tc>
      </w:tr>
      <w:tr>
        <w:trPr>
          <w:trHeight w:val="192"/>
        </w:trPr>
        <w:tc>
          <w:tcPr>
            <w:tcW w:w="23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40" w:type="dxa"/>
            <w:vAlign w:val="bottom"/>
            <w:tcBorders>
              <w:bottom w:val="single" w:sz="8" w:color="auto"/>
            </w:tcBorders>
          </w:tcPr>
          <w:p>
            <w:pPr>
              <w:jc w:val="right"/>
              <w:ind w:right="96"/>
              <w:spacing w:after="0"/>
              <w:rPr>
                <w:sz w:val="20"/>
                <w:szCs w:val="20"/>
                <w:color w:val="auto"/>
              </w:rPr>
            </w:pPr>
            <w:r>
              <w:rPr>
                <w:rFonts w:ascii="Arial" w:cs="Arial" w:eastAsia="Arial" w:hAnsi="Arial"/>
                <w:sz w:val="14"/>
                <w:szCs w:val="14"/>
                <w:b w:val="1"/>
                <w:bCs w:val="1"/>
                <w:color w:val="auto"/>
              </w:rPr>
              <w:t>Shares Purchased</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tcPr>
          <w:p>
            <w:pPr>
              <w:jc w:val="right"/>
              <w:ind w:right="557"/>
              <w:spacing w:after="0"/>
              <w:rPr>
                <w:sz w:val="20"/>
                <w:szCs w:val="20"/>
                <w:color w:val="auto"/>
              </w:rPr>
            </w:pPr>
            <w:r>
              <w:rPr>
                <w:rFonts w:ascii="Arial" w:cs="Arial" w:eastAsia="Arial" w:hAnsi="Arial"/>
                <w:sz w:val="14"/>
                <w:szCs w:val="14"/>
                <w:b w:val="1"/>
                <w:bCs w:val="1"/>
                <w:color w:val="auto"/>
              </w:rPr>
              <w:t>per Share</w:t>
            </w:r>
          </w:p>
        </w:tc>
        <w:tc>
          <w:tcPr>
            <w:tcW w:w="100" w:type="dxa"/>
            <w:vAlign w:val="bottom"/>
            <w:tcBorders>
              <w:bottom w:val="single" w:sz="8" w:color="CCEEFF"/>
            </w:tcBorders>
          </w:tcPr>
          <w:p>
            <w:pPr>
              <w:spacing w:after="0"/>
              <w:rPr>
                <w:sz w:val="16"/>
                <w:szCs w:val="16"/>
                <w:color w:val="auto"/>
              </w:rPr>
            </w:pPr>
          </w:p>
        </w:tc>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Announced Programs</w:t>
            </w:r>
          </w:p>
        </w:tc>
        <w:tc>
          <w:tcPr>
            <w:tcW w:w="100" w:type="dxa"/>
            <w:vAlign w:val="bottom"/>
            <w:tcBorders>
              <w:bottom w:val="single" w:sz="8" w:color="CCEEFF"/>
            </w:tcBorders>
          </w:tcPr>
          <w:p>
            <w:pPr>
              <w:spacing w:after="0"/>
              <w:rPr>
                <w:sz w:val="16"/>
                <w:szCs w:val="16"/>
                <w:color w:val="auto"/>
              </w:rPr>
            </w:pP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the Program</w:t>
            </w:r>
          </w:p>
        </w:tc>
        <w:tc>
          <w:tcPr>
            <w:tcW w:w="0" w:type="dxa"/>
            <w:vAlign w:val="bottom"/>
          </w:tcPr>
          <w:p>
            <w:pPr>
              <w:spacing w:after="0"/>
              <w:rPr>
                <w:sz w:val="1"/>
                <w:szCs w:val="1"/>
                <w:color w:val="auto"/>
              </w:rPr>
            </w:pPr>
          </w:p>
        </w:tc>
      </w:tr>
      <w:tr>
        <w:trPr>
          <w:trHeight w:val="250"/>
        </w:trPr>
        <w:tc>
          <w:tcPr>
            <w:tcW w:w="25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July 2017**</w:t>
            </w:r>
          </w:p>
        </w:tc>
        <w:tc>
          <w:tcPr>
            <w:tcW w:w="14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8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184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2500" w:type="dxa"/>
            <w:vAlign w:val="bottom"/>
            <w:gridSpan w:val="2"/>
          </w:tcPr>
          <w:p>
            <w:pPr>
              <w:ind w:left="20"/>
              <w:spacing w:after="0"/>
              <w:rPr>
                <w:sz w:val="20"/>
                <w:szCs w:val="20"/>
                <w:color w:val="auto"/>
              </w:rPr>
            </w:pPr>
            <w:r>
              <w:rPr>
                <w:rFonts w:ascii="Arial" w:cs="Arial" w:eastAsia="Arial" w:hAnsi="Arial"/>
                <w:sz w:val="18"/>
                <w:szCs w:val="18"/>
                <w:color w:val="auto"/>
              </w:rPr>
              <w:t>August 2017**</w:t>
            </w:r>
          </w:p>
        </w:tc>
        <w:tc>
          <w:tcPr>
            <w:tcW w:w="1440" w:type="dxa"/>
            <w:vAlign w:val="bottom"/>
          </w:tcPr>
          <w:p>
            <w:pPr>
              <w:jc w:val="right"/>
              <w:ind w:right="16"/>
              <w:spacing w:after="0"/>
              <w:rPr>
                <w:sz w:val="20"/>
                <w:szCs w:val="20"/>
                <w:color w:val="auto"/>
              </w:rPr>
            </w:pPr>
            <w:r>
              <w:rPr>
                <w:rFonts w:ascii="Arial" w:cs="Arial" w:eastAsia="Arial" w:hAnsi="Arial"/>
                <w:sz w:val="18"/>
                <w:szCs w:val="18"/>
                <w:color w:val="auto"/>
              </w:rPr>
              <w:t>27,918</w:t>
            </w:r>
          </w:p>
        </w:tc>
        <w:tc>
          <w:tcPr>
            <w:tcW w:w="3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640" w:type="dxa"/>
            <w:vAlign w:val="bottom"/>
          </w:tcPr>
          <w:p>
            <w:pPr>
              <w:jc w:val="right"/>
              <w:ind w:right="17"/>
              <w:spacing w:after="0"/>
              <w:rPr>
                <w:sz w:val="20"/>
                <w:szCs w:val="20"/>
                <w:color w:val="auto"/>
              </w:rPr>
            </w:pPr>
            <w:r>
              <w:rPr>
                <w:rFonts w:ascii="Arial" w:cs="Arial" w:eastAsia="Arial" w:hAnsi="Arial"/>
                <w:sz w:val="18"/>
                <w:szCs w:val="18"/>
                <w:color w:val="auto"/>
              </w:rPr>
              <w:t>17.48</w:t>
            </w:r>
          </w:p>
        </w:tc>
        <w:tc>
          <w:tcPr>
            <w:tcW w:w="100" w:type="dxa"/>
            <w:vAlign w:val="bottom"/>
          </w:tcPr>
          <w:p>
            <w:pPr>
              <w:spacing w:after="0"/>
              <w:rPr>
                <w:sz w:val="21"/>
                <w:szCs w:val="21"/>
                <w:color w:val="auto"/>
              </w:rPr>
            </w:pPr>
          </w:p>
        </w:tc>
        <w:tc>
          <w:tcPr>
            <w:tcW w:w="1840" w:type="dxa"/>
            <w:vAlign w:val="bottom"/>
          </w:tcPr>
          <w:p>
            <w:pPr>
              <w:jc w:val="center"/>
              <w:spacing w:after="0"/>
              <w:rPr>
                <w:sz w:val="20"/>
                <w:szCs w:val="20"/>
                <w:color w:val="auto"/>
              </w:rPr>
            </w:pPr>
            <w:r>
              <w:rPr>
                <w:rFonts w:ascii="Arial" w:cs="Arial" w:eastAsia="Arial" w:hAnsi="Arial"/>
                <w:sz w:val="18"/>
                <w:szCs w:val="18"/>
                <w:color w:val="auto"/>
              </w:rPr>
              <w:t>*</w:t>
            </w:r>
          </w:p>
        </w:tc>
        <w:tc>
          <w:tcPr>
            <w:tcW w:w="1840" w:type="dxa"/>
            <w:vAlign w:val="bottom"/>
            <w:gridSpan w:val="2"/>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25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September 2017**</w:t>
            </w:r>
          </w:p>
        </w:tc>
        <w:tc>
          <w:tcPr>
            <w:tcW w:w="14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37,860</w:t>
            </w: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16.80</w:t>
            </w:r>
          </w:p>
        </w:tc>
        <w:tc>
          <w:tcPr>
            <w:tcW w:w="100" w:type="dxa"/>
            <w:vAlign w:val="bottom"/>
            <w:tcBorders>
              <w:bottom w:val="single" w:sz="8" w:color="CCEEFF"/>
            </w:tcBorders>
            <w:shd w:val="clear" w:color="auto" w:fill="CCEEFF"/>
          </w:tcPr>
          <w:p>
            <w:pPr>
              <w:spacing w:after="0"/>
              <w:rPr>
                <w:sz w:val="23"/>
                <w:szCs w:val="23"/>
                <w:color w:val="auto"/>
              </w:rPr>
            </w:pPr>
          </w:p>
        </w:tc>
        <w:tc>
          <w:tcPr>
            <w:tcW w:w="18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184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2500" w:type="dxa"/>
            <w:vAlign w:val="bottom"/>
            <w:gridSpan w:val="2"/>
          </w:tcPr>
          <w:p>
            <w:pPr>
              <w:ind w:left="380"/>
              <w:spacing w:after="0"/>
              <w:rPr>
                <w:sz w:val="20"/>
                <w:szCs w:val="20"/>
                <w:color w:val="auto"/>
              </w:rPr>
            </w:pPr>
            <w:r>
              <w:rPr>
                <w:rFonts w:ascii="Arial" w:cs="Arial" w:eastAsia="Arial" w:hAnsi="Arial"/>
                <w:sz w:val="18"/>
                <w:szCs w:val="18"/>
                <w:color w:val="auto"/>
              </w:rPr>
              <w:t>Total</w:t>
            </w:r>
          </w:p>
        </w:tc>
        <w:tc>
          <w:tcPr>
            <w:tcW w:w="144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65,778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left="420"/>
        <w:spacing w:after="0"/>
        <w:rPr>
          <w:sz w:val="20"/>
          <w:szCs w:val="20"/>
          <w:color w:val="auto"/>
        </w:rPr>
      </w:pPr>
      <w:r>
        <w:rPr>
          <w:rFonts w:ascii="Arial" w:cs="Arial" w:eastAsia="Arial" w:hAnsi="Arial"/>
          <w:sz w:val="18"/>
          <w:szCs w:val="18"/>
          <w:color w:val="auto"/>
        </w:rPr>
        <w:t>* These amounts are not applicable as the Company does not have a share repurchase program in effect.</w:t>
      </w:r>
    </w:p>
    <w:p>
      <w:pPr>
        <w:spacing w:after="0" w:line="23" w:lineRule="exact"/>
        <w:rPr>
          <w:sz w:val="20"/>
          <w:szCs w:val="20"/>
          <w:color w:val="auto"/>
        </w:rPr>
      </w:pPr>
    </w:p>
    <w:p>
      <w:pPr>
        <w:ind w:left="420" w:right="1720" w:hanging="7"/>
        <w:spacing w:after="0" w:line="261" w:lineRule="auto"/>
        <w:tabs>
          <w:tab w:leader="none" w:pos="645"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Reflects shares withheld to satisfy minimum statutory tax withholding amounts due from employees related to the vesting of restricted shares from equity-based awards.</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Policy</w:t>
      </w:r>
    </w:p>
    <w:p>
      <w:pPr>
        <w:spacing w:after="0" w:line="121"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We did not declare or pay any dividends and we do not currently intend to pay dividends in the foreseeable future. We currently expect to retain future earnings, if any, for the foreseeable future, to repay indebtedness and to finance the growth and development of our business. Our ability to pay dividends are restricted by our financing arrangements. See Part I, Item 2. “Management’s Discussion and Analysis of Financial Condition and Results of Operations-Liquidity and Capital Resources-External Sources of Liquidity” for further information.</w:t>
      </w:r>
    </w:p>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Not applicable.</w:t>
      </w: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21" w:lineRule="exact"/>
        <w:rPr>
          <w:sz w:val="20"/>
          <w:szCs w:val="20"/>
          <w:color w:val="auto"/>
        </w:rPr>
      </w:pPr>
    </w:p>
    <w:p>
      <w:pPr>
        <w:jc w:val="both"/>
        <w:ind w:right="280" w:firstLine="405"/>
        <w:spacing w:after="0" w:line="302" w:lineRule="auto"/>
        <w:rPr>
          <w:sz w:val="20"/>
          <w:szCs w:val="20"/>
          <w:color w:val="auto"/>
        </w:rPr>
      </w:pPr>
      <w:r>
        <w:rPr>
          <w:rFonts w:ascii="Arial" w:cs="Arial" w:eastAsia="Arial" w:hAnsi="Arial"/>
          <w:sz w:val="16"/>
          <w:szCs w:val="16"/>
          <w:color w:val="auto"/>
        </w:rPr>
        <w:t>On October 30, 2017, we entered into a binding commercial supply arrangement pursuant to which we will supply Cardinal Health with TechneLite generators, Xenon, Neurolite and other products through 2018. The supply arrangement specifies pricing levels and requires Cardinal Health to purchase minimum volumes of certain products from us during certain periods. The supply arrangement will expire on December 31, 2018 and may be terminated upon the occurrence of specified events, including a material breach by the other party and certain force majeure events.</w:t>
      </w:r>
    </w:p>
    <w:p>
      <w:pPr>
        <w:spacing w:after="0" w:line="200" w:lineRule="exact"/>
        <w:rPr>
          <w:sz w:val="20"/>
          <w:szCs w:val="20"/>
          <w:color w:val="auto"/>
        </w:rPr>
      </w:pPr>
    </w:p>
    <w:p>
      <w:pPr>
        <w:spacing w:after="0" w:line="211"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340"/>
          </w:cols>
          <w:pgMar w:left="240" w:top="121" w:right="31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00" w:lineRule="exact"/>
        <w:rPr>
          <w:sz w:val="20"/>
          <w:szCs w:val="20"/>
          <w:color w:val="auto"/>
        </w:rPr>
      </w:pPr>
    </w:p>
    <w:p>
      <w:pPr>
        <w:spacing w:after="0" w:line="400"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1220" w:type="dxa"/>
            <w:vAlign w:val="bottom"/>
            <w:gridSpan w:val="2"/>
          </w:tcPr>
          <w:p>
            <w:pPr>
              <w:ind w:left="240"/>
              <w:spacing w:after="0"/>
              <w:rPr>
                <w:sz w:val="20"/>
                <w:szCs w:val="20"/>
                <w:color w:val="auto"/>
              </w:rPr>
            </w:pPr>
            <w:r>
              <w:rPr>
                <w:rFonts w:ascii="Arial" w:cs="Arial" w:eastAsia="Arial" w:hAnsi="Arial"/>
                <w:sz w:val="14"/>
                <w:szCs w:val="14"/>
                <w:b w:val="1"/>
                <w:bCs w:val="1"/>
                <w:color w:val="auto"/>
              </w:rPr>
              <w:t>EXHIBIT</w:t>
            </w:r>
          </w:p>
        </w:tc>
        <w:tc>
          <w:tcPr>
            <w:tcW w:w="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4460" w:type="dxa"/>
            <w:vAlign w:val="bottom"/>
            <w:gridSpan w:val="6"/>
            <w:vMerge w:val="restart"/>
          </w:tcPr>
          <w:p>
            <w:pPr>
              <w:ind w:left="540"/>
              <w:spacing w:after="0"/>
              <w:rPr>
                <w:sz w:val="20"/>
                <w:szCs w:val="20"/>
                <w:color w:val="auto"/>
              </w:rPr>
            </w:pPr>
            <w:r>
              <w:rPr>
                <w:rFonts w:ascii="Arial" w:cs="Arial" w:eastAsia="Arial" w:hAnsi="Arial"/>
                <w:sz w:val="14"/>
                <w:szCs w:val="14"/>
                <w:b w:val="1"/>
                <w:bCs w:val="1"/>
                <w:color w:val="auto"/>
              </w:rPr>
              <w:t>DESCRIPTION OF EXHIBITS</w:t>
            </w:r>
          </w:p>
        </w:tc>
        <w:tc>
          <w:tcPr>
            <w:tcW w:w="0" w:type="dxa"/>
            <w:vAlign w:val="bottom"/>
          </w:tcPr>
          <w:p>
            <w:pPr>
              <w:spacing w:after="0"/>
              <w:rPr>
                <w:sz w:val="1"/>
                <w:szCs w:val="1"/>
                <w:color w:val="auto"/>
              </w:rPr>
            </w:pPr>
          </w:p>
        </w:tc>
      </w:tr>
      <w:tr>
        <w:trPr>
          <w:trHeight w:val="192"/>
        </w:trPr>
        <w:tc>
          <w:tcPr>
            <w:tcW w:w="1220" w:type="dxa"/>
            <w:vAlign w:val="bottom"/>
            <w:gridSpan w:val="2"/>
          </w:tcPr>
          <w:p>
            <w:pPr>
              <w:ind w:left="220"/>
              <w:spacing w:after="0"/>
              <w:rPr>
                <w:sz w:val="20"/>
                <w:szCs w:val="20"/>
                <w:color w:val="auto"/>
              </w:rPr>
            </w:pPr>
            <w:r>
              <w:rPr>
                <w:rFonts w:ascii="Arial" w:cs="Arial" w:eastAsia="Arial" w:hAnsi="Arial"/>
                <w:sz w:val="14"/>
                <w:szCs w:val="14"/>
                <w:b w:val="1"/>
                <w:bCs w:val="1"/>
                <w:color w:val="auto"/>
              </w:rPr>
              <w:t>NUMBER</w:t>
            </w:r>
          </w:p>
        </w:tc>
        <w:tc>
          <w:tcPr>
            <w:tcW w:w="2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4460" w:type="dxa"/>
            <w:vAlign w:val="bottom"/>
            <w:gridSpan w:val="6"/>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1080" w:type="dxa"/>
            <w:vAlign w:val="bottom"/>
            <w:tcBorders>
              <w:top w:val="single" w:sz="8" w:color="auto"/>
            </w:tcBorders>
          </w:tcPr>
          <w:p>
            <w:pPr>
              <w:ind w:left="40"/>
              <w:spacing w:after="0" w:line="202" w:lineRule="exact"/>
              <w:rPr>
                <w:sz w:val="20"/>
                <w:szCs w:val="20"/>
                <w:color w:val="auto"/>
              </w:rPr>
            </w:pPr>
            <w:r>
              <w:rPr>
                <w:rFonts w:ascii="Arial" w:cs="Arial" w:eastAsia="Arial" w:hAnsi="Arial"/>
                <w:sz w:val="18"/>
                <w:szCs w:val="18"/>
                <w:color w:val="auto"/>
              </w:rPr>
              <w:t>31.1*</w:t>
            </w:r>
          </w:p>
        </w:tc>
        <w:tc>
          <w:tcPr>
            <w:tcW w:w="14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5100" w:type="dxa"/>
            <w:vAlign w:val="bottom"/>
            <w:tcBorders>
              <w:top w:val="single" w:sz="8" w:color="auto"/>
              <w:bottom w:val="single" w:sz="8" w:color="0000FF"/>
            </w:tcBorders>
            <w:gridSpan w:val="4"/>
          </w:tcPr>
          <w:p>
            <w:pPr>
              <w:spacing w:after="0" w:line="202" w:lineRule="exact"/>
              <w:rPr>
                <w:rFonts w:ascii="Arial" w:cs="Arial" w:eastAsia="Arial" w:hAnsi="Arial"/>
                <w:sz w:val="18"/>
                <w:szCs w:val="18"/>
                <w:color w:val="0000FF"/>
                <w:w w:val="92"/>
              </w:rPr>
            </w:pPr>
            <w:hyperlink w:anchor="page38">
              <w:r>
                <w:rPr>
                  <w:rFonts w:ascii="Arial" w:cs="Arial" w:eastAsia="Arial" w:hAnsi="Arial"/>
                  <w:sz w:val="18"/>
                  <w:szCs w:val="18"/>
                  <w:color w:val="0000FF"/>
                  <w:w w:val="92"/>
                </w:rPr>
                <w:t>Certification of Chief Executive Officer pursuant to Section 302 of the</w:t>
              </w:r>
            </w:hyperlink>
          </w:p>
        </w:tc>
        <w:tc>
          <w:tcPr>
            <w:tcW w:w="760" w:type="dxa"/>
            <w:vAlign w:val="bottom"/>
            <w:tcBorders>
              <w:top w:val="single" w:sz="8" w:color="auto"/>
            </w:tcBorders>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860" w:type="dxa"/>
            <w:vAlign w:val="bottom"/>
            <w:gridSpan w:val="7"/>
          </w:tcPr>
          <w:p>
            <w:pPr>
              <w:spacing w:after="0" w:line="196" w:lineRule="exact"/>
              <w:rPr>
                <w:rFonts w:ascii="Arial" w:cs="Arial" w:eastAsia="Arial" w:hAnsi="Arial"/>
                <w:sz w:val="18"/>
                <w:szCs w:val="18"/>
                <w:color w:val="0000FF"/>
              </w:rPr>
            </w:pPr>
            <w:hyperlink w:anchor="page38">
              <w:r>
                <w:rPr>
                  <w:rFonts w:ascii="Arial" w:cs="Arial" w:eastAsia="Arial" w:hAnsi="Arial"/>
                  <w:sz w:val="18"/>
                  <w:szCs w:val="18"/>
                  <w:color w:val="0000FF"/>
                </w:rPr>
                <w:t>Sarbanes-Oxley Act of 2002.</w:t>
              </w:r>
            </w:hyperlink>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0" w:type="dxa"/>
            <w:vAlign w:val="bottom"/>
            <w:shd w:val="clear" w:color="auto" w:fill="0000FF"/>
          </w:tcPr>
          <w:p>
            <w:pPr>
              <w:spacing w:after="0" w:line="20" w:lineRule="exact"/>
              <w:rPr>
                <w:sz w:val="1"/>
                <w:szCs w:val="1"/>
                <w:color w:val="auto"/>
              </w:rPr>
            </w:pPr>
          </w:p>
        </w:tc>
        <w:tc>
          <w:tcPr>
            <w:tcW w:w="700" w:type="dxa"/>
            <w:vAlign w:val="bottom"/>
            <w:shd w:val="clear" w:color="auto" w:fill="0000FF"/>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1080" w:type="dxa"/>
            <w:vAlign w:val="bottom"/>
          </w:tcPr>
          <w:p>
            <w:pPr>
              <w:ind w:left="40"/>
              <w:spacing w:after="0"/>
              <w:rPr>
                <w:sz w:val="20"/>
                <w:szCs w:val="20"/>
                <w:color w:val="auto"/>
              </w:rPr>
            </w:pPr>
            <w:r>
              <w:rPr>
                <w:rFonts w:ascii="Arial" w:cs="Arial" w:eastAsia="Arial" w:hAnsi="Arial"/>
                <w:sz w:val="18"/>
                <w:szCs w:val="18"/>
                <w:color w:val="auto"/>
              </w:rPr>
              <w:t>31.2*</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0" w:type="dxa"/>
            <w:vAlign w:val="bottom"/>
            <w:tcBorders>
              <w:bottom w:val="single" w:sz="8" w:color="0000FF"/>
            </w:tcBorders>
            <w:gridSpan w:val="6"/>
          </w:tcPr>
          <w:p>
            <w:pPr>
              <w:spacing w:after="0"/>
              <w:rPr>
                <w:rFonts w:ascii="Arial" w:cs="Arial" w:eastAsia="Arial" w:hAnsi="Arial"/>
                <w:sz w:val="18"/>
                <w:szCs w:val="18"/>
                <w:color w:val="0000FF"/>
                <w:w w:val="91"/>
              </w:rPr>
            </w:pPr>
            <w:hyperlink w:anchor="page39">
              <w:r>
                <w:rPr>
                  <w:rFonts w:ascii="Arial" w:cs="Arial" w:eastAsia="Arial" w:hAnsi="Arial"/>
                  <w:sz w:val="18"/>
                  <w:szCs w:val="18"/>
                  <w:color w:val="0000FF"/>
                  <w:w w:val="91"/>
                </w:rPr>
                <w:t>Certification of Chief Financial Officer pursuant to Section 302 of the Sarbanes-</w:t>
              </w:r>
            </w:hyperlink>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0" w:type="dxa"/>
            <w:vAlign w:val="bottom"/>
            <w:tcBorders>
              <w:bottom w:val="single" w:sz="8" w:color="0000FF"/>
            </w:tcBorders>
          </w:tcPr>
          <w:p>
            <w:pPr>
              <w:spacing w:after="0" w:line="196" w:lineRule="exact"/>
              <w:rPr>
                <w:rFonts w:ascii="Arial" w:cs="Arial" w:eastAsia="Arial" w:hAnsi="Arial"/>
                <w:sz w:val="18"/>
                <w:szCs w:val="18"/>
                <w:color w:val="0000FF"/>
                <w:w w:val="93"/>
              </w:rPr>
            </w:pPr>
            <w:hyperlink w:anchor="page39">
              <w:r>
                <w:rPr>
                  <w:rFonts w:ascii="Arial" w:cs="Arial" w:eastAsia="Arial" w:hAnsi="Arial"/>
                  <w:sz w:val="18"/>
                  <w:szCs w:val="18"/>
                  <w:color w:val="0000FF"/>
                  <w:w w:val="93"/>
                </w:rPr>
                <w:t>Oxley Act of 2002.</w:t>
              </w:r>
            </w:hyperlink>
          </w:p>
        </w:tc>
        <w:tc>
          <w:tcPr>
            <w:tcW w:w="4460" w:type="dxa"/>
            <w:vAlign w:val="bottom"/>
            <w:gridSpan w:val="6"/>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1080" w:type="dxa"/>
            <w:vAlign w:val="bottom"/>
          </w:tcPr>
          <w:p>
            <w:pPr>
              <w:ind w:left="40"/>
              <w:spacing w:after="0"/>
              <w:rPr>
                <w:sz w:val="20"/>
                <w:szCs w:val="20"/>
                <w:color w:val="auto"/>
              </w:rPr>
            </w:pPr>
            <w:r>
              <w:rPr>
                <w:rFonts w:ascii="Arial" w:cs="Arial" w:eastAsia="Arial" w:hAnsi="Arial"/>
                <w:sz w:val="18"/>
                <w:szCs w:val="18"/>
                <w:color w:val="auto"/>
              </w:rPr>
              <w:t>32.1*</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60" w:type="dxa"/>
            <w:vAlign w:val="bottom"/>
            <w:gridSpan w:val="7"/>
          </w:tcPr>
          <w:p>
            <w:pPr>
              <w:spacing w:after="0"/>
              <w:rPr>
                <w:rFonts w:ascii="Arial" w:cs="Arial" w:eastAsia="Arial" w:hAnsi="Arial"/>
                <w:sz w:val="18"/>
                <w:szCs w:val="18"/>
                <w:color w:val="0000FF"/>
                <w:w w:val="91"/>
              </w:rPr>
            </w:pPr>
            <w:hyperlink w:anchor="page40">
              <w:r>
                <w:rPr>
                  <w:rFonts w:ascii="Arial" w:cs="Arial" w:eastAsia="Arial" w:hAnsi="Arial"/>
                  <w:sz w:val="18"/>
                  <w:szCs w:val="18"/>
                  <w:color w:val="0000FF"/>
                  <w:w w:val="91"/>
                </w:rPr>
                <w:t>Certification Pursuant to 18 U.S.C. Section 1350 as adopted pursuant to Section</w:t>
              </w:r>
            </w:hyperlink>
          </w:p>
        </w:tc>
        <w:tc>
          <w:tcPr>
            <w:tcW w:w="0" w:type="dxa"/>
            <w:vAlign w:val="bottom"/>
          </w:tcPr>
          <w:p>
            <w:pPr>
              <w:spacing w:after="0"/>
              <w:rPr>
                <w:sz w:val="1"/>
                <w:szCs w:val="1"/>
                <w:color w:val="auto"/>
              </w:rPr>
            </w:pPr>
          </w:p>
        </w:tc>
      </w:tr>
      <w:tr>
        <w:trPr>
          <w:trHeight w:val="196"/>
        </w:trPr>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760" w:type="dxa"/>
            <w:vAlign w:val="bottom"/>
            <w:tcBorders>
              <w:top w:val="single" w:sz="8" w:color="0000FF"/>
            </w:tcBorders>
            <w:gridSpan w:val="5"/>
          </w:tcPr>
          <w:p>
            <w:pPr>
              <w:spacing w:after="0" w:line="196" w:lineRule="exact"/>
              <w:rPr>
                <w:rFonts w:ascii="Arial" w:cs="Arial" w:eastAsia="Arial" w:hAnsi="Arial"/>
                <w:sz w:val="18"/>
                <w:szCs w:val="18"/>
                <w:color w:val="0000FF"/>
              </w:rPr>
            </w:pPr>
            <w:hyperlink w:anchor="page40">
              <w:r>
                <w:rPr>
                  <w:rFonts w:ascii="Arial" w:cs="Arial" w:eastAsia="Arial" w:hAnsi="Arial"/>
                  <w:sz w:val="18"/>
                  <w:szCs w:val="18"/>
                  <w:color w:val="0000FF"/>
                </w:rPr>
                <w:t>906 of the Sarbanes-Oxley Act of 2002.</w:t>
              </w:r>
            </w:hyperlink>
          </w:p>
        </w:tc>
        <w:tc>
          <w:tcPr>
            <w:tcW w:w="1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220" w:type="dxa"/>
            <w:vAlign w:val="bottom"/>
            <w:gridSpan w:val="2"/>
          </w:tcPr>
          <w:p>
            <w:pPr>
              <w:ind w:left="40"/>
              <w:spacing w:after="0"/>
              <w:rPr>
                <w:sz w:val="20"/>
                <w:szCs w:val="20"/>
                <w:color w:val="auto"/>
              </w:rPr>
            </w:pPr>
            <w:r>
              <w:rPr>
                <w:rFonts w:ascii="Arial" w:cs="Arial" w:eastAsia="Arial" w:hAnsi="Arial"/>
                <w:sz w:val="18"/>
                <w:szCs w:val="18"/>
                <w:color w:val="auto"/>
              </w:rPr>
              <w:t>101.INS*</w:t>
            </w:r>
          </w:p>
        </w:tc>
        <w:tc>
          <w:tcPr>
            <w:tcW w:w="20" w:type="dxa"/>
            <w:vAlign w:val="bottom"/>
          </w:tcPr>
          <w:p>
            <w:pPr>
              <w:spacing w:after="0"/>
              <w:rPr>
                <w:sz w:val="24"/>
                <w:szCs w:val="24"/>
                <w:color w:val="auto"/>
              </w:rPr>
            </w:pPr>
          </w:p>
        </w:tc>
        <w:tc>
          <w:tcPr>
            <w:tcW w:w="2880" w:type="dxa"/>
            <w:vAlign w:val="bottom"/>
            <w:tcBorders>
              <w:top w:val="single" w:sz="8" w:color="0000FF"/>
            </w:tcBorders>
            <w:gridSpan w:val="3"/>
          </w:tcPr>
          <w:p>
            <w:pPr>
              <w:spacing w:after="0"/>
              <w:rPr>
                <w:sz w:val="20"/>
                <w:szCs w:val="20"/>
                <w:color w:val="auto"/>
              </w:rPr>
            </w:pPr>
            <w:r>
              <w:rPr>
                <w:rFonts w:ascii="Arial" w:cs="Arial" w:eastAsia="Arial" w:hAnsi="Arial"/>
                <w:sz w:val="18"/>
                <w:szCs w:val="18"/>
                <w:color w:val="auto"/>
              </w:rPr>
              <w:t>XBRL Instance Document</w:t>
            </w:r>
          </w:p>
        </w:tc>
        <w:tc>
          <w:tcPr>
            <w:tcW w:w="2980" w:type="dxa"/>
            <w:vAlign w:val="bottom"/>
            <w:gridSpan w:val="4"/>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1220" w:type="dxa"/>
            <w:vAlign w:val="bottom"/>
            <w:gridSpan w:val="2"/>
          </w:tcPr>
          <w:p>
            <w:pPr>
              <w:ind w:left="40"/>
              <w:spacing w:after="0"/>
              <w:rPr>
                <w:sz w:val="20"/>
                <w:szCs w:val="20"/>
                <w:color w:val="auto"/>
              </w:rPr>
            </w:pPr>
            <w:r>
              <w:rPr>
                <w:rFonts w:ascii="Arial" w:cs="Arial" w:eastAsia="Arial" w:hAnsi="Arial"/>
                <w:sz w:val="18"/>
                <w:szCs w:val="18"/>
                <w:color w:val="auto"/>
              </w:rPr>
              <w:t>101.SCH*</w:t>
            </w:r>
          </w:p>
        </w:tc>
        <w:tc>
          <w:tcPr>
            <w:tcW w:w="20" w:type="dxa"/>
            <w:vAlign w:val="bottom"/>
          </w:tcPr>
          <w:p>
            <w:pPr>
              <w:spacing w:after="0"/>
              <w:rPr>
                <w:sz w:val="24"/>
                <w:szCs w:val="24"/>
                <w:color w:val="auto"/>
              </w:rPr>
            </w:pPr>
          </w:p>
        </w:tc>
        <w:tc>
          <w:tcPr>
            <w:tcW w:w="5860" w:type="dxa"/>
            <w:vAlign w:val="bottom"/>
            <w:gridSpan w:val="7"/>
          </w:tcPr>
          <w:p>
            <w:pPr>
              <w:spacing w:after="0"/>
              <w:rPr>
                <w:sz w:val="20"/>
                <w:szCs w:val="20"/>
                <w:color w:val="auto"/>
              </w:rPr>
            </w:pPr>
            <w:r>
              <w:rPr>
                <w:rFonts w:ascii="Arial" w:cs="Arial" w:eastAsia="Arial" w:hAnsi="Arial"/>
                <w:sz w:val="18"/>
                <w:szCs w:val="18"/>
                <w:color w:val="auto"/>
              </w:rPr>
              <w:t>XBRL Taxonomy Extension Schema Document</w:t>
            </w:r>
          </w:p>
        </w:tc>
        <w:tc>
          <w:tcPr>
            <w:tcW w:w="0" w:type="dxa"/>
            <w:vAlign w:val="bottom"/>
          </w:tcPr>
          <w:p>
            <w:pPr>
              <w:spacing w:after="0"/>
              <w:rPr>
                <w:sz w:val="1"/>
                <w:szCs w:val="1"/>
                <w:color w:val="auto"/>
              </w:rPr>
            </w:pPr>
          </w:p>
        </w:tc>
      </w:tr>
      <w:tr>
        <w:trPr>
          <w:trHeight w:val="392"/>
        </w:trPr>
        <w:tc>
          <w:tcPr>
            <w:tcW w:w="1220" w:type="dxa"/>
            <w:vAlign w:val="bottom"/>
            <w:gridSpan w:val="2"/>
          </w:tcPr>
          <w:p>
            <w:pPr>
              <w:ind w:left="40"/>
              <w:spacing w:after="0"/>
              <w:rPr>
                <w:sz w:val="20"/>
                <w:szCs w:val="20"/>
                <w:color w:val="auto"/>
              </w:rPr>
            </w:pPr>
            <w:r>
              <w:rPr>
                <w:rFonts w:ascii="Arial" w:cs="Arial" w:eastAsia="Arial" w:hAnsi="Arial"/>
                <w:sz w:val="18"/>
                <w:szCs w:val="18"/>
                <w:color w:val="auto"/>
              </w:rPr>
              <w:t>101.CAL*</w:t>
            </w:r>
          </w:p>
        </w:tc>
        <w:tc>
          <w:tcPr>
            <w:tcW w:w="20" w:type="dxa"/>
            <w:vAlign w:val="bottom"/>
          </w:tcPr>
          <w:p>
            <w:pPr>
              <w:spacing w:after="0"/>
              <w:rPr>
                <w:sz w:val="24"/>
                <w:szCs w:val="24"/>
                <w:color w:val="auto"/>
              </w:rPr>
            </w:pPr>
          </w:p>
        </w:tc>
        <w:tc>
          <w:tcPr>
            <w:tcW w:w="5860" w:type="dxa"/>
            <w:vAlign w:val="bottom"/>
            <w:gridSpan w:val="7"/>
          </w:tcPr>
          <w:p>
            <w:pPr>
              <w:spacing w:after="0"/>
              <w:rPr>
                <w:sz w:val="20"/>
                <w:szCs w:val="20"/>
                <w:color w:val="auto"/>
              </w:rPr>
            </w:pPr>
            <w:r>
              <w:rPr>
                <w:rFonts w:ascii="Arial" w:cs="Arial" w:eastAsia="Arial" w:hAnsi="Arial"/>
                <w:sz w:val="18"/>
                <w:szCs w:val="18"/>
                <w:color w:val="auto"/>
              </w:rPr>
              <w:t>XBRL Taxonomy Extension Calculation Linkbase Document</w:t>
            </w:r>
          </w:p>
        </w:tc>
        <w:tc>
          <w:tcPr>
            <w:tcW w:w="0" w:type="dxa"/>
            <w:vAlign w:val="bottom"/>
          </w:tcPr>
          <w:p>
            <w:pPr>
              <w:spacing w:after="0"/>
              <w:rPr>
                <w:sz w:val="1"/>
                <w:szCs w:val="1"/>
                <w:color w:val="auto"/>
              </w:rPr>
            </w:pPr>
          </w:p>
        </w:tc>
      </w:tr>
      <w:tr>
        <w:trPr>
          <w:trHeight w:val="392"/>
        </w:trPr>
        <w:tc>
          <w:tcPr>
            <w:tcW w:w="1220" w:type="dxa"/>
            <w:vAlign w:val="bottom"/>
            <w:gridSpan w:val="2"/>
          </w:tcPr>
          <w:p>
            <w:pPr>
              <w:ind w:left="40"/>
              <w:spacing w:after="0"/>
              <w:rPr>
                <w:sz w:val="20"/>
                <w:szCs w:val="20"/>
                <w:color w:val="auto"/>
              </w:rPr>
            </w:pPr>
            <w:r>
              <w:rPr>
                <w:rFonts w:ascii="Arial" w:cs="Arial" w:eastAsia="Arial" w:hAnsi="Arial"/>
                <w:sz w:val="18"/>
                <w:szCs w:val="18"/>
                <w:color w:val="auto"/>
              </w:rPr>
              <w:t>101.DEF*</w:t>
            </w:r>
          </w:p>
        </w:tc>
        <w:tc>
          <w:tcPr>
            <w:tcW w:w="20" w:type="dxa"/>
            <w:vAlign w:val="bottom"/>
          </w:tcPr>
          <w:p>
            <w:pPr>
              <w:spacing w:after="0"/>
              <w:rPr>
                <w:sz w:val="24"/>
                <w:szCs w:val="24"/>
                <w:color w:val="auto"/>
              </w:rPr>
            </w:pPr>
          </w:p>
        </w:tc>
        <w:tc>
          <w:tcPr>
            <w:tcW w:w="5860" w:type="dxa"/>
            <w:vAlign w:val="bottom"/>
            <w:gridSpan w:val="7"/>
          </w:tcPr>
          <w:p>
            <w:pPr>
              <w:spacing w:after="0"/>
              <w:rPr>
                <w:sz w:val="20"/>
                <w:szCs w:val="20"/>
                <w:color w:val="auto"/>
              </w:rPr>
            </w:pPr>
            <w:r>
              <w:rPr>
                <w:rFonts w:ascii="Arial" w:cs="Arial" w:eastAsia="Arial" w:hAnsi="Arial"/>
                <w:sz w:val="18"/>
                <w:szCs w:val="18"/>
                <w:color w:val="auto"/>
              </w:rPr>
              <w:t>XBRL Taxonomy Extension Definition Linkbase Document</w:t>
            </w:r>
          </w:p>
        </w:tc>
        <w:tc>
          <w:tcPr>
            <w:tcW w:w="0" w:type="dxa"/>
            <w:vAlign w:val="bottom"/>
          </w:tcPr>
          <w:p>
            <w:pPr>
              <w:spacing w:after="0"/>
              <w:rPr>
                <w:sz w:val="1"/>
                <w:szCs w:val="1"/>
                <w:color w:val="auto"/>
              </w:rPr>
            </w:pPr>
          </w:p>
        </w:tc>
      </w:tr>
      <w:tr>
        <w:trPr>
          <w:trHeight w:val="392"/>
        </w:trPr>
        <w:tc>
          <w:tcPr>
            <w:tcW w:w="1220" w:type="dxa"/>
            <w:vAlign w:val="bottom"/>
            <w:gridSpan w:val="2"/>
          </w:tcPr>
          <w:p>
            <w:pPr>
              <w:ind w:left="40"/>
              <w:spacing w:after="0"/>
              <w:rPr>
                <w:sz w:val="20"/>
                <w:szCs w:val="20"/>
                <w:color w:val="auto"/>
              </w:rPr>
            </w:pPr>
            <w:r>
              <w:rPr>
                <w:rFonts w:ascii="Arial" w:cs="Arial" w:eastAsia="Arial" w:hAnsi="Arial"/>
                <w:sz w:val="18"/>
                <w:szCs w:val="18"/>
                <w:color w:val="auto"/>
              </w:rPr>
              <w:t>101.LAB*</w:t>
            </w:r>
          </w:p>
        </w:tc>
        <w:tc>
          <w:tcPr>
            <w:tcW w:w="20" w:type="dxa"/>
            <w:vAlign w:val="bottom"/>
          </w:tcPr>
          <w:p>
            <w:pPr>
              <w:spacing w:after="0"/>
              <w:rPr>
                <w:sz w:val="24"/>
                <w:szCs w:val="24"/>
                <w:color w:val="auto"/>
              </w:rPr>
            </w:pPr>
          </w:p>
        </w:tc>
        <w:tc>
          <w:tcPr>
            <w:tcW w:w="5860" w:type="dxa"/>
            <w:vAlign w:val="bottom"/>
            <w:gridSpan w:val="7"/>
          </w:tcPr>
          <w:p>
            <w:pPr>
              <w:spacing w:after="0"/>
              <w:rPr>
                <w:sz w:val="20"/>
                <w:szCs w:val="20"/>
                <w:color w:val="auto"/>
              </w:rPr>
            </w:pPr>
            <w:r>
              <w:rPr>
                <w:rFonts w:ascii="Arial" w:cs="Arial" w:eastAsia="Arial" w:hAnsi="Arial"/>
                <w:sz w:val="18"/>
                <w:szCs w:val="18"/>
                <w:color w:val="auto"/>
              </w:rPr>
              <w:t>XBRL Taxonomy Extension Label Linkbase Document</w:t>
            </w:r>
          </w:p>
        </w:tc>
        <w:tc>
          <w:tcPr>
            <w:tcW w:w="0" w:type="dxa"/>
            <w:vAlign w:val="bottom"/>
          </w:tcPr>
          <w:p>
            <w:pPr>
              <w:spacing w:after="0"/>
              <w:rPr>
                <w:sz w:val="1"/>
                <w:szCs w:val="1"/>
                <w:color w:val="auto"/>
              </w:rPr>
            </w:pPr>
          </w:p>
        </w:tc>
      </w:tr>
      <w:tr>
        <w:trPr>
          <w:trHeight w:val="392"/>
        </w:trPr>
        <w:tc>
          <w:tcPr>
            <w:tcW w:w="1220" w:type="dxa"/>
            <w:vAlign w:val="bottom"/>
            <w:gridSpan w:val="2"/>
          </w:tcPr>
          <w:p>
            <w:pPr>
              <w:ind w:left="40"/>
              <w:spacing w:after="0"/>
              <w:rPr>
                <w:sz w:val="20"/>
                <w:szCs w:val="20"/>
                <w:color w:val="auto"/>
              </w:rPr>
            </w:pPr>
            <w:r>
              <w:rPr>
                <w:rFonts w:ascii="Arial" w:cs="Arial" w:eastAsia="Arial" w:hAnsi="Arial"/>
                <w:sz w:val="18"/>
                <w:szCs w:val="18"/>
                <w:color w:val="auto"/>
              </w:rPr>
              <w:t>101.PRE*</w:t>
            </w:r>
          </w:p>
        </w:tc>
        <w:tc>
          <w:tcPr>
            <w:tcW w:w="20" w:type="dxa"/>
            <w:vAlign w:val="bottom"/>
          </w:tcPr>
          <w:p>
            <w:pPr>
              <w:spacing w:after="0"/>
              <w:rPr>
                <w:sz w:val="24"/>
                <w:szCs w:val="24"/>
                <w:color w:val="auto"/>
              </w:rPr>
            </w:pPr>
          </w:p>
        </w:tc>
        <w:tc>
          <w:tcPr>
            <w:tcW w:w="5860" w:type="dxa"/>
            <w:vAlign w:val="bottom"/>
            <w:gridSpan w:val="7"/>
          </w:tcPr>
          <w:p>
            <w:pPr>
              <w:spacing w:after="0"/>
              <w:rPr>
                <w:sz w:val="20"/>
                <w:szCs w:val="20"/>
                <w:color w:val="auto"/>
              </w:rPr>
            </w:pPr>
            <w:r>
              <w:rPr>
                <w:rFonts w:ascii="Arial" w:cs="Arial" w:eastAsia="Arial" w:hAnsi="Arial"/>
                <w:sz w:val="18"/>
                <w:szCs w:val="18"/>
                <w:color w:val="auto"/>
              </w:rPr>
              <w:t>XBRL Taxonomy Extension Presentation Linkbase Document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248920</wp:posOffset>
            </wp:positionV>
            <wp:extent cx="174117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741170" cy="8890"/>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ind w:left="340" w:hanging="332"/>
        <w:spacing w:after="0"/>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282"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620"/>
        <w:spacing w:after="0"/>
        <w:rPr>
          <w:sz w:val="20"/>
          <w:szCs w:val="20"/>
          <w:color w:val="auto"/>
        </w:rPr>
      </w:pPr>
      <w:r>
        <w:rPr>
          <w:rFonts w:ascii="Arial" w:cs="Arial" w:eastAsia="Arial" w:hAnsi="Arial"/>
          <w:sz w:val="14"/>
          <w:szCs w:val="14"/>
          <w:b w:val="1"/>
          <w:bCs w:val="1"/>
          <w:color w:val="auto"/>
        </w:rPr>
        <w:t>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23495</wp:posOffset>
            </wp:positionV>
            <wp:extent cx="227266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272665" cy="8890"/>
                    </a:xfrm>
                    <a:prstGeom prst="rect">
                      <a:avLst/>
                    </a:prstGeom>
                    <a:noFill/>
                  </pic:spPr>
                </pic:pic>
              </a:graphicData>
            </a:graphic>
          </wp:anchor>
        </w:drawing>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0" w:type="dxa"/>
            <w:vAlign w:val="bottom"/>
            <w:vMerge w:val="restart"/>
          </w:tcPr>
          <w:p>
            <w:pPr>
              <w:ind w:left="100"/>
              <w:spacing w:after="0"/>
              <w:rPr>
                <w:sz w:val="20"/>
                <w:szCs w:val="20"/>
                <w:color w:val="auto"/>
              </w:rPr>
            </w:pPr>
            <w:r>
              <w:rPr>
                <w:rFonts w:ascii="Arial" w:cs="Arial" w:eastAsia="Arial" w:hAnsi="Arial"/>
                <w:sz w:val="14"/>
                <w:szCs w:val="14"/>
                <w:b w:val="1"/>
                <w:bCs w:val="1"/>
                <w:color w:val="auto"/>
              </w:rPr>
              <w:t>FORM</w:t>
            </w:r>
          </w:p>
        </w:tc>
        <w:tc>
          <w:tcPr>
            <w:tcW w:w="140" w:type="dxa"/>
            <w:vAlign w:val="bottom"/>
            <w:vMerge w:val="restart"/>
          </w:tcPr>
          <w:p>
            <w:pPr>
              <w:spacing w:after="0"/>
              <w:rPr>
                <w:sz w:val="14"/>
                <w:szCs w:val="14"/>
                <w:color w:val="auto"/>
              </w:rPr>
            </w:pPr>
          </w:p>
        </w:tc>
        <w:tc>
          <w:tcPr>
            <w:tcW w:w="10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rPr>
              <w:t>FILE</w:t>
            </w:r>
          </w:p>
        </w:tc>
        <w:tc>
          <w:tcPr>
            <w:tcW w:w="860" w:type="dxa"/>
            <w:vAlign w:val="bottom"/>
            <w:vMerge w:val="restart"/>
          </w:tcPr>
          <w:p>
            <w:pPr>
              <w:ind w:left="120"/>
              <w:spacing w:after="0"/>
              <w:rPr>
                <w:sz w:val="20"/>
                <w:szCs w:val="20"/>
                <w:color w:val="auto"/>
              </w:rPr>
            </w:pPr>
            <w:r>
              <w:rPr>
                <w:rFonts w:ascii="Arial" w:cs="Arial" w:eastAsia="Arial" w:hAnsi="Arial"/>
                <w:sz w:val="14"/>
                <w:szCs w:val="14"/>
                <w:b w:val="1"/>
                <w:bCs w:val="1"/>
                <w:color w:val="auto"/>
              </w:rPr>
              <w:t>EXHIBIT</w:t>
            </w:r>
          </w:p>
        </w:tc>
        <w:tc>
          <w:tcPr>
            <w:tcW w:w="140" w:type="dxa"/>
            <w:vAlign w:val="bottom"/>
            <w:vMerge w:val="restart"/>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rPr>
              <w:t>FILING</w:t>
            </w:r>
          </w:p>
        </w:tc>
        <w:tc>
          <w:tcPr>
            <w:tcW w:w="0" w:type="dxa"/>
            <w:vAlign w:val="bottom"/>
          </w:tcPr>
          <w:p>
            <w:pPr>
              <w:spacing w:after="0"/>
              <w:rPr>
                <w:sz w:val="1"/>
                <w:szCs w:val="1"/>
                <w:color w:val="auto"/>
              </w:rPr>
            </w:pPr>
          </w:p>
        </w:tc>
      </w:tr>
      <w:tr>
        <w:trPr>
          <w:trHeight w:val="192"/>
        </w:trPr>
        <w:tc>
          <w:tcPr>
            <w:tcW w:w="660" w:type="dxa"/>
            <w:vAlign w:val="bottom"/>
            <w:tcBorders>
              <w:bottom w:val="single" w:sz="8" w:color="auto"/>
            </w:tcBorders>
            <w:vMerge w:val="continue"/>
          </w:tcPr>
          <w:p>
            <w:pPr>
              <w:spacing w:after="0"/>
              <w:rPr>
                <w:sz w:val="16"/>
                <w:szCs w:val="16"/>
                <w:color w:val="auto"/>
              </w:rPr>
            </w:pPr>
          </w:p>
        </w:tc>
        <w:tc>
          <w:tcPr>
            <w:tcW w:w="140" w:type="dxa"/>
            <w:vAlign w:val="bottom"/>
            <w:vMerge w:val="continue"/>
          </w:tcPr>
          <w:p>
            <w:pPr>
              <w:spacing w:after="0"/>
              <w:rPr>
                <w:sz w:val="16"/>
                <w:szCs w:val="16"/>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NUMBER</w:t>
            </w:r>
          </w:p>
        </w:tc>
        <w:tc>
          <w:tcPr>
            <w:tcW w:w="160" w:type="dxa"/>
            <w:vAlign w:val="bottom"/>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140" w:type="dxa"/>
            <w:vAlign w:val="bottom"/>
            <w:vMerge w:val="continue"/>
          </w:tcPr>
          <w:p>
            <w:pPr>
              <w:spacing w:after="0"/>
              <w:rPr>
                <w:sz w:val="16"/>
                <w:szCs w:val="16"/>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9"/>
              </w:rPr>
              <w:t>DATE</w:t>
            </w:r>
          </w:p>
        </w:tc>
        <w:tc>
          <w:tcPr>
            <w:tcW w:w="0" w:type="dxa"/>
            <w:vAlign w:val="bottom"/>
          </w:tcPr>
          <w:p>
            <w:pPr>
              <w:spacing w:after="0"/>
              <w:rPr>
                <w:sz w:val="1"/>
                <w:szCs w:val="1"/>
                <w:color w:val="auto"/>
              </w:rPr>
            </w:pPr>
          </w:p>
        </w:tc>
      </w:tr>
    </w:tbl>
    <w:p>
      <w:pPr>
        <w:sectPr>
          <w:pgSz w:w="11900" w:h="16838" w:orient="portrait"/>
          <w:cols w:equalWidth="0" w:num="2">
            <w:col w:w="7400" w:space="140"/>
            <w:col w:w="3580"/>
          </w:cols>
          <w:pgMar w:left="240" w:top="121" w:right="5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82" w:lineRule="exact"/>
        <w:rPr>
          <w:sz w:val="20"/>
          <w:szCs w:val="20"/>
          <w:color w:val="auto"/>
        </w:rPr>
      </w:pPr>
    </w:p>
    <w:p>
      <w:pPr>
        <w:jc w:val="center"/>
        <w:ind w:left="42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7960"/>
        <w:spacing w:after="0"/>
        <w:rPr>
          <w:sz w:val="20"/>
          <w:szCs w:val="20"/>
          <w:color w:val="auto"/>
        </w:rPr>
      </w:pPr>
      <w:r>
        <w:rPr>
          <w:rFonts w:ascii="Arial" w:cs="Arial" w:eastAsia="Arial" w:hAnsi="Arial"/>
          <w:sz w:val="16"/>
          <w:szCs w:val="16"/>
          <w:color w:val="auto"/>
        </w:rPr>
        <w:t>LANTHEUS HOLDINGS, INC.</w:t>
      </w:r>
    </w:p>
    <w:p>
      <w:pPr>
        <w:spacing w:after="0" w:line="397" w:lineRule="exact"/>
        <w:rPr>
          <w:sz w:val="20"/>
          <w:szCs w:val="20"/>
          <w:color w:val="auto"/>
        </w:rPr>
      </w:pPr>
    </w:p>
    <w:tbl>
      <w:tblPr>
        <w:tblLayout w:type="fixed"/>
        <w:tblInd w:w="7960" w:type="dxa"/>
        <w:tblCellMar>
          <w:top w:w="0" w:type="dxa"/>
          <w:left w:w="0" w:type="dxa"/>
          <w:bottom w:w="0" w:type="dxa"/>
          <w:right w:w="0" w:type="dxa"/>
        </w:tblCellMar>
      </w:tblPr>
      <w:tr>
        <w:trPr>
          <w:trHeight w:val="206"/>
        </w:trPr>
        <w:tc>
          <w:tcPr>
            <w:tcW w:w="620" w:type="dxa"/>
            <w:vAlign w:val="bottom"/>
          </w:tcPr>
          <w:p>
            <w:pPr>
              <w:spacing w:after="0"/>
              <w:rPr>
                <w:sz w:val="20"/>
                <w:szCs w:val="20"/>
                <w:color w:val="auto"/>
              </w:rPr>
            </w:pPr>
            <w:r>
              <w:rPr>
                <w:rFonts w:ascii="Arial" w:cs="Arial" w:eastAsia="Arial" w:hAnsi="Arial"/>
                <w:sz w:val="16"/>
                <w:szCs w:val="16"/>
                <w:color w:val="auto"/>
              </w:rPr>
              <w:t>By:</w:t>
            </w:r>
          </w:p>
        </w:tc>
        <w:tc>
          <w:tcPr>
            <w:tcW w:w="2840" w:type="dxa"/>
            <w:vAlign w:val="bottom"/>
          </w:tcPr>
          <w:p>
            <w:pPr>
              <w:ind w:left="40"/>
              <w:spacing w:after="0"/>
              <w:rPr>
                <w:sz w:val="20"/>
                <w:szCs w:val="20"/>
                <w:color w:val="auto"/>
              </w:rPr>
            </w:pPr>
            <w:r>
              <w:rPr>
                <w:rFonts w:ascii="Arial" w:cs="Arial" w:eastAsia="Arial" w:hAnsi="Arial"/>
                <w:sz w:val="16"/>
                <w:szCs w:val="16"/>
                <w:color w:val="auto"/>
              </w:rPr>
              <w:t>/s/ MARY ANNE HEINO</w:t>
            </w:r>
          </w:p>
        </w:tc>
        <w:tc>
          <w:tcPr>
            <w:tcW w:w="0" w:type="dxa"/>
            <w:vAlign w:val="bottom"/>
          </w:tcPr>
          <w:p>
            <w:pPr>
              <w:spacing w:after="0"/>
              <w:rPr>
                <w:sz w:val="1"/>
                <w:szCs w:val="1"/>
                <w:color w:val="auto"/>
              </w:rPr>
            </w:pPr>
          </w:p>
        </w:tc>
      </w:tr>
      <w:tr>
        <w:trPr>
          <w:trHeight w:val="33"/>
        </w:trPr>
        <w:tc>
          <w:tcPr>
            <w:tcW w:w="620" w:type="dxa"/>
            <w:vAlign w:val="bottom"/>
            <w:vMerge w:val="restart"/>
          </w:tcPr>
          <w:p>
            <w:pPr>
              <w:spacing w:after="0"/>
              <w:rPr>
                <w:sz w:val="20"/>
                <w:szCs w:val="20"/>
                <w:color w:val="auto"/>
              </w:rPr>
            </w:pPr>
            <w:r>
              <w:rPr>
                <w:rFonts w:ascii="Arial" w:cs="Arial" w:eastAsia="Arial" w:hAnsi="Arial"/>
                <w:sz w:val="16"/>
                <w:szCs w:val="16"/>
                <w:color w:val="auto"/>
              </w:rPr>
              <w:t>Name:</w:t>
            </w:r>
          </w:p>
        </w:tc>
        <w:tc>
          <w:tcPr>
            <w:tcW w:w="2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20" w:type="dxa"/>
            <w:vAlign w:val="bottom"/>
            <w:vMerge w:val="continue"/>
          </w:tcPr>
          <w:p>
            <w:pPr>
              <w:spacing w:after="0"/>
              <w:rPr>
                <w:sz w:val="18"/>
                <w:szCs w:val="18"/>
                <w:color w:val="auto"/>
              </w:rPr>
            </w:pPr>
          </w:p>
        </w:tc>
        <w:tc>
          <w:tcPr>
            <w:tcW w:w="2840" w:type="dxa"/>
            <w:vAlign w:val="bottom"/>
          </w:tcPr>
          <w:p>
            <w:pPr>
              <w:ind w:left="40"/>
              <w:spacing w:after="0"/>
              <w:rPr>
                <w:sz w:val="20"/>
                <w:szCs w:val="20"/>
                <w:color w:val="auto"/>
              </w:rPr>
            </w:pPr>
            <w:r>
              <w:rPr>
                <w:rFonts w:ascii="Arial" w:cs="Arial" w:eastAsia="Arial" w:hAnsi="Arial"/>
                <w:sz w:val="16"/>
                <w:szCs w:val="16"/>
                <w:color w:val="auto"/>
              </w:rPr>
              <w:t>Mary Anne Heino</w:t>
            </w:r>
          </w:p>
        </w:tc>
        <w:tc>
          <w:tcPr>
            <w:tcW w:w="0" w:type="dxa"/>
            <w:vAlign w:val="bottom"/>
          </w:tcPr>
          <w:p>
            <w:pPr>
              <w:spacing w:after="0"/>
              <w:rPr>
                <w:sz w:val="1"/>
                <w:szCs w:val="1"/>
                <w:color w:val="auto"/>
              </w:rPr>
            </w:pPr>
          </w:p>
        </w:tc>
      </w:tr>
      <w:tr>
        <w:trPr>
          <w:trHeight w:val="257"/>
        </w:trPr>
        <w:tc>
          <w:tcPr>
            <w:tcW w:w="620" w:type="dxa"/>
            <w:vAlign w:val="bottom"/>
          </w:tcPr>
          <w:p>
            <w:pPr>
              <w:spacing w:after="0"/>
              <w:rPr>
                <w:sz w:val="20"/>
                <w:szCs w:val="20"/>
                <w:color w:val="auto"/>
              </w:rPr>
            </w:pPr>
            <w:r>
              <w:rPr>
                <w:rFonts w:ascii="Arial" w:cs="Arial" w:eastAsia="Arial" w:hAnsi="Arial"/>
                <w:sz w:val="16"/>
                <w:szCs w:val="16"/>
                <w:color w:val="auto"/>
              </w:rPr>
              <w:t>Title:</w:t>
            </w:r>
          </w:p>
        </w:tc>
        <w:tc>
          <w:tcPr>
            <w:tcW w:w="2840" w:type="dxa"/>
            <w:vAlign w:val="bottom"/>
          </w:tcPr>
          <w:p>
            <w:pPr>
              <w:ind w:left="40"/>
              <w:spacing w:after="0"/>
              <w:rPr>
                <w:sz w:val="20"/>
                <w:szCs w:val="20"/>
                <w:color w:val="auto"/>
              </w:rPr>
            </w:pPr>
            <w:r>
              <w:rPr>
                <w:rFonts w:ascii="Arial" w:cs="Arial" w:eastAsia="Arial" w:hAnsi="Arial"/>
                <w:sz w:val="16"/>
                <w:szCs w:val="16"/>
                <w:i w:val="1"/>
                <w:iCs w:val="1"/>
                <w:color w:val="auto"/>
              </w:rPr>
              <w:t>President and Chief Executive Officer</w:t>
            </w:r>
          </w:p>
        </w:tc>
        <w:tc>
          <w:tcPr>
            <w:tcW w:w="0" w:type="dxa"/>
            <w:vAlign w:val="bottom"/>
          </w:tcPr>
          <w:p>
            <w:pPr>
              <w:spacing w:after="0"/>
              <w:rPr>
                <w:sz w:val="1"/>
                <w:szCs w:val="1"/>
                <w:color w:val="auto"/>
              </w:rPr>
            </w:pPr>
          </w:p>
        </w:tc>
      </w:tr>
      <w:tr>
        <w:trPr>
          <w:trHeight w:val="257"/>
        </w:trPr>
        <w:tc>
          <w:tcPr>
            <w:tcW w:w="620" w:type="dxa"/>
            <w:vAlign w:val="bottom"/>
          </w:tcPr>
          <w:p>
            <w:pPr>
              <w:spacing w:after="0"/>
              <w:rPr>
                <w:sz w:val="22"/>
                <w:szCs w:val="22"/>
                <w:color w:val="auto"/>
              </w:rPr>
            </w:pPr>
          </w:p>
        </w:tc>
        <w:tc>
          <w:tcPr>
            <w:tcW w:w="2840" w:type="dxa"/>
            <w:vAlign w:val="bottom"/>
          </w:tcPr>
          <w:p>
            <w:pPr>
              <w:ind w:left="40"/>
              <w:spacing w:after="0"/>
              <w:rPr>
                <w:sz w:val="20"/>
                <w:szCs w:val="20"/>
                <w:color w:val="auto"/>
              </w:rPr>
            </w:pPr>
            <w:r>
              <w:rPr>
                <w:rFonts w:ascii="Arial" w:cs="Arial" w:eastAsia="Arial" w:hAnsi="Arial"/>
                <w:sz w:val="16"/>
                <w:szCs w:val="16"/>
                <w:i w:val="1"/>
                <w:iCs w:val="1"/>
                <w:color w:val="auto"/>
              </w:rPr>
              <w:t>(Principal Executive Officer)</w:t>
            </w:r>
          </w:p>
        </w:tc>
        <w:tc>
          <w:tcPr>
            <w:tcW w:w="0" w:type="dxa"/>
            <w:vAlign w:val="bottom"/>
          </w:tcPr>
          <w:p>
            <w:pPr>
              <w:spacing w:after="0"/>
              <w:rPr>
                <w:sz w:val="1"/>
                <w:szCs w:val="1"/>
                <w:color w:val="auto"/>
              </w:rPr>
            </w:pPr>
          </w:p>
        </w:tc>
      </w:tr>
      <w:tr>
        <w:trPr>
          <w:trHeight w:val="270"/>
        </w:trPr>
        <w:tc>
          <w:tcPr>
            <w:tcW w:w="620" w:type="dxa"/>
            <w:vAlign w:val="bottom"/>
          </w:tcPr>
          <w:p>
            <w:pPr>
              <w:spacing w:after="0"/>
              <w:rPr>
                <w:sz w:val="20"/>
                <w:szCs w:val="20"/>
                <w:color w:val="auto"/>
              </w:rPr>
            </w:pPr>
            <w:r>
              <w:rPr>
                <w:rFonts w:ascii="Arial" w:cs="Arial" w:eastAsia="Arial" w:hAnsi="Arial"/>
                <w:sz w:val="16"/>
                <w:szCs w:val="16"/>
                <w:color w:val="auto"/>
              </w:rPr>
              <w:t>Date:</w:t>
            </w:r>
          </w:p>
        </w:tc>
        <w:tc>
          <w:tcPr>
            <w:tcW w:w="2840" w:type="dxa"/>
            <w:vAlign w:val="bottom"/>
          </w:tcPr>
          <w:p>
            <w:pPr>
              <w:ind w:left="40"/>
              <w:spacing w:after="0"/>
              <w:rPr>
                <w:sz w:val="20"/>
                <w:szCs w:val="20"/>
                <w:color w:val="auto"/>
              </w:rPr>
            </w:pPr>
            <w:r>
              <w:rPr>
                <w:rFonts w:ascii="Arial" w:cs="Arial" w:eastAsia="Arial" w:hAnsi="Arial"/>
                <w:sz w:val="16"/>
                <w:szCs w:val="16"/>
                <w:color w:val="auto"/>
              </w:rPr>
              <w:t>November 2, 2017</w:t>
            </w:r>
          </w:p>
        </w:tc>
        <w:tc>
          <w:tcPr>
            <w:tcW w:w="0" w:type="dxa"/>
            <w:vAlign w:val="bottom"/>
          </w:tcPr>
          <w:p>
            <w:pPr>
              <w:spacing w:after="0"/>
              <w:rPr>
                <w:sz w:val="1"/>
                <w:szCs w:val="1"/>
                <w:color w:val="auto"/>
              </w:rPr>
            </w:pPr>
          </w:p>
        </w:tc>
      </w:tr>
      <w:tr>
        <w:trPr>
          <w:trHeight w:val="581"/>
        </w:trPr>
        <w:tc>
          <w:tcPr>
            <w:tcW w:w="3460" w:type="dxa"/>
            <w:vAlign w:val="bottom"/>
            <w:gridSpan w:val="2"/>
          </w:tcPr>
          <w:p>
            <w:pPr>
              <w:spacing w:after="0"/>
              <w:rPr>
                <w:sz w:val="20"/>
                <w:szCs w:val="20"/>
                <w:color w:val="auto"/>
              </w:rPr>
            </w:pPr>
            <w:r>
              <w:rPr>
                <w:rFonts w:ascii="Arial" w:cs="Arial" w:eastAsia="Arial" w:hAnsi="Arial"/>
                <w:sz w:val="16"/>
                <w:szCs w:val="16"/>
                <w:color w:val="auto"/>
              </w:rPr>
              <w:t>LANTHEUS HOLDINGS, INC.</w:t>
            </w:r>
          </w:p>
        </w:tc>
        <w:tc>
          <w:tcPr>
            <w:tcW w:w="0" w:type="dxa"/>
            <w:vAlign w:val="bottom"/>
          </w:tcPr>
          <w:p>
            <w:pPr>
              <w:spacing w:after="0"/>
              <w:rPr>
                <w:sz w:val="1"/>
                <w:szCs w:val="1"/>
                <w:color w:val="auto"/>
              </w:rPr>
            </w:pPr>
          </w:p>
        </w:tc>
      </w:tr>
      <w:tr>
        <w:trPr>
          <w:trHeight w:val="581"/>
        </w:trPr>
        <w:tc>
          <w:tcPr>
            <w:tcW w:w="620" w:type="dxa"/>
            <w:vAlign w:val="bottom"/>
          </w:tcPr>
          <w:p>
            <w:pPr>
              <w:spacing w:after="0"/>
              <w:rPr>
                <w:sz w:val="20"/>
                <w:szCs w:val="20"/>
                <w:color w:val="auto"/>
              </w:rPr>
            </w:pPr>
            <w:r>
              <w:rPr>
                <w:rFonts w:ascii="Arial" w:cs="Arial" w:eastAsia="Arial" w:hAnsi="Arial"/>
                <w:sz w:val="16"/>
                <w:szCs w:val="16"/>
                <w:color w:val="auto"/>
              </w:rPr>
              <w:t>By:</w:t>
            </w:r>
          </w:p>
        </w:tc>
        <w:tc>
          <w:tcPr>
            <w:tcW w:w="2840" w:type="dxa"/>
            <w:vAlign w:val="bottom"/>
          </w:tcPr>
          <w:p>
            <w:pPr>
              <w:ind w:left="40"/>
              <w:spacing w:after="0"/>
              <w:rPr>
                <w:sz w:val="20"/>
                <w:szCs w:val="20"/>
                <w:color w:val="auto"/>
              </w:rPr>
            </w:pPr>
            <w:r>
              <w:rPr>
                <w:rFonts w:ascii="Arial" w:cs="Arial" w:eastAsia="Arial" w:hAnsi="Arial"/>
                <w:sz w:val="16"/>
                <w:szCs w:val="16"/>
                <w:color w:val="auto"/>
              </w:rPr>
              <w:t>/s/ JOHN W. CROWLEY</w:t>
            </w:r>
          </w:p>
        </w:tc>
        <w:tc>
          <w:tcPr>
            <w:tcW w:w="0" w:type="dxa"/>
            <w:vAlign w:val="bottom"/>
          </w:tcPr>
          <w:p>
            <w:pPr>
              <w:spacing w:after="0"/>
              <w:rPr>
                <w:sz w:val="1"/>
                <w:szCs w:val="1"/>
                <w:color w:val="auto"/>
              </w:rPr>
            </w:pPr>
          </w:p>
        </w:tc>
      </w:tr>
      <w:tr>
        <w:trPr>
          <w:trHeight w:val="33"/>
        </w:trPr>
        <w:tc>
          <w:tcPr>
            <w:tcW w:w="620" w:type="dxa"/>
            <w:vAlign w:val="bottom"/>
            <w:vMerge w:val="restart"/>
          </w:tcPr>
          <w:p>
            <w:pPr>
              <w:spacing w:after="0"/>
              <w:rPr>
                <w:sz w:val="20"/>
                <w:szCs w:val="20"/>
                <w:color w:val="auto"/>
              </w:rPr>
            </w:pPr>
            <w:r>
              <w:rPr>
                <w:rFonts w:ascii="Arial" w:cs="Arial" w:eastAsia="Arial" w:hAnsi="Arial"/>
                <w:sz w:val="16"/>
                <w:szCs w:val="16"/>
                <w:color w:val="auto"/>
              </w:rPr>
              <w:t>Name:</w:t>
            </w:r>
          </w:p>
        </w:tc>
        <w:tc>
          <w:tcPr>
            <w:tcW w:w="2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20" w:type="dxa"/>
            <w:vAlign w:val="bottom"/>
            <w:vMerge w:val="continue"/>
          </w:tcPr>
          <w:p>
            <w:pPr>
              <w:spacing w:after="0"/>
              <w:rPr>
                <w:sz w:val="18"/>
                <w:szCs w:val="18"/>
                <w:color w:val="auto"/>
              </w:rPr>
            </w:pPr>
          </w:p>
        </w:tc>
        <w:tc>
          <w:tcPr>
            <w:tcW w:w="2840" w:type="dxa"/>
            <w:vAlign w:val="bottom"/>
          </w:tcPr>
          <w:p>
            <w:pPr>
              <w:ind w:left="40"/>
              <w:spacing w:after="0"/>
              <w:rPr>
                <w:sz w:val="20"/>
                <w:szCs w:val="20"/>
                <w:color w:val="auto"/>
              </w:rPr>
            </w:pPr>
            <w:r>
              <w:rPr>
                <w:rFonts w:ascii="Arial" w:cs="Arial" w:eastAsia="Arial" w:hAnsi="Arial"/>
                <w:sz w:val="16"/>
                <w:szCs w:val="16"/>
                <w:color w:val="auto"/>
              </w:rPr>
              <w:t>John W. Crowley</w:t>
            </w:r>
          </w:p>
        </w:tc>
        <w:tc>
          <w:tcPr>
            <w:tcW w:w="0" w:type="dxa"/>
            <w:vAlign w:val="bottom"/>
          </w:tcPr>
          <w:p>
            <w:pPr>
              <w:spacing w:after="0"/>
              <w:rPr>
                <w:sz w:val="1"/>
                <w:szCs w:val="1"/>
                <w:color w:val="auto"/>
              </w:rPr>
            </w:pPr>
          </w:p>
        </w:tc>
      </w:tr>
      <w:tr>
        <w:trPr>
          <w:trHeight w:val="253"/>
        </w:trPr>
        <w:tc>
          <w:tcPr>
            <w:tcW w:w="620" w:type="dxa"/>
            <w:vAlign w:val="bottom"/>
          </w:tcPr>
          <w:p>
            <w:pPr>
              <w:spacing w:after="0"/>
              <w:rPr>
                <w:sz w:val="20"/>
                <w:szCs w:val="20"/>
                <w:color w:val="auto"/>
              </w:rPr>
            </w:pPr>
            <w:r>
              <w:rPr>
                <w:rFonts w:ascii="Arial" w:cs="Arial" w:eastAsia="Arial" w:hAnsi="Arial"/>
                <w:sz w:val="16"/>
                <w:szCs w:val="16"/>
                <w:color w:val="auto"/>
              </w:rPr>
              <w:t>Title:</w:t>
            </w:r>
          </w:p>
        </w:tc>
        <w:tc>
          <w:tcPr>
            <w:tcW w:w="2840" w:type="dxa"/>
            <w:vAlign w:val="bottom"/>
          </w:tcPr>
          <w:p>
            <w:pPr>
              <w:ind w:left="40"/>
              <w:spacing w:after="0"/>
              <w:rPr>
                <w:sz w:val="20"/>
                <w:szCs w:val="20"/>
                <w:color w:val="auto"/>
              </w:rPr>
            </w:pPr>
            <w:r>
              <w:rPr>
                <w:rFonts w:ascii="Arial" w:cs="Arial" w:eastAsia="Arial" w:hAnsi="Arial"/>
                <w:sz w:val="16"/>
                <w:szCs w:val="16"/>
                <w:i w:val="1"/>
                <w:iCs w:val="1"/>
                <w:color w:val="auto"/>
              </w:rPr>
              <w:t>Chief Financial Officer and Treasurer</w:t>
            </w:r>
          </w:p>
        </w:tc>
        <w:tc>
          <w:tcPr>
            <w:tcW w:w="0" w:type="dxa"/>
            <w:vAlign w:val="bottom"/>
          </w:tcPr>
          <w:p>
            <w:pPr>
              <w:spacing w:after="0"/>
              <w:rPr>
                <w:sz w:val="1"/>
                <w:szCs w:val="1"/>
                <w:color w:val="auto"/>
              </w:rPr>
            </w:pPr>
          </w:p>
        </w:tc>
      </w:tr>
      <w:tr>
        <w:trPr>
          <w:trHeight w:val="203"/>
        </w:trPr>
        <w:tc>
          <w:tcPr>
            <w:tcW w:w="620" w:type="dxa"/>
            <w:vAlign w:val="bottom"/>
          </w:tcPr>
          <w:p>
            <w:pPr>
              <w:spacing w:after="0"/>
              <w:rPr>
                <w:sz w:val="17"/>
                <w:szCs w:val="17"/>
                <w:color w:val="auto"/>
              </w:rPr>
            </w:pPr>
          </w:p>
        </w:tc>
        <w:tc>
          <w:tcPr>
            <w:tcW w:w="2840" w:type="dxa"/>
            <w:vAlign w:val="bottom"/>
          </w:tcPr>
          <w:p>
            <w:pPr>
              <w:ind w:left="40"/>
              <w:spacing w:after="0"/>
              <w:rPr>
                <w:sz w:val="20"/>
                <w:szCs w:val="20"/>
                <w:color w:val="auto"/>
              </w:rPr>
            </w:pPr>
            <w:r>
              <w:rPr>
                <w:rFonts w:ascii="Arial" w:cs="Arial" w:eastAsia="Arial" w:hAnsi="Arial"/>
                <w:sz w:val="16"/>
                <w:szCs w:val="16"/>
                <w:i w:val="1"/>
                <w:iCs w:val="1"/>
                <w:color w:val="auto"/>
                <w:w w:val="97"/>
              </w:rPr>
              <w:t>(Principal Financial Officer and Principal</w:t>
            </w:r>
          </w:p>
        </w:tc>
        <w:tc>
          <w:tcPr>
            <w:tcW w:w="0" w:type="dxa"/>
            <w:vAlign w:val="bottom"/>
          </w:tcPr>
          <w:p>
            <w:pPr>
              <w:spacing w:after="0"/>
              <w:rPr>
                <w:sz w:val="1"/>
                <w:szCs w:val="1"/>
                <w:color w:val="auto"/>
              </w:rPr>
            </w:pPr>
          </w:p>
        </w:tc>
      </w:tr>
      <w:tr>
        <w:trPr>
          <w:trHeight w:val="206"/>
        </w:trPr>
        <w:tc>
          <w:tcPr>
            <w:tcW w:w="620" w:type="dxa"/>
            <w:vAlign w:val="bottom"/>
          </w:tcPr>
          <w:p>
            <w:pPr>
              <w:spacing w:after="0"/>
              <w:rPr>
                <w:sz w:val="17"/>
                <w:szCs w:val="17"/>
                <w:color w:val="auto"/>
              </w:rPr>
            </w:pPr>
          </w:p>
        </w:tc>
        <w:tc>
          <w:tcPr>
            <w:tcW w:w="2840" w:type="dxa"/>
            <w:vAlign w:val="bottom"/>
          </w:tcPr>
          <w:p>
            <w:pPr>
              <w:ind w:left="40"/>
              <w:spacing w:after="0"/>
              <w:rPr>
                <w:sz w:val="20"/>
                <w:szCs w:val="20"/>
                <w:color w:val="auto"/>
              </w:rPr>
            </w:pPr>
            <w:r>
              <w:rPr>
                <w:rFonts w:ascii="Arial" w:cs="Arial" w:eastAsia="Arial" w:hAnsi="Arial"/>
                <w:sz w:val="16"/>
                <w:szCs w:val="16"/>
                <w:i w:val="1"/>
                <w:iCs w:val="1"/>
                <w:color w:val="auto"/>
              </w:rPr>
              <w:t>Accounting Officer)</w:t>
            </w:r>
          </w:p>
        </w:tc>
        <w:tc>
          <w:tcPr>
            <w:tcW w:w="0" w:type="dxa"/>
            <w:vAlign w:val="bottom"/>
          </w:tcPr>
          <w:p>
            <w:pPr>
              <w:spacing w:after="0"/>
              <w:rPr>
                <w:sz w:val="1"/>
                <w:szCs w:val="1"/>
                <w:color w:val="auto"/>
              </w:rPr>
            </w:pPr>
          </w:p>
        </w:tc>
      </w:tr>
      <w:tr>
        <w:trPr>
          <w:trHeight w:val="257"/>
        </w:trPr>
        <w:tc>
          <w:tcPr>
            <w:tcW w:w="620" w:type="dxa"/>
            <w:vAlign w:val="bottom"/>
          </w:tcPr>
          <w:p>
            <w:pPr>
              <w:spacing w:after="0"/>
              <w:rPr>
                <w:sz w:val="20"/>
                <w:szCs w:val="20"/>
                <w:color w:val="auto"/>
              </w:rPr>
            </w:pPr>
            <w:r>
              <w:rPr>
                <w:rFonts w:ascii="Arial" w:cs="Arial" w:eastAsia="Arial" w:hAnsi="Arial"/>
                <w:sz w:val="16"/>
                <w:szCs w:val="16"/>
                <w:color w:val="auto"/>
              </w:rPr>
              <w:t>Date:</w:t>
            </w:r>
          </w:p>
        </w:tc>
        <w:tc>
          <w:tcPr>
            <w:tcW w:w="2840" w:type="dxa"/>
            <w:vAlign w:val="bottom"/>
          </w:tcPr>
          <w:p>
            <w:pPr>
              <w:ind w:left="40"/>
              <w:spacing w:after="0"/>
              <w:rPr>
                <w:sz w:val="20"/>
                <w:szCs w:val="20"/>
                <w:color w:val="auto"/>
              </w:rPr>
            </w:pPr>
            <w:r>
              <w:rPr>
                <w:rFonts w:ascii="Arial" w:cs="Arial" w:eastAsia="Arial" w:hAnsi="Arial"/>
                <w:sz w:val="16"/>
                <w:szCs w:val="16"/>
                <w:color w:val="auto"/>
              </w:rPr>
              <w:t>November 2, 2017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121" w:right="239" w:bottom="1440" w:gutter="0" w:footer="0" w:header="0"/>
        </w:sectPr>
      </w:pPr>
    </w:p>
    <w:bookmarkStart w:id="37" w:name="page38"/>
    <w:bookmarkEnd w:id="37"/>
    <w:p>
      <w:pPr>
        <w:jc w:val="right"/>
        <w:spacing w:after="0"/>
        <w:rPr>
          <w:sz w:val="20"/>
          <w:szCs w:val="20"/>
          <w:color w:val="auto"/>
        </w:rPr>
      </w:pPr>
      <w:r>
        <w:rPr>
          <w:rFonts w:ascii="Arial" w:cs="Arial" w:eastAsia="Arial" w:hAnsi="Arial"/>
          <w:sz w:val="18"/>
          <w:szCs w:val="18"/>
          <w:b w:val="1"/>
          <w:bCs w:val="1"/>
          <w:color w:val="auto"/>
        </w:rPr>
        <w:t>Exhibit 31.1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Mary Anne Heino, certify that:</w:t>
      </w:r>
    </w:p>
    <w:p>
      <w:pPr>
        <w:spacing w:after="0" w:line="117" w:lineRule="exact"/>
        <w:rPr>
          <w:sz w:val="20"/>
          <w:szCs w:val="20"/>
          <w:color w:val="auto"/>
        </w:rPr>
      </w:pPr>
    </w:p>
    <w:p>
      <w:pPr>
        <w:ind w:left="340" w:hanging="332"/>
        <w:spacing w:after="0"/>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Lantheus Holdings, Inc.;</w:t>
      </w:r>
    </w:p>
    <w:p>
      <w:pPr>
        <w:spacing w:after="0" w:line="117"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5"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660" w:right="40" w:hanging="328"/>
        <w:spacing w:after="0" w:line="264" w:lineRule="auto"/>
        <w:tabs>
          <w:tab w:leader="none" w:pos="66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660" w:right="20" w:hanging="328"/>
        <w:spacing w:after="0" w:line="264" w:lineRule="auto"/>
        <w:tabs>
          <w:tab w:leader="none" w:pos="66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660" w:right="80" w:hanging="328"/>
        <w:spacing w:after="0" w:line="308" w:lineRule="auto"/>
        <w:tabs>
          <w:tab w:leader="none" w:pos="660" w:val="left"/>
        </w:tabs>
        <w:numPr>
          <w:ilvl w:val="1"/>
          <w:numId w:val="16"/>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8" w:lineRule="exact"/>
        <w:rPr>
          <w:rFonts w:ascii="Arial" w:cs="Arial" w:eastAsia="Arial" w:hAnsi="Arial"/>
          <w:sz w:val="17"/>
          <w:szCs w:val="17"/>
          <w:color w:val="auto"/>
        </w:rPr>
      </w:pPr>
    </w:p>
    <w:p>
      <w:pPr>
        <w:ind w:left="660" w:right="120" w:hanging="328"/>
        <w:spacing w:after="0" w:line="342" w:lineRule="auto"/>
        <w:tabs>
          <w:tab w:leader="none" w:pos="660" w:val="left"/>
        </w:tabs>
        <w:numPr>
          <w:ilvl w:val="1"/>
          <w:numId w:val="16"/>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5" w:lineRule="exact"/>
        <w:rPr>
          <w:rFonts w:ascii="Arial" w:cs="Arial" w:eastAsia="Arial" w:hAnsi="Arial"/>
          <w:sz w:val="16"/>
          <w:szCs w:val="16"/>
          <w:color w:val="auto"/>
        </w:rPr>
      </w:pPr>
    </w:p>
    <w:p>
      <w:pPr>
        <w:ind w:left="340" w:right="500" w:hanging="332"/>
        <w:spacing w:after="0" w:line="308" w:lineRule="auto"/>
        <w:tabs>
          <w:tab w:leader="none" w:pos="3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660" w:right="420" w:hanging="328"/>
        <w:spacing w:after="0" w:line="277" w:lineRule="auto"/>
        <w:tabs>
          <w:tab w:leader="none" w:pos="695" w:val="left"/>
        </w:tabs>
        <w:numPr>
          <w:ilvl w:val="1"/>
          <w:numId w:val="1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660" w:right="40" w:hanging="328"/>
        <w:spacing w:after="0" w:line="277" w:lineRule="auto"/>
        <w:tabs>
          <w:tab w:leader="none" w:pos="660" w:val="left"/>
        </w:tabs>
        <w:numPr>
          <w:ilvl w:val="1"/>
          <w:numId w:val="1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2, 2017</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/s/ MARY ANNE HEINO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2818130</wp:posOffset>
            </wp:positionH>
            <wp:positionV relativeFrom="paragraph">
              <wp:posOffset>31750</wp:posOffset>
            </wp:positionV>
            <wp:extent cx="305308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3280"/>
        <w:spacing w:after="0"/>
        <w:tabs>
          <w:tab w:leader="none" w:pos="444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Mary Anne Heino</w:t>
      </w:r>
    </w:p>
    <w:p>
      <w:pPr>
        <w:spacing w:after="0" w:line="63" w:lineRule="exact"/>
        <w:rPr>
          <w:sz w:val="20"/>
          <w:szCs w:val="20"/>
          <w:color w:val="auto"/>
        </w:rPr>
      </w:pPr>
    </w:p>
    <w:p>
      <w:pPr>
        <w:ind w:left="3280"/>
        <w:spacing w:after="0"/>
        <w:tabs>
          <w:tab w:leader="none" w:pos="444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President and Chief Executive Officer</w:t>
      </w:r>
    </w:p>
    <w:p>
      <w:pPr>
        <w:spacing w:after="0" w:line="63" w:lineRule="exact"/>
        <w:rPr>
          <w:sz w:val="20"/>
          <w:szCs w:val="20"/>
          <w:color w:val="auto"/>
        </w:rPr>
      </w:pPr>
    </w:p>
    <w:p>
      <w:pPr>
        <w:jc w:val="center"/>
        <w:ind w:right="400"/>
        <w:spacing w:after="0"/>
        <w:rPr>
          <w:sz w:val="20"/>
          <w:szCs w:val="20"/>
          <w:color w:val="auto"/>
        </w:rPr>
      </w:pPr>
      <w:r>
        <w:rPr>
          <w:rFonts w:ascii="Arial" w:cs="Arial" w:eastAsia="Arial" w:hAnsi="Arial"/>
          <w:sz w:val="18"/>
          <w:szCs w:val="18"/>
          <w:i w:val="1"/>
          <w:iCs w:val="1"/>
          <w:color w:val="auto"/>
        </w:rPr>
        <w:t>(Principal Executive Officer)</w:t>
      </w:r>
    </w:p>
    <w:p>
      <w:pPr>
        <w:sectPr>
          <w:pgSz w:w="11900" w:h="16838" w:orient="portrait"/>
          <w:cols w:equalWidth="0" w:num="1">
            <w:col w:w="11420"/>
          </w:cols>
          <w:pgMar w:left="240" w:top="580" w:right="239" w:bottom="1440" w:gutter="0" w:footer="0" w:header="0"/>
        </w:sectPr>
      </w:pPr>
    </w:p>
    <w:bookmarkStart w:id="38" w:name="page39"/>
    <w:bookmarkEnd w:id="38"/>
    <w:p>
      <w:pPr>
        <w:jc w:val="right"/>
        <w:spacing w:after="0"/>
        <w:rPr>
          <w:sz w:val="20"/>
          <w:szCs w:val="20"/>
          <w:color w:val="auto"/>
        </w:rPr>
      </w:pPr>
      <w:r>
        <w:rPr>
          <w:rFonts w:ascii="Arial" w:cs="Arial" w:eastAsia="Arial" w:hAnsi="Arial"/>
          <w:sz w:val="18"/>
          <w:szCs w:val="18"/>
          <w:b w:val="1"/>
          <w:bCs w:val="1"/>
          <w:color w:val="auto"/>
        </w:rPr>
        <w:t>Exhibit 31.2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John W. Crowley, certify that:</w:t>
      </w:r>
    </w:p>
    <w:p>
      <w:pPr>
        <w:spacing w:after="0" w:line="117" w:lineRule="exact"/>
        <w:rPr>
          <w:sz w:val="20"/>
          <w:szCs w:val="20"/>
          <w:color w:val="auto"/>
        </w:rPr>
      </w:pPr>
    </w:p>
    <w:p>
      <w:pPr>
        <w:ind w:left="340" w:hanging="332"/>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Lantheus Holdings, Inc.;</w:t>
      </w:r>
    </w:p>
    <w:p>
      <w:pPr>
        <w:spacing w:after="0" w:line="117"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17"/>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5"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1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left="340" w:right="60" w:hanging="332"/>
        <w:spacing w:after="0" w:line="264"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660" w:right="40" w:hanging="328"/>
        <w:spacing w:after="0" w:line="264" w:lineRule="auto"/>
        <w:tabs>
          <w:tab w:leader="none" w:pos="6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660" w:right="20" w:hanging="328"/>
        <w:spacing w:after="0" w:line="264" w:lineRule="auto"/>
        <w:tabs>
          <w:tab w:leader="none" w:pos="6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ind w:left="660" w:right="80" w:hanging="328"/>
        <w:spacing w:after="0" w:line="308" w:lineRule="auto"/>
        <w:tabs>
          <w:tab w:leader="none" w:pos="660" w:val="left"/>
        </w:tabs>
        <w:numPr>
          <w:ilvl w:val="1"/>
          <w:numId w:val="17"/>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8" w:lineRule="exact"/>
        <w:rPr>
          <w:rFonts w:ascii="Arial" w:cs="Arial" w:eastAsia="Arial" w:hAnsi="Arial"/>
          <w:sz w:val="17"/>
          <w:szCs w:val="17"/>
          <w:color w:val="auto"/>
        </w:rPr>
      </w:pPr>
    </w:p>
    <w:p>
      <w:pPr>
        <w:ind w:left="660" w:right="120" w:hanging="328"/>
        <w:spacing w:after="0" w:line="342" w:lineRule="auto"/>
        <w:tabs>
          <w:tab w:leader="none" w:pos="660" w:val="left"/>
        </w:tabs>
        <w:numPr>
          <w:ilvl w:val="1"/>
          <w:numId w:val="17"/>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5" w:lineRule="exact"/>
        <w:rPr>
          <w:rFonts w:ascii="Arial" w:cs="Arial" w:eastAsia="Arial" w:hAnsi="Arial"/>
          <w:sz w:val="16"/>
          <w:szCs w:val="16"/>
          <w:color w:val="auto"/>
        </w:rPr>
      </w:pPr>
    </w:p>
    <w:p>
      <w:pPr>
        <w:ind w:left="340" w:right="500" w:hanging="332"/>
        <w:spacing w:after="0" w:line="308" w:lineRule="auto"/>
        <w:tabs>
          <w:tab w:leader="none" w:pos="34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660" w:right="420" w:hanging="328"/>
        <w:spacing w:after="0" w:line="277" w:lineRule="auto"/>
        <w:tabs>
          <w:tab w:leader="none" w:pos="695" w:val="left"/>
        </w:tabs>
        <w:numPr>
          <w:ilvl w:val="1"/>
          <w:numId w:val="17"/>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660" w:right="40" w:hanging="328"/>
        <w:spacing w:after="0" w:line="277" w:lineRule="auto"/>
        <w:tabs>
          <w:tab w:leader="none" w:pos="6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79"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November 2, 2017</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/s/ JOHN W. CROWLEY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4198620</wp:posOffset>
            </wp:positionH>
            <wp:positionV relativeFrom="paragraph">
              <wp:posOffset>31750</wp:posOffset>
            </wp:positionV>
            <wp:extent cx="305308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5720"/>
        <w:spacing w:after="0"/>
        <w:tabs>
          <w:tab w:leader="none" w:pos="66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John W. Crowley</w:t>
      </w:r>
    </w:p>
    <w:p>
      <w:pPr>
        <w:spacing w:after="0" w:line="63" w:lineRule="exact"/>
        <w:rPr>
          <w:sz w:val="20"/>
          <w:szCs w:val="20"/>
          <w:color w:val="auto"/>
        </w:rPr>
      </w:pPr>
    </w:p>
    <w:p>
      <w:pPr>
        <w:ind w:left="5780"/>
        <w:spacing w:after="0"/>
        <w:tabs>
          <w:tab w:leader="none" w:pos="66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Chief Financial Officer and Treasurer</w:t>
      </w:r>
    </w:p>
    <w:p>
      <w:pPr>
        <w:spacing w:after="0" w:line="63" w:lineRule="exact"/>
        <w:rPr>
          <w:sz w:val="20"/>
          <w:szCs w:val="20"/>
          <w:color w:val="auto"/>
        </w:rPr>
      </w:pPr>
    </w:p>
    <w:p>
      <w:pPr>
        <w:ind w:left="6640"/>
        <w:spacing w:after="0"/>
        <w:rPr>
          <w:sz w:val="20"/>
          <w:szCs w:val="20"/>
          <w:color w:val="auto"/>
        </w:rPr>
      </w:pPr>
      <w:r>
        <w:rPr>
          <w:rFonts w:ascii="Arial" w:cs="Arial" w:eastAsia="Arial" w:hAnsi="Arial"/>
          <w:sz w:val="18"/>
          <w:szCs w:val="18"/>
          <w:i w:val="1"/>
          <w:iCs w:val="1"/>
          <w:color w:val="auto"/>
        </w:rPr>
        <w:t>(Principal Financial Officer and Principal Accounting Officer)</w:t>
      </w:r>
    </w:p>
    <w:p>
      <w:pPr>
        <w:sectPr>
          <w:pgSz w:w="11900" w:h="16838" w:orient="portrait"/>
          <w:cols w:equalWidth="0" w:num="1">
            <w:col w:w="11420"/>
          </w:cols>
          <w:pgMar w:left="240" w:top="580" w:right="239" w:bottom="1440" w:gutter="0" w:footer="0" w:header="0"/>
        </w:sectPr>
      </w:pPr>
    </w:p>
    <w:bookmarkStart w:id="39" w:name="page40"/>
    <w:bookmarkEnd w:id="39"/>
    <w:p>
      <w:pPr>
        <w:jc w:val="right"/>
        <w:spacing w:after="0"/>
        <w:rPr>
          <w:sz w:val="20"/>
          <w:szCs w:val="20"/>
          <w:color w:val="auto"/>
        </w:rPr>
      </w:pPr>
      <w:r>
        <w:rPr>
          <w:rFonts w:ascii="Arial" w:cs="Arial" w:eastAsia="Arial" w:hAnsi="Arial"/>
          <w:sz w:val="18"/>
          <w:szCs w:val="18"/>
          <w:b w:val="1"/>
          <w:bCs w:val="1"/>
          <w:color w:val="auto"/>
        </w:rPr>
        <w:t>Exhibit 32.1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color w:val="auto"/>
        </w:rPr>
        <w:t>Pursuant to 18 U.S.C. Section 1350, as adopted pursuant to Section 906 of the Sarbanes-Oxley Act of 2002, Mary Anne Heino, the Chief Executive Officer, and John W. Crowley, the Chief Financial Officer, of Lantheus Holdings, Inc. (the “Company”), hereby certify, that, to their knowledge:</w:t>
      </w:r>
    </w:p>
    <w:p>
      <w:pPr>
        <w:spacing w:after="0" w:line="147" w:lineRule="exact"/>
        <w:rPr>
          <w:sz w:val="20"/>
          <w:szCs w:val="20"/>
          <w:color w:val="auto"/>
        </w:rPr>
      </w:pPr>
    </w:p>
    <w:p>
      <w:pPr>
        <w:ind w:left="660" w:hanging="328"/>
        <w:spacing w:after="0" w:line="277"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Quarterly Report on Form 10-Q for the period ended September 30, 2017 (the “Report”) of the Company fully complies with the requirements of Section 13(a) or 15(d) of the Securities Exchange Act of 1934; and</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color w:val="auto"/>
        </w:rPr>
        <w:t>Date: November 2,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/s/ MARY ANNE HEINO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4198620</wp:posOffset>
            </wp:positionH>
            <wp:positionV relativeFrom="paragraph">
              <wp:posOffset>31750</wp:posOffset>
            </wp:positionV>
            <wp:extent cx="305308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5720"/>
        <w:spacing w:after="0"/>
        <w:tabs>
          <w:tab w:leader="none" w:pos="66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Mary Anne Heino</w:t>
      </w:r>
    </w:p>
    <w:p>
      <w:pPr>
        <w:spacing w:after="0" w:line="63" w:lineRule="exact"/>
        <w:rPr>
          <w:sz w:val="20"/>
          <w:szCs w:val="20"/>
          <w:color w:val="auto"/>
        </w:rPr>
      </w:pPr>
    </w:p>
    <w:p>
      <w:pPr>
        <w:ind w:left="5780"/>
        <w:spacing w:after="0"/>
        <w:tabs>
          <w:tab w:leader="none" w:pos="66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President and Chief Executive Officer</w:t>
      </w:r>
    </w:p>
    <w:p>
      <w:pPr>
        <w:spacing w:after="0" w:line="63" w:lineRule="exact"/>
        <w:rPr>
          <w:sz w:val="20"/>
          <w:szCs w:val="20"/>
          <w:color w:val="auto"/>
        </w:rPr>
      </w:pPr>
    </w:p>
    <w:p>
      <w:pPr>
        <w:ind w:left="6640"/>
        <w:spacing w:after="0"/>
        <w:rPr>
          <w:sz w:val="20"/>
          <w:szCs w:val="20"/>
          <w:color w:val="auto"/>
        </w:rPr>
      </w:pPr>
      <w:r>
        <w:rPr>
          <w:rFonts w:ascii="Arial" w:cs="Arial" w:eastAsia="Arial" w:hAnsi="Arial"/>
          <w:sz w:val="18"/>
          <w:szCs w:val="18"/>
          <w:i w:val="1"/>
          <w:iCs w:val="1"/>
          <w:color w:val="auto"/>
        </w:rPr>
        <w:t>(Principal Executive Officer)</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Date: November 2, 2017</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6640"/>
        <w:spacing w:after="0"/>
        <w:rPr>
          <w:sz w:val="20"/>
          <w:szCs w:val="20"/>
          <w:color w:val="auto"/>
        </w:rPr>
      </w:pPr>
      <w:r>
        <w:rPr>
          <w:rFonts w:ascii="Arial" w:cs="Arial" w:eastAsia="Arial" w:hAnsi="Arial"/>
          <w:sz w:val="18"/>
          <w:szCs w:val="18"/>
          <w:color w:val="auto"/>
        </w:rPr>
        <w:t>/s/ JOHN W. CROWLEY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4198620</wp:posOffset>
            </wp:positionH>
            <wp:positionV relativeFrom="paragraph">
              <wp:posOffset>31750</wp:posOffset>
            </wp:positionV>
            <wp:extent cx="305308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053080" cy="8890"/>
                    </a:xfrm>
                    <a:prstGeom prst="rect">
                      <a:avLst/>
                    </a:prstGeom>
                    <a:noFill/>
                  </pic:spPr>
                </pic:pic>
              </a:graphicData>
            </a:graphic>
          </wp:anchor>
        </w:drawing>
      </w:r>
    </w:p>
    <w:p>
      <w:pPr>
        <w:spacing w:after="0" w:line="57" w:lineRule="exact"/>
        <w:rPr>
          <w:sz w:val="20"/>
          <w:szCs w:val="20"/>
          <w:color w:val="auto"/>
        </w:rPr>
      </w:pPr>
    </w:p>
    <w:p>
      <w:pPr>
        <w:ind w:left="5720"/>
        <w:spacing w:after="0"/>
        <w:tabs>
          <w:tab w:leader="none" w:pos="662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John W. Crowley</w:t>
      </w:r>
    </w:p>
    <w:p>
      <w:pPr>
        <w:spacing w:after="0" w:line="63" w:lineRule="exact"/>
        <w:rPr>
          <w:sz w:val="20"/>
          <w:szCs w:val="20"/>
          <w:color w:val="auto"/>
        </w:rPr>
      </w:pPr>
    </w:p>
    <w:p>
      <w:pPr>
        <w:ind w:left="5780"/>
        <w:spacing w:after="0"/>
        <w:tabs>
          <w:tab w:leader="none" w:pos="66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Chief Financial Officer and Treasurer</w:t>
      </w:r>
    </w:p>
    <w:p>
      <w:pPr>
        <w:spacing w:after="0" w:line="63" w:lineRule="exact"/>
        <w:rPr>
          <w:sz w:val="20"/>
          <w:szCs w:val="20"/>
          <w:color w:val="auto"/>
        </w:rPr>
      </w:pPr>
    </w:p>
    <w:p>
      <w:pPr>
        <w:ind w:left="6640"/>
        <w:spacing w:after="0"/>
        <w:rPr>
          <w:sz w:val="20"/>
          <w:szCs w:val="20"/>
          <w:color w:val="auto"/>
        </w:rPr>
      </w:pPr>
      <w:r>
        <w:rPr>
          <w:rFonts w:ascii="Arial" w:cs="Arial" w:eastAsia="Arial" w:hAnsi="Arial"/>
          <w:sz w:val="18"/>
          <w:szCs w:val="18"/>
          <w:i w:val="1"/>
          <w:iCs w:val="1"/>
          <w:color w:val="auto"/>
        </w:rPr>
        <w:t>(Principal Financial Officer and Principal Accounting Officer)</w:t>
      </w:r>
    </w:p>
    <w:p>
      <w:pPr>
        <w:spacing w:after="0" w:line="252"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2200854"/>
    <w:multiLevelType w:val="hybridMultilevel"/>
    <w:lvl w:ilvl="0">
      <w:lvlJc w:val="left"/>
      <w:lvlText w:val="☑"/>
      <w:numFmt w:val="bullet"/>
      <w:start w:val="1"/>
    </w:lvl>
  </w:abstractNum>
  <w:abstractNum w:abstractNumId="1">
    <w:nsid w:val="4DB127F8"/>
    <w:multiLevelType w:val="hybridMultilevel"/>
    <w:lvl w:ilvl="0">
      <w:lvlJc w:val="left"/>
      <w:lvlText w:val="☐"/>
      <w:numFmt w:val="bullet"/>
      <w:start w:val="1"/>
    </w:lvl>
  </w:abstractNum>
  <w:abstractNum w:abstractNumId="2">
    <w:nsid w:val="216231B"/>
    <w:multiLevelType w:val="hybridMultilevel"/>
    <w:lvl w:ilvl="0">
      <w:lvlJc w:val="left"/>
      <w:lvlText w:val="•"/>
      <w:numFmt w:val="bullet"/>
      <w:start w:val="1"/>
    </w:lvl>
  </w:abstractNum>
  <w:abstractNum w:abstractNumId="3">
    <w:nsid w:val="1F16E9E8"/>
    <w:multiLevelType w:val="hybridMultilevel"/>
    <w:lvl w:ilvl="0">
      <w:lvlJc w:val="left"/>
      <w:lvlText w:val="(%1)"/>
      <w:numFmt w:val="lowerRoman"/>
      <w:start w:val="2"/>
    </w:lvl>
  </w:abstractNum>
  <w:abstractNum w:abstractNumId="4">
    <w:nsid w:val="1190CDE7"/>
    <w:multiLevelType w:val="hybridMultilevel"/>
    <w:lvl w:ilvl="0">
      <w:lvlJc w:val="left"/>
      <w:lvlText w:val="*"/>
      <w:numFmt w:val="bullet"/>
      <w:start w:val="1"/>
    </w:lvl>
  </w:abstractNum>
  <w:abstractNum w:abstractNumId="5">
    <w:nsid w:val="66EF438D"/>
    <w:multiLevelType w:val="hybridMultilevel"/>
    <w:lvl w:ilvl="0">
      <w:lvlJc w:val="left"/>
      <w:lvlText w:val="**"/>
      <w:numFmt w:val="bullet"/>
      <w:start w:val="1"/>
    </w:lvl>
  </w:abstractNum>
  <w:abstractNum w:abstractNumId="6">
    <w:nsid w:val="140E0F76"/>
    <w:multiLevelType w:val="hybridMultilevel"/>
    <w:lvl w:ilvl="0">
      <w:lvlJc w:val="left"/>
      <w:lvlText w:val="(%1)"/>
      <w:numFmt w:val="lowerRoman"/>
      <w:start w:val="1"/>
    </w:lvl>
    <w:lvl w:ilvl="1">
      <w:lvlJc w:val="left"/>
      <w:lvlText w:val="•"/>
      <w:numFmt w:val="bullet"/>
      <w:start w:val="1"/>
    </w:lvl>
    <w:lvl w:ilvl="2">
      <w:lvlJc w:val="left"/>
      <w:lvlText w:val="▪"/>
      <w:numFmt w:val="bullet"/>
      <w:start w:val="1"/>
    </w:lvl>
  </w:abstractNum>
  <w:abstractNum w:abstractNumId="7">
    <w:nsid w:val="3352255A"/>
    <w:multiLevelType w:val="hybridMultilevel"/>
    <w:lvl w:ilvl="0">
      <w:lvlJc w:val="left"/>
      <w:lvlText w:val="•"/>
      <w:numFmt w:val="bullet"/>
      <w:start w:val="1"/>
    </w:lvl>
  </w:abstractNum>
  <w:abstractNum w:abstractNumId="8">
    <w:nsid w:val="109CF92E"/>
    <w:multiLevelType w:val="hybridMultilevel"/>
    <w:lvl w:ilvl="0">
      <w:lvlJc w:val="left"/>
      <w:lvlText w:val="•"/>
      <w:numFmt w:val="bullet"/>
      <w:start w:val="1"/>
    </w:lvl>
  </w:abstractNum>
  <w:abstractNum w:abstractNumId="9">
    <w:nsid w:val="DED7263"/>
    <w:multiLevelType w:val="hybridMultilevel"/>
    <w:lvl w:ilvl="0">
      <w:lvlJc w:val="left"/>
      <w:lvlText w:val="•"/>
      <w:numFmt w:val="bullet"/>
      <w:start w:val="1"/>
    </w:lvl>
  </w:abstractNum>
  <w:abstractNum w:abstractNumId="10">
    <w:nsid w:val="7FDCC233"/>
    <w:multiLevelType w:val="hybridMultilevel"/>
    <w:lvl w:ilvl="0">
      <w:lvlJc w:val="left"/>
      <w:lvlText w:val="(%1)"/>
      <w:numFmt w:val="lowerRoman"/>
      <w:start w:val="2"/>
    </w:lvl>
  </w:abstractNum>
  <w:abstractNum w:abstractNumId="11">
    <w:nsid w:val="1BEFD79F"/>
    <w:multiLevelType w:val="hybridMultilevel"/>
    <w:lvl w:ilvl="0">
      <w:lvlJc w:val="left"/>
      <w:lvlText w:val="•"/>
      <w:numFmt w:val="bullet"/>
      <w:start w:val="1"/>
    </w:lvl>
  </w:abstractNum>
  <w:abstractNum w:abstractNumId="12">
    <w:nsid w:val="41A7C4C9"/>
    <w:multiLevelType w:val="hybridMultilevel"/>
    <w:lvl w:ilvl="0">
      <w:lvlJc w:val="left"/>
      <w:lvlText w:val="•"/>
      <w:numFmt w:val="bullet"/>
      <w:start w:val="1"/>
    </w:lvl>
  </w:abstractNum>
  <w:abstractNum w:abstractNumId="13">
    <w:nsid w:val="6B68079A"/>
    <w:multiLevelType w:val="hybridMultilevel"/>
    <w:lvl w:ilvl="0">
      <w:lvlJc w:val="left"/>
      <w:lvlText w:val="**"/>
      <w:numFmt w:val="bullet"/>
      <w:start w:val="1"/>
    </w:lvl>
  </w:abstractNum>
  <w:abstractNum w:abstractNumId="14">
    <w:nsid w:val="4E6AFB66"/>
    <w:multiLevelType w:val="hybridMultilevel"/>
    <w:lvl w:ilvl="0">
      <w:lvlJc w:val="left"/>
      <w:lvlText w:val="*"/>
      <w:numFmt w:val="bullet"/>
      <w:start w:val="1"/>
    </w:lvl>
  </w:abstractNum>
  <w:abstractNum w:abstractNumId="15">
    <w:nsid w:val="25E45D32"/>
    <w:multiLevelType w:val="hybridMultilevel"/>
    <w:lvl w:ilvl="0">
      <w:lvlJc w:val="left"/>
      <w:lvlText w:val="%1."/>
      <w:numFmt w:val="decimal"/>
      <w:start w:val="1"/>
    </w:lvl>
    <w:lvl w:ilvl="1">
      <w:lvlJc w:val="left"/>
      <w:lvlText w:val="%2."/>
      <w:numFmt w:val="lowerLetter"/>
      <w:start w:val="1"/>
    </w:lvl>
  </w:abstractNum>
  <w:abstractNum w:abstractNumId="16">
    <w:nsid w:val="519B500D"/>
    <w:multiLevelType w:val="hybridMultilevel"/>
    <w:lvl w:ilvl="0">
      <w:lvlJc w:val="left"/>
      <w:lvlText w:val="%1."/>
      <w:numFmt w:val="decimal"/>
      <w:start w:val="1"/>
    </w:lvl>
    <w:lvl w:ilvl="1">
      <w:lvlJc w:val="left"/>
      <w:lvlText w:val="%2."/>
      <w:numFmt w:val="lowerLetter"/>
      <w:start w:val="1"/>
    </w:lvl>
  </w:abstractNum>
  <w:abstractNum w:abstractNumId="17">
    <w:nsid w:val="431BD7B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2019-12-29T03:45:44Z</dcterms:created>
  <dcterms:modified xsi:type="dcterms:W3CDTF">2019-12-29T03:45:44Z</dcterms:modified>
</cp:coreProperties>
</file>