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629285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219075</wp:posOffset>
            </wp:positionV>
            <wp:extent cx="16033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247015</wp:posOffset>
            </wp:positionV>
            <wp:extent cx="16033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3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 October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234315</wp:posOffset>
            </wp:positionV>
            <wp:extent cx="16033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5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227965</wp:posOffset>
            </wp:positionV>
            <wp:extent cx="16033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ectPr>
          <w:pgSz w:w="11900" w:h="16838" w:orient="portrait"/>
          <w:cols w:equalWidth="0" w:num="1">
            <w:col w:w="11360"/>
          </w:cols>
          <w:pgMar w:left="240" w:top="1125" w:right="29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82" w:lineRule="exact"/>
        <w:rPr>
          <w:sz w:val="24"/>
          <w:szCs w:val="24"/>
          <w:color w:val="auto"/>
        </w:rPr>
      </w:pPr>
    </w:p>
    <w:p>
      <w:pPr>
        <w:sectPr>
          <w:pgSz w:w="11900" w:h="16838" w:orient="portrait"/>
          <w:cols w:equalWidth="0" w:num="3">
            <w:col w:w="4680" w:space="720"/>
            <w:col w:w="2980" w:space="720"/>
            <w:col w:w="2260"/>
          </w:cols>
          <w:pgMar w:left="240" w:top="1125" w:right="299" w:bottom="1440" w:gutter="0" w:footer="0" w:header="0"/>
          <w:type w:val="continuous"/>
        </w:sect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spacing w:after="0" w:line="15" w:lineRule="exact"/>
        <w:rPr>
          <w:sz w:val="24"/>
          <w:szCs w:val="24"/>
          <w:color w:val="auto"/>
        </w:rPr>
      </w:pP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27"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6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1260"/>
        <w:spacing w:after="0"/>
        <w:rPr>
          <w:sz w:val="20"/>
          <w:szCs w:val="20"/>
          <w:color w:val="auto"/>
        </w:rPr>
      </w:pPr>
      <w:r>
        <w:rPr>
          <w:rFonts w:ascii="Arial" w:cs="Arial" w:eastAsia="Arial" w:hAnsi="Arial"/>
          <w:sz w:val="13"/>
          <w:szCs w:val="13"/>
          <w:b w:val="1"/>
          <w:bCs w:val="1"/>
          <w:color w:val="auto"/>
        </w:rPr>
        <w:t>Identification No.)</w:t>
      </w:r>
    </w:p>
    <w:p>
      <w:pPr>
        <w:spacing w:after="0" w:line="190" w:lineRule="exact"/>
        <w:rPr>
          <w:sz w:val="24"/>
          <w:szCs w:val="24"/>
          <w:color w:val="auto"/>
        </w:rPr>
      </w:pPr>
    </w:p>
    <w:p>
      <w:pPr>
        <w:sectPr>
          <w:pgSz w:w="11900" w:h="16838" w:orient="portrait"/>
          <w:cols w:equalWidth="0" w:num="3">
            <w:col w:w="4640" w:space="720"/>
            <w:col w:w="2900" w:space="720"/>
            <w:col w:w="2380"/>
          </w:cols>
          <w:pgMar w:left="240" w:top="1125" w:right="299" w:bottom="1440" w:gutter="0" w:footer="0" w:header="0"/>
          <w:type w:val="continuous"/>
        </w:sectPr>
      </w:pPr>
    </w:p>
    <w:p>
      <w:pPr>
        <w:ind w:left="160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01862</w:t>
      </w:r>
    </w:p>
    <w:p>
      <w:pPr>
        <w:spacing w:after="0" w:line="93" w:lineRule="exact"/>
        <w:rPr>
          <w:sz w:val="24"/>
          <w:szCs w:val="24"/>
          <w:color w:val="auto"/>
        </w:rPr>
      </w:pPr>
    </w:p>
    <w:p>
      <w:pPr>
        <w:sectPr>
          <w:pgSz w:w="11900" w:h="16838" w:orient="portrait"/>
          <w:cols w:equalWidth="0" w:num="2">
            <w:col w:w="7520" w:space="720"/>
            <w:col w:w="3120"/>
          </w:cols>
          <w:pgMar w:left="240" w:top="1125" w:right="299" w:bottom="1440" w:gutter="0" w:footer="0" w:header="0"/>
          <w:type w:val="continuous"/>
        </w:sectPr>
      </w:pPr>
    </w:p>
    <w:p>
      <w:pPr>
        <w:ind w:left="208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200" w:lineRule="exact"/>
        <w:rPr>
          <w:sz w:val="24"/>
          <w:szCs w:val="24"/>
          <w:color w:val="auto"/>
        </w:rPr>
      </w:pPr>
    </w:p>
    <w:p>
      <w:pPr>
        <w:sectPr>
          <w:pgSz w:w="11900" w:h="16838" w:orient="portrait"/>
          <w:cols w:equalWidth="0" w:num="2">
            <w:col w:w="7400" w:space="720"/>
            <w:col w:w="3240"/>
          </w:cols>
          <w:pgMar w:left="240" w:top="1125" w:right="299" w:bottom="1440" w:gutter="0" w:footer="0" w:header="0"/>
          <w:type w:val="continuous"/>
        </w:sectPr>
      </w:pP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Not Applicable</w:t>
      </w:r>
    </w:p>
    <w:p>
      <w:pPr>
        <w:spacing w:after="0" w:line="59"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246380</wp:posOffset>
            </wp:positionV>
            <wp:extent cx="16033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right="16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4"/>
          <w:szCs w:val="24"/>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40" w:right="2860" w:hanging="318"/>
        <w:spacing w:after="0" w:line="402" w:lineRule="auto"/>
        <w:tabs>
          <w:tab w:leader="none" w:pos="46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84" w:lineRule="exact"/>
        <w:rPr>
          <w:sz w:val="24"/>
          <w:szCs w:val="24"/>
          <w:color w:val="auto"/>
        </w:rPr>
      </w:pPr>
    </w:p>
    <w:tbl>
      <w:tblPr>
        <w:tblLayout w:type="fixed"/>
        <w:tblInd w:w="750" w:type="dxa"/>
        <w:tblCellMar>
          <w:top w:w="0" w:type="dxa"/>
          <w:left w:w="0" w:type="dxa"/>
          <w:bottom w:w="0" w:type="dxa"/>
          <w:right w:w="0" w:type="dxa"/>
        </w:tblCellMar>
      </w:tblPr>
      <w:tr>
        <w:trPr>
          <w:trHeight w:val="257"/>
        </w:trPr>
        <w:tc>
          <w:tcPr>
            <w:tcW w:w="390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Title of each class</w:t>
            </w:r>
          </w:p>
        </w:tc>
        <w:tc>
          <w:tcPr>
            <w:tcW w:w="190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Trading Symbol(s)</w:t>
            </w:r>
          </w:p>
        </w:tc>
        <w:tc>
          <w:tcPr>
            <w:tcW w:w="41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Name of each exchange on which registered</w:t>
            </w:r>
          </w:p>
        </w:tc>
      </w:tr>
      <w:tr>
        <w:trPr>
          <w:trHeight w:val="27"/>
        </w:trPr>
        <w:tc>
          <w:tcPr>
            <w:tcW w:w="3900" w:type="dxa"/>
            <w:vAlign w:val="bottom"/>
            <w:tcBorders>
              <w:left w:val="single" w:sz="8" w:color="auto"/>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4180" w:type="dxa"/>
            <w:vAlign w:val="bottom"/>
            <w:tcBorders>
              <w:bottom w:val="single" w:sz="8" w:color="auto"/>
              <w:right w:val="single" w:sz="8" w:color="auto"/>
            </w:tcBorders>
          </w:tcPr>
          <w:p>
            <w:pPr>
              <w:spacing w:after="0"/>
              <w:rPr>
                <w:sz w:val="2"/>
                <w:szCs w:val="2"/>
                <w:color w:val="auto"/>
              </w:rPr>
            </w:pPr>
          </w:p>
        </w:tc>
      </w:tr>
      <w:tr>
        <w:trPr>
          <w:trHeight w:val="237"/>
        </w:trPr>
        <w:tc>
          <w:tcPr>
            <w:tcW w:w="390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Common stock, par value $0.01 per share</w:t>
            </w:r>
          </w:p>
        </w:tc>
        <w:tc>
          <w:tcPr>
            <w:tcW w:w="190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LNTH</w:t>
            </w:r>
          </w:p>
        </w:tc>
        <w:tc>
          <w:tcPr>
            <w:tcW w:w="418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The Nasdaq Global Market</w:t>
            </w:r>
          </w:p>
        </w:tc>
      </w:tr>
      <w:tr>
        <w:trPr>
          <w:trHeight w:val="27"/>
        </w:trPr>
        <w:tc>
          <w:tcPr>
            <w:tcW w:w="3900" w:type="dxa"/>
            <w:vAlign w:val="bottom"/>
            <w:tcBorders>
              <w:left w:val="single" w:sz="8" w:color="auto"/>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4180" w:type="dxa"/>
            <w:vAlign w:val="bottom"/>
            <w:tcBorders>
              <w:bottom w:val="single" w:sz="8" w:color="auto"/>
              <w:right w:val="single" w:sz="8" w:color="auto"/>
            </w:tcBorders>
          </w:tcPr>
          <w:p>
            <w:pPr>
              <w:spacing w:after="0"/>
              <w:rPr>
                <w:sz w:val="2"/>
                <w:szCs w:val="2"/>
                <w:color w:val="auto"/>
              </w:rPr>
            </w:pPr>
          </w:p>
        </w:tc>
      </w:tr>
    </w:tbl>
    <w:p>
      <w:pPr>
        <w:spacing w:after="0" w:line="94"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ectPr>
          <w:pgSz w:w="11900" w:h="16838" w:orient="portrait"/>
          <w:cols w:equalWidth="0" w:num="1">
            <w:col w:w="11360"/>
          </w:cols>
          <w:pgMar w:left="240" w:top="1125" w:right="299" w:bottom="1440" w:gutter="0" w:footer="0" w:header="0"/>
          <w:type w:val="continuous"/>
        </w:sectPr>
      </w:pPr>
    </w:p>
    <w:bookmarkStart w:id="1" w:name="page2"/>
    <w:bookmarkEnd w:id="1"/>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0"/>
          <w:szCs w:val="20"/>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167640</wp:posOffset>
            </wp:positionV>
            <wp:extent cx="7160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0895" cy="8890"/>
                    </a:xfrm>
                    <a:prstGeom prst="rect">
                      <a:avLst/>
                    </a:prstGeom>
                    <a:noFill/>
                  </pic:spPr>
                </pic:pic>
              </a:graphicData>
            </a:graphic>
          </wp:anchor>
        </w:drawing>
        <w:drawing>
          <wp:anchor simplePos="0" relativeHeight="251657728" behindDoc="1" locked="0" layoutInCell="0" allowOverlap="1">
            <wp:simplePos x="0" y="0"/>
            <wp:positionH relativeFrom="column">
              <wp:posOffset>48260</wp:posOffset>
            </wp:positionH>
            <wp:positionV relativeFrom="paragraph">
              <wp:posOffset>73660</wp:posOffset>
            </wp:positionV>
            <wp:extent cx="7160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0895" cy="8890"/>
                    </a:xfrm>
                    <a:prstGeom prst="rect">
                      <a:avLst/>
                    </a:prstGeom>
                    <a:noFill/>
                  </pic:spPr>
                </pic:pic>
              </a:graphicData>
            </a:graphic>
          </wp:anchor>
        </w:drawing>
      </w:r>
    </w:p>
    <w:p>
      <w:pPr>
        <w:sectPr>
          <w:pgSz w:w="11900" w:h="16838" w:orient="portrait"/>
          <w:cols w:equalWidth="0" w:num="1">
            <w:col w:w="11280"/>
          </w:cols>
          <w:pgMar w:left="240" w:top="552" w:right="379" w:bottom="1440" w:gutter="0" w:footer="0" w:header="0"/>
        </w:sectPr>
      </w:pPr>
    </w:p>
    <w:bookmarkStart w:id="2" w:name="page3"/>
    <w:bookmarkEnd w:id="2"/>
    <w:p>
      <w:pPr>
        <w:spacing w:after="0"/>
        <w:tabs>
          <w:tab w:leader="none" w:pos="9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On October 31, 2019, Lantheus Holdings, Inc. (the “Company”) announced via press release its financial results as of and for the three and nine months ended September 30, 2019. A copy of that press release is being furnished as Exhibit 99.1 and is hereby incorporated by reference.</w:t>
      </w:r>
    </w:p>
    <w:p>
      <w:pPr>
        <w:spacing w:after="0" w:line="147"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85"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20" w:type="dxa"/>
            <w:vAlign w:val="bottom"/>
            <w:gridSpan w:val="2"/>
          </w:tcPr>
          <w:p>
            <w:pPr>
              <w:spacing w:after="0"/>
              <w:rPr>
                <w:sz w:val="20"/>
                <w:szCs w:val="20"/>
                <w:color w:val="auto"/>
              </w:rPr>
            </w:pPr>
            <w:r>
              <w:rPr>
                <w:rFonts w:ascii="Arial" w:cs="Arial" w:eastAsia="Arial" w:hAnsi="Arial"/>
                <w:sz w:val="18"/>
                <w:szCs w:val="18"/>
                <w:color w:val="auto"/>
              </w:rPr>
              <w:t>(d) Exhibits</w:t>
            </w:r>
          </w:p>
        </w:tc>
        <w:tc>
          <w:tcPr>
            <w:tcW w:w="1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7840" w:type="dxa"/>
            <w:vAlign w:val="bottom"/>
          </w:tcPr>
          <w:p>
            <w:pPr>
              <w:spacing w:after="0"/>
              <w:rPr>
                <w:sz w:val="20"/>
                <w:szCs w:val="20"/>
                <w:color w:val="auto"/>
              </w:rPr>
            </w:pPr>
          </w:p>
        </w:tc>
        <w:tc>
          <w:tcPr>
            <w:tcW w:w="320" w:type="dxa"/>
            <w:vAlign w:val="bottom"/>
          </w:tcPr>
          <w:p>
            <w:pPr>
              <w:spacing w:after="0"/>
              <w:rPr>
                <w:sz w:val="20"/>
                <w:szCs w:val="20"/>
                <w:color w:val="auto"/>
              </w:rPr>
            </w:pPr>
          </w:p>
        </w:tc>
      </w:tr>
      <w:tr>
        <w:trPr>
          <w:trHeight w:val="378"/>
        </w:trPr>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Exhibit No.</w:t>
            </w: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160" w:type="dxa"/>
            <w:vAlign w:val="bottom"/>
            <w:gridSpan w:val="2"/>
          </w:tcPr>
          <w:p>
            <w:pPr>
              <w:ind w:left="302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8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96"/>
        </w:trPr>
        <w:tc>
          <w:tcPr>
            <w:tcW w:w="1100" w:type="dxa"/>
            <w:vAlign w:val="bottom"/>
          </w:tcPr>
          <w:p>
            <w:pPr>
              <w:jc w:val="right"/>
              <w:ind w:right="250"/>
              <w:spacing w:after="0" w:line="196" w:lineRule="exact"/>
              <w:rPr>
                <w:sz w:val="20"/>
                <w:szCs w:val="20"/>
                <w:color w:val="auto"/>
              </w:rPr>
            </w:pPr>
            <w:r>
              <w:rPr>
                <w:rFonts w:ascii="Arial" w:cs="Arial" w:eastAsia="Arial" w:hAnsi="Arial"/>
                <w:sz w:val="18"/>
                <w:szCs w:val="18"/>
                <w:color w:val="auto"/>
              </w:rPr>
              <w:t>99.1*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80" w:type="dxa"/>
            <w:vAlign w:val="bottom"/>
            <w:gridSpan w:val="3"/>
          </w:tcPr>
          <w:p>
            <w:pPr>
              <w:spacing w:after="0" w:line="196" w:lineRule="exact"/>
              <w:rPr>
                <w:rFonts w:ascii="Arial" w:cs="Arial" w:eastAsia="Arial" w:hAnsi="Arial"/>
                <w:sz w:val="18"/>
                <w:szCs w:val="18"/>
                <w:color w:val="0000FF"/>
                <w:w w:val="93"/>
              </w:rPr>
            </w:pPr>
            <w:hyperlink w:anchor="page5">
              <w:r>
                <w:rPr>
                  <w:rFonts w:ascii="Arial" w:cs="Arial" w:eastAsia="Arial" w:hAnsi="Arial"/>
                  <w:sz w:val="18"/>
                  <w:szCs w:val="18"/>
                  <w:color w:val="0000FF"/>
                  <w:w w:val="93"/>
                </w:rPr>
                <w:t>Press release of Lantheus Holdings, Inc. dated October 31, 2019, entitled "Lantheus Holdings, Inc. Reports Third Quarter 2019</w:t>
              </w:r>
            </w:hyperlink>
          </w:p>
        </w:tc>
      </w:tr>
      <w:tr>
        <w:trPr>
          <w:trHeight w:val="196"/>
        </w:trPr>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160" w:type="dxa"/>
            <w:vAlign w:val="bottom"/>
            <w:tcBorders>
              <w:top w:val="single" w:sz="8" w:color="0000FF"/>
            </w:tcBorders>
            <w:gridSpan w:val="2"/>
          </w:tcPr>
          <w:p>
            <w:pPr>
              <w:spacing w:after="0" w:line="196" w:lineRule="exact"/>
              <w:rPr>
                <w:rFonts w:ascii="Arial" w:cs="Arial" w:eastAsia="Arial" w:hAnsi="Arial"/>
                <w:sz w:val="18"/>
                <w:szCs w:val="18"/>
                <w:color w:val="0000FF"/>
              </w:rPr>
            </w:pPr>
            <w:hyperlink w:anchor="page5">
              <w:r>
                <w:rPr>
                  <w:rFonts w:ascii="Arial" w:cs="Arial" w:eastAsia="Arial" w:hAnsi="Arial"/>
                  <w:sz w:val="18"/>
                  <w:szCs w:val="18"/>
                  <w:color w:val="0000FF"/>
                </w:rPr>
                <w:t>Financial Results"</w:t>
              </w:r>
            </w:hyperlink>
          </w:p>
        </w:tc>
        <w:tc>
          <w:tcPr>
            <w:tcW w:w="320" w:type="dxa"/>
            <w:vAlign w:val="bottom"/>
          </w:tcPr>
          <w:p>
            <w:pPr>
              <w:spacing w:after="0"/>
              <w:rPr>
                <w:sz w:val="17"/>
                <w:szCs w:val="17"/>
                <w:color w:val="auto"/>
              </w:rPr>
            </w:pPr>
          </w:p>
        </w:tc>
      </w:tr>
      <w:tr>
        <w:trPr>
          <w:trHeight w:val="20"/>
        </w:trPr>
        <w:tc>
          <w:tcPr>
            <w:tcW w:w="1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shd w:val="clear" w:color="auto" w:fill="0000FF"/>
          </w:tcPr>
          <w:p>
            <w:pPr>
              <w:spacing w:after="0" w:line="20" w:lineRule="exact"/>
              <w:rPr>
                <w:sz w:val="1"/>
                <w:szCs w:val="1"/>
                <w:color w:val="auto"/>
              </w:rPr>
            </w:pPr>
          </w:p>
        </w:tc>
        <w:tc>
          <w:tcPr>
            <w:tcW w:w="78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ind w:left="460" w:right="200" w:hanging="438"/>
        <w:spacing w:after="0" w:line="286" w:lineRule="auto"/>
        <w:tabs>
          <w:tab w:leader="none" w:pos="460" w:val="left"/>
        </w:tabs>
        <w:numPr>
          <w:ilvl w:val="0"/>
          <w:numId w:val="2"/>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69" w:lineRule="exact"/>
        <w:rPr>
          <w:sz w:val="20"/>
          <w:szCs w:val="20"/>
          <w:color w:val="auto"/>
        </w:rPr>
      </w:pPr>
    </w:p>
    <w:p>
      <w:pPr>
        <w:ind w:left="6760"/>
        <w:spacing w:after="0"/>
        <w:rPr>
          <w:sz w:val="20"/>
          <w:szCs w:val="20"/>
          <w:color w:val="auto"/>
        </w:rPr>
      </w:pPr>
      <w:r>
        <w:rPr>
          <w:rFonts w:ascii="Arial" w:cs="Arial" w:eastAsia="Arial" w:hAnsi="Arial"/>
          <w:sz w:val="18"/>
          <w:szCs w:val="18"/>
          <w:b w:val="1"/>
          <w:bCs w:val="1"/>
          <w:color w:val="auto"/>
        </w:rPr>
        <w:t>LANTHEUS HOLDINGS, INC.</w:t>
      </w:r>
    </w:p>
    <w:p>
      <w:pPr>
        <w:spacing w:after="0" w:line="337" w:lineRule="exact"/>
        <w:rPr>
          <w:sz w:val="20"/>
          <w:szCs w:val="20"/>
          <w:color w:val="auto"/>
        </w:rPr>
      </w:pPr>
    </w:p>
    <w:tbl>
      <w:tblPr>
        <w:tblLayout w:type="fixed"/>
        <w:tblInd w:w="6760" w:type="dxa"/>
        <w:tblCellMar>
          <w:top w:w="0" w:type="dxa"/>
          <w:left w:w="0" w:type="dxa"/>
          <w:bottom w:w="0" w:type="dxa"/>
          <w:right w:w="0" w:type="dxa"/>
        </w:tblCellMar>
      </w:tblP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By:</w:t>
            </w:r>
          </w:p>
        </w:tc>
        <w:tc>
          <w:tcPr>
            <w:tcW w:w="3880" w:type="dxa"/>
            <w:vAlign w:val="bottom"/>
          </w:tcPr>
          <w:p>
            <w:pPr>
              <w:ind w:left="20"/>
              <w:spacing w:after="0"/>
              <w:rPr>
                <w:sz w:val="20"/>
                <w:szCs w:val="20"/>
                <w:color w:val="auto"/>
              </w:rPr>
            </w:pPr>
            <w:r>
              <w:rPr>
                <w:rFonts w:ascii="Arial" w:cs="Arial" w:eastAsia="Arial" w:hAnsi="Arial"/>
                <w:sz w:val="18"/>
                <w:szCs w:val="18"/>
                <w:color w:val="auto"/>
              </w:rPr>
              <w:t>/s/ Michael P. Duffy</w:t>
            </w:r>
          </w:p>
        </w:tc>
        <w:tc>
          <w:tcPr>
            <w:tcW w:w="0" w:type="dxa"/>
            <w:vAlign w:val="bottom"/>
          </w:tcPr>
          <w:p>
            <w:pPr>
              <w:spacing w:after="0"/>
              <w:rPr>
                <w:sz w:val="1"/>
                <w:szCs w:val="1"/>
                <w:color w:val="auto"/>
              </w:rPr>
            </w:pPr>
          </w:p>
        </w:tc>
      </w:tr>
      <w:tr>
        <w:trPr>
          <w:trHeight w:val="102"/>
        </w:trPr>
        <w:tc>
          <w:tcPr>
            <w:tcW w:w="78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388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3"/>
        </w:trPr>
        <w:tc>
          <w:tcPr>
            <w:tcW w:w="780" w:type="dxa"/>
            <w:vAlign w:val="bottom"/>
            <w:vMerge w:val="continue"/>
          </w:tcPr>
          <w:p>
            <w:pPr>
              <w:spacing w:after="0"/>
              <w:rPr>
                <w:sz w:val="21"/>
                <w:szCs w:val="21"/>
                <w:color w:val="auto"/>
              </w:rPr>
            </w:pPr>
          </w:p>
        </w:tc>
        <w:tc>
          <w:tcPr>
            <w:tcW w:w="3880" w:type="dxa"/>
            <w:vAlign w:val="bottom"/>
          </w:tcPr>
          <w:p>
            <w:pPr>
              <w:ind w:left="20"/>
              <w:spacing w:after="0"/>
              <w:rPr>
                <w:sz w:val="20"/>
                <w:szCs w:val="20"/>
                <w:color w:val="auto"/>
              </w:rPr>
            </w:pPr>
            <w:r>
              <w:rPr>
                <w:rFonts w:ascii="Arial" w:cs="Arial" w:eastAsia="Arial" w:hAnsi="Arial"/>
                <w:sz w:val="18"/>
                <w:szCs w:val="18"/>
                <w:color w:val="auto"/>
              </w:rPr>
              <w:t>Michael P. Duffy</w:t>
            </w: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Title:</w:t>
            </w:r>
          </w:p>
        </w:tc>
        <w:tc>
          <w:tcPr>
            <w:tcW w:w="3880" w:type="dxa"/>
            <w:vAlign w:val="bottom"/>
          </w:tcPr>
          <w:p>
            <w:pPr>
              <w:ind w:left="20"/>
              <w:spacing w:after="0"/>
              <w:rPr>
                <w:sz w:val="20"/>
                <w:szCs w:val="20"/>
                <w:color w:val="auto"/>
              </w:rPr>
            </w:pPr>
            <w:r>
              <w:rPr>
                <w:rFonts w:ascii="Arial" w:cs="Arial" w:eastAsia="Arial" w:hAnsi="Arial"/>
                <w:sz w:val="18"/>
                <w:szCs w:val="18"/>
                <w:color w:val="auto"/>
              </w:rPr>
              <w:t>Senior Vice President and General Counsel</w:t>
            </w:r>
          </w:p>
        </w:tc>
        <w:tc>
          <w:tcPr>
            <w:tcW w:w="0" w:type="dxa"/>
            <w:vAlign w:val="bottom"/>
          </w:tcPr>
          <w:p>
            <w:pPr>
              <w:spacing w:after="0"/>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Date: October 31, 2019</w:t>
      </w:r>
    </w:p>
    <w:p>
      <w:pPr>
        <w:sectPr>
          <w:pgSz w:w="11900" w:h="16838" w:orient="portrait"/>
          <w:cols w:equalWidth="0" w:num="1">
            <w:col w:w="11420"/>
          </w:cols>
          <w:pgMar w:left="240" w:top="580"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391" w:lineRule="exact"/>
        <w:rPr>
          <w:sz w:val="20"/>
          <w:szCs w:val="20"/>
          <w:color w:val="auto"/>
        </w:rPr>
      </w:pPr>
    </w:p>
    <w:p>
      <w:pPr>
        <w:ind w:left="6680"/>
        <w:spacing w:after="0"/>
        <w:tabs>
          <w:tab w:leader="none" w:pos="9120" w:val="left"/>
        </w:tabs>
        <w:rPr>
          <w:sz w:val="20"/>
          <w:szCs w:val="20"/>
          <w:color w:val="auto"/>
        </w:rPr>
      </w:pPr>
      <w:r>
        <w:rPr>
          <w:rFonts w:ascii="Arial" w:cs="Arial" w:eastAsia="Arial" w:hAnsi="Arial"/>
          <w:sz w:val="18"/>
          <w:szCs w:val="18"/>
          <w:color w:val="auto"/>
        </w:rPr>
        <w:t>331 Treble Cove Road</w:t>
      </w:r>
      <w:r>
        <w:rPr>
          <w:sz w:val="20"/>
          <w:szCs w:val="20"/>
          <w:color w:val="auto"/>
        </w:rPr>
        <w:tab/>
      </w:r>
      <w:r>
        <w:rPr>
          <w:rFonts w:ascii="Arial" w:cs="Arial" w:eastAsia="Arial" w:hAnsi="Arial"/>
          <w:sz w:val="16"/>
          <w:szCs w:val="16"/>
          <w:color w:val="auto"/>
        </w:rPr>
        <w:t>800.362.2668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-121920</wp:posOffset>
            </wp:positionV>
            <wp:extent cx="1749425" cy="4889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49425" cy="488950"/>
                    </a:xfrm>
                    <a:prstGeom prst="rect">
                      <a:avLst/>
                    </a:prstGeom>
                    <a:noFill/>
                  </pic:spPr>
                </pic:pic>
              </a:graphicData>
            </a:graphic>
          </wp:anchor>
        </w:drawing>
      </w:r>
    </w:p>
    <w:p>
      <w:pPr>
        <w:spacing w:after="0" w:line="3" w:lineRule="exact"/>
        <w:rPr>
          <w:sz w:val="20"/>
          <w:szCs w:val="20"/>
          <w:color w:val="auto"/>
        </w:rPr>
      </w:pPr>
    </w:p>
    <w:p>
      <w:pPr>
        <w:ind w:left="6680"/>
        <w:spacing w:after="0"/>
        <w:tabs>
          <w:tab w:leader="none" w:pos="9120" w:val="left"/>
        </w:tabs>
        <w:rPr>
          <w:sz w:val="20"/>
          <w:szCs w:val="20"/>
          <w:color w:val="auto"/>
        </w:rPr>
      </w:pPr>
      <w:r>
        <w:rPr>
          <w:rFonts w:ascii="Arial" w:cs="Arial" w:eastAsia="Arial" w:hAnsi="Arial"/>
          <w:sz w:val="18"/>
          <w:szCs w:val="18"/>
          <w:color w:val="auto"/>
        </w:rPr>
        <w:t>North Billerica, MA 01862</w:t>
      </w:r>
      <w:r>
        <w:rPr>
          <w:sz w:val="20"/>
          <w:szCs w:val="20"/>
          <w:color w:val="auto"/>
        </w:rPr>
        <w:tab/>
      </w:r>
      <w:r>
        <w:rPr>
          <w:rFonts w:ascii="Arial" w:cs="Arial" w:eastAsia="Arial" w:hAnsi="Arial"/>
          <w:sz w:val="16"/>
          <w:szCs w:val="16"/>
          <w:color w:val="auto"/>
        </w:rPr>
        <w:t>www.lantheus.com</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Holdings, Inc. Reports Third Quarter 2019 Financial Results</w:t>
      </w:r>
    </w:p>
    <w:p>
      <w:pPr>
        <w:spacing w:after="0" w:line="225" w:lineRule="exact"/>
        <w:rPr>
          <w:sz w:val="20"/>
          <w:szCs w:val="20"/>
          <w:color w:val="auto"/>
        </w:rPr>
      </w:pPr>
    </w:p>
    <w:p>
      <w:pPr>
        <w:ind w:left="400" w:right="500" w:hanging="257"/>
        <w:spacing w:after="0" w:line="282" w:lineRule="auto"/>
        <w:tabs>
          <w:tab w:leader="none" w:pos="4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Worldwide revenue of $85.8 million for the third quarter 2019, representing a decrease of 3.5% from the prior year period ($88.9 million, which includes $7.5 million of opportunistic TechneLite® sales to ANSTO)</w:t>
      </w:r>
    </w:p>
    <w:p>
      <w:pPr>
        <w:spacing w:after="0" w:line="161" w:lineRule="exact"/>
        <w:rPr>
          <w:rFonts w:ascii="Arial" w:cs="Arial" w:eastAsia="Arial" w:hAnsi="Arial"/>
          <w:sz w:val="18"/>
          <w:szCs w:val="18"/>
          <w:color w:val="auto"/>
        </w:rPr>
      </w:pPr>
    </w:p>
    <w:p>
      <w:pPr>
        <w:ind w:left="400" w:hanging="257"/>
        <w:spacing w:after="0"/>
        <w:tabs>
          <w:tab w:leader="none" w:pos="4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Net income of $4.9 million for the third quarter 2019, representing a decrease of 47.6% from the prior year period</w:t>
      </w:r>
    </w:p>
    <w:p>
      <w:pPr>
        <w:spacing w:after="0" w:line="225" w:lineRule="exact"/>
        <w:rPr>
          <w:rFonts w:ascii="Arial" w:cs="Arial" w:eastAsia="Arial" w:hAnsi="Arial"/>
          <w:sz w:val="18"/>
          <w:szCs w:val="18"/>
          <w:b w:val="1"/>
          <w:bCs w:val="1"/>
          <w:color w:val="auto"/>
        </w:rPr>
      </w:pPr>
    </w:p>
    <w:p>
      <w:pPr>
        <w:ind w:left="400" w:right="240" w:hanging="257"/>
        <w:spacing w:after="0" w:line="282" w:lineRule="auto"/>
        <w:tabs>
          <w:tab w:leader="none" w:pos="4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GAAP diluted EPS of $0.12 for the third quarter 2019, representing a decrease of 48.8% from the prior year period; adjusted diluted EPS of $0.28 for the third quarter 2019, representing a decrease of 4.5% from the prior year period</w:t>
      </w:r>
    </w:p>
    <w:p>
      <w:pPr>
        <w:spacing w:after="0" w:line="161" w:lineRule="exact"/>
        <w:rPr>
          <w:rFonts w:ascii="Arial" w:cs="Arial" w:eastAsia="Arial" w:hAnsi="Arial"/>
          <w:sz w:val="18"/>
          <w:szCs w:val="18"/>
          <w:color w:val="auto"/>
        </w:rPr>
      </w:pPr>
    </w:p>
    <w:p>
      <w:pPr>
        <w:ind w:left="400" w:hanging="257"/>
        <w:spacing w:after="0"/>
        <w:tabs>
          <w:tab w:leader="none" w:pos="4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The Company updates 2019 full year revenue and adjusted diluted earnings per share guidance</w:t>
      </w:r>
    </w:p>
    <w:p>
      <w:pPr>
        <w:spacing w:after="0" w:line="229"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 xml:space="preserve">NORTH BILLERICA, Mass., October 31, 2019 - </w:t>
      </w:r>
      <w:r>
        <w:rPr>
          <w:rFonts w:ascii="Arial" w:cs="Arial" w:eastAsia="Arial" w:hAnsi="Arial"/>
          <w:sz w:val="18"/>
          <w:szCs w:val="18"/>
          <w:u w:val="single" w:color="auto"/>
          <w:color w:val="0563C1"/>
        </w:rPr>
        <w:t>Lantheus Holdings, Inc.</w:t>
      </w:r>
      <w:r>
        <w:rPr>
          <w:rFonts w:ascii="Arial" w:cs="Arial" w:eastAsia="Arial" w:hAnsi="Arial"/>
          <w:sz w:val="18"/>
          <w:szCs w:val="18"/>
          <w:color w:val="auto"/>
        </w:rPr>
        <w:t xml:space="preserve"> (the “Company”) (NASDAQ: LNTH), parent company of </w:t>
      </w:r>
      <w:r>
        <w:rPr>
          <w:rFonts w:ascii="Arial" w:cs="Arial" w:eastAsia="Arial" w:hAnsi="Arial"/>
          <w:sz w:val="18"/>
          <w:szCs w:val="18"/>
          <w:u w:val="single" w:color="auto"/>
          <w:color w:val="0563C1"/>
        </w:rPr>
        <w:t>Lantheus Medical</w:t>
      </w:r>
      <w:r>
        <w:rPr>
          <w:rFonts w:ascii="Arial" w:cs="Arial" w:eastAsia="Arial" w:hAnsi="Arial"/>
          <w:sz w:val="18"/>
          <w:szCs w:val="18"/>
          <w:color w:val="auto"/>
        </w:rPr>
        <w:t xml:space="preserve"> </w:t>
      </w:r>
      <w:r>
        <w:rPr>
          <w:rFonts w:ascii="Arial" w:cs="Arial" w:eastAsia="Arial" w:hAnsi="Arial"/>
          <w:sz w:val="18"/>
          <w:szCs w:val="18"/>
          <w:u w:val="single" w:color="auto"/>
          <w:color w:val="0563C1"/>
        </w:rPr>
        <w:t>Imaging, Inc.</w:t>
      </w:r>
      <w:r>
        <w:rPr>
          <w:rFonts w:ascii="Arial" w:cs="Arial" w:eastAsia="Arial" w:hAnsi="Arial"/>
          <w:sz w:val="18"/>
          <w:szCs w:val="18"/>
          <w:color w:val="0563C1"/>
        </w:rPr>
        <w:t xml:space="preserve"> </w:t>
      </w:r>
      <w:r>
        <w:rPr>
          <w:rFonts w:ascii="Arial" w:cs="Arial" w:eastAsia="Arial" w:hAnsi="Arial"/>
          <w:sz w:val="18"/>
          <w:szCs w:val="18"/>
          <w:color w:val="000000"/>
        </w:rPr>
        <w:t>(“LMI”), a global leader in the development, manufacture and commercialization of innovative diagnostic imaging agents and products, today</w:t>
      </w:r>
      <w:r>
        <w:rPr>
          <w:rFonts w:ascii="Arial" w:cs="Arial" w:eastAsia="Arial" w:hAnsi="Arial"/>
          <w:sz w:val="18"/>
          <w:szCs w:val="18"/>
          <w:color w:val="0563C1"/>
        </w:rPr>
        <w:t xml:space="preserve"> </w:t>
      </w:r>
      <w:r>
        <w:rPr>
          <w:rFonts w:ascii="Arial" w:cs="Arial" w:eastAsia="Arial" w:hAnsi="Arial"/>
          <w:sz w:val="18"/>
          <w:szCs w:val="18"/>
          <w:color w:val="000000"/>
        </w:rPr>
        <w:t>reported financial results for its third quarter ended September 30, 2019.</w:t>
      </w:r>
    </w:p>
    <w:p>
      <w:pPr>
        <w:spacing w:after="0" w:line="181" w:lineRule="exact"/>
        <w:rPr>
          <w:sz w:val="20"/>
          <w:szCs w:val="20"/>
          <w:color w:val="auto"/>
        </w:rPr>
      </w:pPr>
    </w:p>
    <w:p>
      <w:pPr>
        <w:spacing w:after="0" w:line="279" w:lineRule="auto"/>
        <w:rPr>
          <w:sz w:val="20"/>
          <w:szCs w:val="20"/>
          <w:color w:val="auto"/>
        </w:rPr>
      </w:pPr>
      <w:r>
        <w:rPr>
          <w:rFonts w:ascii="Arial" w:cs="Arial" w:eastAsia="Arial" w:hAnsi="Arial"/>
          <w:sz w:val="16"/>
          <w:szCs w:val="16"/>
          <w:color w:val="auto"/>
        </w:rPr>
        <w:t>The Company’s worldwide revenue for the third quarter of 2019 totaled $85.8 million, compared with $88.9 million for the third quarter of 2018, representing a decrease of 3.5% over the prior year period, which included $7.5 million received from the manufacture and sale of TechneLite</w:t>
      </w:r>
      <w:r>
        <w:rPr>
          <w:rFonts w:ascii="Arial" w:cs="Arial" w:eastAsia="Arial" w:hAnsi="Arial"/>
          <w:sz w:val="22"/>
          <w:szCs w:val="22"/>
          <w:color w:val="auto"/>
          <w:vertAlign w:val="superscript"/>
        </w:rPr>
        <w:t>®</w:t>
      </w:r>
      <w:r>
        <w:rPr>
          <w:rFonts w:ascii="Arial" w:cs="Arial" w:eastAsia="Arial" w:hAnsi="Arial"/>
          <w:sz w:val="16"/>
          <w:szCs w:val="16"/>
          <w:color w:val="auto"/>
        </w:rPr>
        <w:t xml:space="preserve"> to an international partner on an opportunistic basis. Revenue results reflect nearly 20% year-over-year growth of DEFINITY</w:t>
      </w:r>
      <w:r>
        <w:rPr>
          <w:rFonts w:ascii="Arial" w:cs="Arial" w:eastAsia="Arial" w:hAnsi="Arial"/>
          <w:sz w:val="22"/>
          <w:szCs w:val="22"/>
          <w:color w:val="auto"/>
          <w:vertAlign w:val="superscript"/>
        </w:rPr>
        <w:t>®</w:t>
      </w:r>
      <w:r>
        <w:rPr>
          <w:rFonts w:ascii="Arial" w:cs="Arial" w:eastAsia="Arial" w:hAnsi="Arial"/>
          <w:sz w:val="16"/>
          <w:szCs w:val="16"/>
          <w:color w:val="auto"/>
        </w:rPr>
        <w:t xml:space="preserve"> and higher than expected TechneLite sales.</w:t>
      </w:r>
    </w:p>
    <w:p>
      <w:pPr>
        <w:spacing w:after="0" w:line="62"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The Company’s third quarter 2019 net income was $4.9 million, or $0.12 per fully diluted share, as compared to $9.3 million, or $0.24 per fully diluted share for the third quarter of 2018, representing a decrease of 47.6% from the prior year period. The reduction from prior year, for both net income and fully diluted earnings per share results, is due mainly to the aforementioned opportunistic $7.5 million of sales of TechneLite not repeated this year.</w:t>
      </w:r>
    </w:p>
    <w:p>
      <w:pPr>
        <w:spacing w:after="0" w:line="166"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Company’s third quarter 2019 adjusted fully diluted earnings per share were $0.28, as compared to $0.29 for the third quarter of 2018, representing a decrease of 4.5% from the prior year period.</w:t>
      </w:r>
    </w:p>
    <w:p>
      <w:pPr>
        <w:spacing w:after="0" w:line="170"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Lastly, Free Cash Flow was $23.1 million, as compared to $19.3 million for the third quarter of 2018, representing an increase of approximately $3.8 million, or 19.9% from the prior year period.</w:t>
      </w:r>
    </w:p>
    <w:p>
      <w:pPr>
        <w:spacing w:after="0" w:line="170"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“Once again, an impressive DEFINITY performance of nearly 20% year-over-year growth drove solid third quarter results. Additionally, TechneLite sales performed ahead of expectations realized by leveraging our expertise in radiopharmaceuticals,” said Mary Anne Heino, President and CEO of Lantheus. “Earlier this month, we announced the signing of an agreement to acquire Progenics Pharmaceuticals. The combination will form a leading precision diagnostics and oncology therapeutics company, bringing a diversified and sustainable revenue model, accretion in year three, and enhanced free cash flows over longer term.”</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offers the following guidance for the fourth quarter as well as updating its guidance for full year 2019.</w:t>
      </w:r>
    </w:p>
    <w:p>
      <w:pPr>
        <w:spacing w:after="0" w:line="383" w:lineRule="exact"/>
        <w:rPr>
          <w:sz w:val="20"/>
          <w:szCs w:val="20"/>
          <w:color w:val="auto"/>
        </w:rPr>
      </w:pPr>
    </w:p>
    <w:p>
      <w:pPr>
        <w:ind w:left="6160"/>
        <w:spacing w:after="0"/>
        <w:rPr>
          <w:sz w:val="20"/>
          <w:szCs w:val="20"/>
          <w:color w:val="auto"/>
        </w:rPr>
      </w:pPr>
      <w:r>
        <w:rPr>
          <w:rFonts w:ascii="Arial" w:cs="Arial" w:eastAsia="Arial" w:hAnsi="Arial"/>
          <w:sz w:val="18"/>
          <w:szCs w:val="18"/>
          <w:b w:val="1"/>
          <w:bCs w:val="1"/>
          <w:color w:val="auto"/>
        </w:rPr>
        <w:t>Q4 Guidance Issued October 31, 2019</w:t>
      </w:r>
    </w:p>
    <w:p>
      <w:pPr>
        <w:spacing w:after="0" w:line="34" w:lineRule="exact"/>
        <w:rPr>
          <w:sz w:val="20"/>
          <w:szCs w:val="20"/>
          <w:color w:val="auto"/>
        </w:rPr>
      </w:pPr>
    </w:p>
    <w:tbl>
      <w:tblPr>
        <w:tblLayout w:type="fixed"/>
        <w:tblInd w:w="2000" w:type="dxa"/>
        <w:tblCellMar>
          <w:top w:w="0" w:type="dxa"/>
          <w:left w:w="0" w:type="dxa"/>
          <w:bottom w:w="0" w:type="dxa"/>
          <w:right w:w="0" w:type="dxa"/>
        </w:tblCellMar>
      </w:tblPr>
      <w:tr>
        <w:trPr>
          <w:trHeight w:val="264"/>
        </w:trPr>
        <w:tc>
          <w:tcPr>
            <w:tcW w:w="3580" w:type="dxa"/>
            <w:vAlign w:val="bottom"/>
            <w:tcBorders>
              <w:top w:val="single" w:sz="8" w:color="auto"/>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Q4 FY 2019 Revenue Growth</w:t>
            </w:r>
          </w:p>
        </w:tc>
        <w:tc>
          <w:tcPr>
            <w:tcW w:w="220" w:type="dxa"/>
            <w:vAlign w:val="bottom"/>
            <w:tcBorders>
              <w:top w:val="single" w:sz="8" w:color="CCEEFF"/>
              <w:bottom w:val="single" w:sz="8" w:color="CCEEFF"/>
            </w:tcBorders>
            <w:shd w:val="clear" w:color="auto" w:fill="CCEEFF"/>
          </w:tcPr>
          <w:p>
            <w:pPr>
              <w:spacing w:after="0"/>
              <w:rPr>
                <w:sz w:val="22"/>
                <w:szCs w:val="22"/>
                <w:color w:val="auto"/>
              </w:rPr>
            </w:pPr>
          </w:p>
        </w:tc>
        <w:tc>
          <w:tcPr>
            <w:tcW w:w="17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8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- 5.5%</w:t>
            </w:r>
          </w:p>
        </w:tc>
      </w:tr>
      <w:tr>
        <w:trPr>
          <w:trHeight w:val="243"/>
        </w:trPr>
        <w:tc>
          <w:tcPr>
            <w:tcW w:w="260" w:type="dxa"/>
            <w:vAlign w:val="bottom"/>
          </w:tcPr>
          <w:p>
            <w:pPr>
              <w:ind w:left="20"/>
              <w:spacing w:after="0"/>
              <w:rPr>
                <w:sz w:val="20"/>
                <w:szCs w:val="20"/>
                <w:color w:val="auto"/>
              </w:rPr>
            </w:pPr>
            <w:r>
              <w:rPr>
                <w:rFonts w:ascii="Arial" w:cs="Arial" w:eastAsia="Arial" w:hAnsi="Arial"/>
                <w:sz w:val="18"/>
                <w:szCs w:val="18"/>
                <w:color w:val="auto"/>
                <w:w w:val="91"/>
              </w:rPr>
              <w:t>Q4</w:t>
            </w:r>
          </w:p>
        </w:tc>
        <w:tc>
          <w:tcPr>
            <w:tcW w:w="680" w:type="dxa"/>
            <w:vAlign w:val="bottom"/>
            <w:gridSpan w:val="2"/>
          </w:tcPr>
          <w:p>
            <w:pPr>
              <w:ind w:left="20"/>
              <w:spacing w:after="0"/>
              <w:rPr>
                <w:sz w:val="20"/>
                <w:szCs w:val="20"/>
                <w:color w:val="auto"/>
              </w:rPr>
            </w:pPr>
            <w:r>
              <w:rPr>
                <w:rFonts w:ascii="Arial" w:cs="Arial" w:eastAsia="Arial" w:hAnsi="Arial"/>
                <w:sz w:val="18"/>
                <w:szCs w:val="18"/>
                <w:color w:val="auto"/>
                <w:w w:val="93"/>
              </w:rPr>
              <w:t>FY 2019</w:t>
            </w:r>
          </w:p>
        </w:tc>
        <w:tc>
          <w:tcPr>
            <w:tcW w:w="2860" w:type="dxa"/>
            <w:vAlign w:val="bottom"/>
            <w:gridSpan w:val="2"/>
          </w:tcPr>
          <w:p>
            <w:pPr>
              <w:ind w:left="20"/>
              <w:spacing w:after="0"/>
              <w:rPr>
                <w:sz w:val="20"/>
                <w:szCs w:val="20"/>
                <w:color w:val="auto"/>
              </w:rPr>
            </w:pPr>
            <w:r>
              <w:rPr>
                <w:rFonts w:ascii="Arial" w:cs="Arial" w:eastAsia="Arial" w:hAnsi="Arial"/>
                <w:sz w:val="18"/>
                <w:szCs w:val="18"/>
                <w:color w:val="auto"/>
              </w:rPr>
              <w:t>Revenue</w:t>
            </w:r>
          </w:p>
        </w:tc>
        <w:tc>
          <w:tcPr>
            <w:tcW w:w="1760" w:type="dxa"/>
            <w:vAlign w:val="bottom"/>
          </w:tcPr>
          <w:p>
            <w:pPr>
              <w:jc w:val="right"/>
              <w:spacing w:after="0"/>
              <w:rPr>
                <w:sz w:val="20"/>
                <w:szCs w:val="20"/>
                <w:color w:val="auto"/>
              </w:rPr>
            </w:pPr>
            <w:r>
              <w:rPr>
                <w:rFonts w:ascii="Arial" w:cs="Arial" w:eastAsia="Arial" w:hAnsi="Arial"/>
                <w:sz w:val="18"/>
                <w:szCs w:val="18"/>
                <w:color w:val="auto"/>
              </w:rPr>
              <w:t>$89 million</w:t>
            </w:r>
          </w:p>
        </w:tc>
        <w:tc>
          <w:tcPr>
            <w:tcW w:w="1880" w:type="dxa"/>
            <w:vAlign w:val="bottom"/>
          </w:tcPr>
          <w:p>
            <w:pPr>
              <w:ind w:left="20"/>
              <w:spacing w:after="0"/>
              <w:rPr>
                <w:sz w:val="20"/>
                <w:szCs w:val="20"/>
                <w:color w:val="auto"/>
              </w:rPr>
            </w:pPr>
            <w:r>
              <w:rPr>
                <w:rFonts w:ascii="Arial" w:cs="Arial" w:eastAsia="Arial" w:hAnsi="Arial"/>
                <w:sz w:val="18"/>
                <w:szCs w:val="18"/>
                <w:color w:val="auto"/>
              </w:rPr>
              <w:t>- $91 million</w:t>
            </w:r>
          </w:p>
        </w:tc>
      </w:tr>
      <w:tr>
        <w:trPr>
          <w:trHeight w:val="27"/>
        </w:trPr>
        <w:tc>
          <w:tcPr>
            <w:tcW w:w="26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880" w:type="dxa"/>
            <w:vAlign w:val="bottom"/>
          </w:tcPr>
          <w:p>
            <w:pPr>
              <w:spacing w:after="0"/>
              <w:rPr>
                <w:sz w:val="2"/>
                <w:szCs w:val="2"/>
                <w:color w:val="auto"/>
              </w:rPr>
            </w:pPr>
          </w:p>
        </w:tc>
      </w:tr>
      <w:tr>
        <w:trPr>
          <w:trHeight w:val="250"/>
        </w:trPr>
        <w:tc>
          <w:tcPr>
            <w:tcW w:w="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Q4</w:t>
            </w:r>
          </w:p>
        </w:tc>
        <w:tc>
          <w:tcPr>
            <w:tcW w:w="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w w:val="93"/>
              </w:rPr>
              <w:t>FY 2019</w:t>
            </w:r>
          </w:p>
        </w:tc>
        <w:tc>
          <w:tcPr>
            <w:tcW w:w="28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Adjusted Fully Diluted EPS</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$0.27</w:t>
            </w:r>
          </w:p>
        </w:tc>
        <w:tc>
          <w:tcPr>
            <w:tcW w:w="1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$0.30</w:t>
            </w:r>
          </w:p>
        </w:tc>
      </w:tr>
      <w:tr>
        <w:trPr>
          <w:trHeight w:val="243"/>
        </w:trPr>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6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640" w:type="dxa"/>
            <w:vAlign w:val="bottom"/>
            <w:gridSpan w:val="2"/>
          </w:tcPr>
          <w:p>
            <w:pPr>
              <w:ind w:left="280"/>
              <w:spacing w:after="0"/>
              <w:rPr>
                <w:sz w:val="20"/>
                <w:szCs w:val="20"/>
                <w:color w:val="auto"/>
              </w:rPr>
            </w:pPr>
            <w:r>
              <w:rPr>
                <w:rFonts w:ascii="Arial" w:cs="Arial" w:eastAsia="Arial" w:hAnsi="Arial"/>
                <w:sz w:val="18"/>
                <w:szCs w:val="18"/>
                <w:b w:val="1"/>
                <w:bCs w:val="1"/>
                <w:color w:val="auto"/>
                <w:w w:val="99"/>
              </w:rPr>
              <w:t>FY Guidance Updated October 31, 2019</w:t>
            </w:r>
          </w:p>
        </w:tc>
      </w:tr>
      <w:tr>
        <w:trPr>
          <w:trHeight w:val="27"/>
        </w:trPr>
        <w:tc>
          <w:tcPr>
            <w:tcW w:w="3580" w:type="dxa"/>
            <w:vAlign w:val="bottom"/>
            <w:gridSpan w:val="4"/>
          </w:tcPr>
          <w:p>
            <w:pPr>
              <w:spacing w:after="0"/>
              <w:rPr>
                <w:sz w:val="2"/>
                <w:szCs w:val="2"/>
                <w:color w:val="auto"/>
              </w:rPr>
            </w:pPr>
          </w:p>
        </w:tc>
        <w:tc>
          <w:tcPr>
            <w:tcW w:w="2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880" w:type="dxa"/>
            <w:vAlign w:val="bottom"/>
          </w:tcPr>
          <w:p>
            <w:pPr>
              <w:spacing w:after="0"/>
              <w:rPr>
                <w:sz w:val="2"/>
                <w:szCs w:val="2"/>
                <w:color w:val="auto"/>
              </w:rPr>
            </w:pPr>
          </w:p>
        </w:tc>
      </w:tr>
      <w:tr>
        <w:trPr>
          <w:trHeight w:val="250"/>
        </w:trPr>
        <w:tc>
          <w:tcPr>
            <w:tcW w:w="3800" w:type="dxa"/>
            <w:vAlign w:val="bottom"/>
            <w:tcBorders>
              <w:bottom w:val="single" w:sz="8" w:color="CCEEFF"/>
            </w:tcBorders>
            <w:gridSpan w:val="5"/>
            <w:shd w:val="clear" w:color="auto" w:fill="CCEEFF"/>
          </w:tcPr>
          <w:p>
            <w:pPr>
              <w:ind w:left="20"/>
              <w:spacing w:after="0"/>
              <w:rPr>
                <w:sz w:val="20"/>
                <w:szCs w:val="20"/>
                <w:color w:val="auto"/>
              </w:rPr>
            </w:pPr>
            <w:r>
              <w:rPr>
                <w:rFonts w:ascii="Arial" w:cs="Arial" w:eastAsia="Arial" w:hAnsi="Arial"/>
                <w:sz w:val="18"/>
                <w:szCs w:val="18"/>
                <w:color w:val="auto"/>
              </w:rPr>
              <w:t>FY 2019 Revenue Growth</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- 1.6%</w:t>
            </w:r>
          </w:p>
        </w:tc>
      </w:tr>
      <w:tr>
        <w:trPr>
          <w:trHeight w:val="243"/>
        </w:trPr>
        <w:tc>
          <w:tcPr>
            <w:tcW w:w="680" w:type="dxa"/>
            <w:vAlign w:val="bottom"/>
            <w:gridSpan w:val="2"/>
          </w:tcPr>
          <w:p>
            <w:pPr>
              <w:ind w:left="20"/>
              <w:spacing w:after="0"/>
              <w:rPr>
                <w:sz w:val="20"/>
                <w:szCs w:val="20"/>
                <w:color w:val="auto"/>
              </w:rPr>
            </w:pPr>
            <w:r>
              <w:rPr>
                <w:rFonts w:ascii="Arial" w:cs="Arial" w:eastAsia="Arial" w:hAnsi="Arial"/>
                <w:sz w:val="18"/>
                <w:szCs w:val="18"/>
                <w:color w:val="auto"/>
                <w:w w:val="93"/>
              </w:rPr>
              <w:t>FY 2019</w:t>
            </w:r>
          </w:p>
        </w:tc>
        <w:tc>
          <w:tcPr>
            <w:tcW w:w="3120" w:type="dxa"/>
            <w:vAlign w:val="bottom"/>
            <w:gridSpan w:val="3"/>
          </w:tcPr>
          <w:p>
            <w:pPr>
              <w:ind w:left="20"/>
              <w:spacing w:after="0"/>
              <w:rPr>
                <w:sz w:val="20"/>
                <w:szCs w:val="20"/>
                <w:color w:val="auto"/>
              </w:rPr>
            </w:pPr>
            <w:r>
              <w:rPr>
                <w:rFonts w:ascii="Arial" w:cs="Arial" w:eastAsia="Arial" w:hAnsi="Arial"/>
                <w:sz w:val="18"/>
                <w:szCs w:val="18"/>
                <w:color w:val="auto"/>
              </w:rPr>
              <w:t>Revenue</w:t>
            </w:r>
          </w:p>
        </w:tc>
        <w:tc>
          <w:tcPr>
            <w:tcW w:w="1760" w:type="dxa"/>
            <w:vAlign w:val="bottom"/>
          </w:tcPr>
          <w:p>
            <w:pPr>
              <w:jc w:val="right"/>
              <w:spacing w:after="0"/>
              <w:rPr>
                <w:sz w:val="20"/>
                <w:szCs w:val="20"/>
                <w:color w:val="auto"/>
              </w:rPr>
            </w:pPr>
            <w:r>
              <w:rPr>
                <w:rFonts w:ascii="Arial" w:cs="Arial" w:eastAsia="Arial" w:hAnsi="Arial"/>
                <w:sz w:val="18"/>
                <w:szCs w:val="18"/>
                <w:color w:val="auto"/>
              </w:rPr>
              <w:t>$347 million</w:t>
            </w:r>
          </w:p>
        </w:tc>
        <w:tc>
          <w:tcPr>
            <w:tcW w:w="1880" w:type="dxa"/>
            <w:vAlign w:val="bottom"/>
          </w:tcPr>
          <w:p>
            <w:pPr>
              <w:ind w:left="20"/>
              <w:spacing w:after="0"/>
              <w:rPr>
                <w:sz w:val="20"/>
                <w:szCs w:val="20"/>
                <w:color w:val="auto"/>
              </w:rPr>
            </w:pPr>
            <w:r>
              <w:rPr>
                <w:rFonts w:ascii="Arial" w:cs="Arial" w:eastAsia="Arial" w:hAnsi="Arial"/>
                <w:sz w:val="18"/>
                <w:szCs w:val="18"/>
                <w:color w:val="auto"/>
              </w:rPr>
              <w:t>- $349 million</w:t>
            </w:r>
          </w:p>
        </w:tc>
      </w:tr>
      <w:tr>
        <w:trPr>
          <w:trHeight w:val="27"/>
        </w:trPr>
        <w:tc>
          <w:tcPr>
            <w:tcW w:w="680" w:type="dxa"/>
            <w:vAlign w:val="bottom"/>
            <w:gridSpan w:val="2"/>
          </w:tcPr>
          <w:p>
            <w:pPr>
              <w:spacing w:after="0"/>
              <w:rPr>
                <w:sz w:val="2"/>
                <w:szCs w:val="2"/>
                <w:color w:val="auto"/>
              </w:rPr>
            </w:pPr>
          </w:p>
        </w:tc>
        <w:tc>
          <w:tcPr>
            <w:tcW w:w="29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880" w:type="dxa"/>
            <w:vAlign w:val="bottom"/>
          </w:tcPr>
          <w:p>
            <w:pPr>
              <w:spacing w:after="0"/>
              <w:rPr>
                <w:sz w:val="2"/>
                <w:szCs w:val="2"/>
                <w:color w:val="auto"/>
              </w:rPr>
            </w:pPr>
          </w:p>
        </w:tc>
      </w:tr>
      <w:tr>
        <w:trPr>
          <w:trHeight w:val="243"/>
        </w:trPr>
        <w:tc>
          <w:tcPr>
            <w:tcW w:w="6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3"/>
              </w:rPr>
              <w:t>FY 2019</w:t>
            </w:r>
          </w:p>
        </w:tc>
        <w:tc>
          <w:tcPr>
            <w:tcW w:w="312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Adjusted Fully Diluted EPS</w:t>
            </w: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 $1.13</w:t>
            </w:r>
          </w:p>
        </w:tc>
      </w:tr>
      <w:tr>
        <w:trPr>
          <w:trHeight w:val="27"/>
        </w:trPr>
        <w:tc>
          <w:tcPr>
            <w:tcW w:w="260" w:type="dxa"/>
            <w:vAlign w:val="bottom"/>
            <w:shd w:val="clear" w:color="auto" w:fill="CCEEFF"/>
          </w:tcPr>
          <w:p>
            <w:pPr>
              <w:spacing w:after="0"/>
              <w:rPr>
                <w:sz w:val="2"/>
                <w:szCs w:val="2"/>
                <w:color w:val="auto"/>
              </w:rPr>
            </w:pPr>
          </w:p>
        </w:tc>
        <w:tc>
          <w:tcPr>
            <w:tcW w:w="4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26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18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1013"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Page 1 of 9</w:t>
      </w:r>
    </w:p>
    <w:p>
      <w:pPr>
        <w:sectPr>
          <w:pgSz w:w="11900" w:h="16838" w:orient="portrait"/>
          <w:cols w:equalWidth="0" w:num="1">
            <w:col w:w="11420"/>
          </w:cols>
          <w:pgMar w:left="240" w:top="1013" w:right="239" w:bottom="1440" w:gutter="0" w:footer="0" w:header="0"/>
          <w:type w:val="continuous"/>
        </w:sectPr>
      </w:pPr>
    </w:p>
    <w:bookmarkStart w:id="5" w:name="page6"/>
    <w:bookmarkEnd w:id="5"/>
    <w:p>
      <w:pPr>
        <w:ind w:right="560"/>
        <w:spacing w:after="0" w:line="277" w:lineRule="auto"/>
        <w:rPr>
          <w:sz w:val="20"/>
          <w:szCs w:val="20"/>
          <w:color w:val="auto"/>
        </w:rPr>
      </w:pPr>
      <w:r>
        <w:rPr>
          <w:rFonts w:ascii="Arial" w:cs="Arial" w:eastAsia="Arial" w:hAnsi="Arial"/>
          <w:sz w:val="18"/>
          <w:szCs w:val="18"/>
          <w:color w:val="auto"/>
        </w:rPr>
        <w:t>Previously stated guidance for full year 2019 was revenue growth of 0.8% to 1.9%, revenue of $346 million to $350 million, and adjusted fully diluted earnings per share of $1.09 to $1.12.</w:t>
      </w:r>
    </w:p>
    <w:p>
      <w:pPr>
        <w:spacing w:after="0" w:line="170" w:lineRule="exact"/>
        <w:rPr>
          <w:sz w:val="20"/>
          <w:szCs w:val="20"/>
          <w:color w:val="auto"/>
        </w:rPr>
      </w:pPr>
    </w:p>
    <w:p>
      <w:pPr>
        <w:ind w:right="260"/>
        <w:spacing w:after="0" w:line="257" w:lineRule="auto"/>
        <w:rPr>
          <w:sz w:val="20"/>
          <w:szCs w:val="20"/>
          <w:color w:val="auto"/>
        </w:rPr>
      </w:pPr>
      <w:r>
        <w:rPr>
          <w:rFonts w:ascii="Arial" w:cs="Arial" w:eastAsia="Arial" w:hAnsi="Arial"/>
          <w:sz w:val="18"/>
          <w:szCs w:val="18"/>
          <w:color w:val="auto"/>
        </w:rPr>
        <w:t>On a forward-looking basis, the Company does not provide GAAP income per common share or a reconciliation of adjusted diluted EPS to GAAP income per common share because the Company is unable to predict with reasonable certainty business development and acquisition-related expenses, purchase accounting fair value adjustments, and any one-time, non-recurring charges. These items are uncertain, depend on various factors, and could be material to results computed in accordance with GAAP. As a result, it is the Company’s view that a quantitative reconciliation of adjusted diluted EPS on a forward-looking basis is not available without unreasonable effort.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Internet Posting of Information</w:t>
      </w:r>
    </w:p>
    <w:p>
      <w:pPr>
        <w:spacing w:after="0" w:line="229"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The Company routinely posts information that may be important to investors in the “Investors” section of its website at www.lantheus.com. The Company encourages investors and potential investors to consult its website regularly for important information about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Webcast</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As previously announced, the Company will host a conference call on Thursday, October 31, 2019 at 8:00 a.m. ET. To access the live conference call via telephone, please dial 1-866-498-8390 (U.S. callers) or 1-678-509-7599 (international callers) and provide passcode 1865819. A live audio webcast of the call also will be available in the Investors section of the Company’s website at </w:t>
      </w:r>
      <w:r>
        <w:rPr>
          <w:rFonts w:ascii="Arial" w:cs="Arial" w:eastAsia="Arial" w:hAnsi="Arial"/>
          <w:sz w:val="18"/>
          <w:szCs w:val="18"/>
          <w:u w:val="single" w:color="auto"/>
          <w:color w:val="0563C1"/>
        </w:rPr>
        <w:t>www.lantheus.com</w:t>
      </w:r>
      <w:r>
        <w:rPr>
          <w:rFonts w:ascii="Arial" w:cs="Arial" w:eastAsia="Arial" w:hAnsi="Arial"/>
          <w:sz w:val="18"/>
          <w:szCs w:val="18"/>
          <w:color w:val="auto"/>
        </w:rPr>
        <w:t>.</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A replay of the audio webcast will be available in the Investors section of our website at www.lantheus.com approximately two hours after completion of the call and will be archived for 30 days.</w:t>
      </w:r>
    </w:p>
    <w:p>
      <w:pPr>
        <w:spacing w:after="0" w:line="170"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 xml:space="preserve">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t>
      </w:r>
      <w:r>
        <w:rPr>
          <w:rFonts w:ascii="Arial" w:cs="Arial" w:eastAsia="Arial" w:hAnsi="Arial"/>
          <w:sz w:val="17"/>
          <w:szCs w:val="17"/>
          <w:u w:val="single" w:color="auto"/>
          <w:color w:val="0563C1"/>
        </w:rPr>
        <w:t>www.lantheus.com</w:t>
      </w:r>
      <w:r>
        <w:rPr>
          <w:rFonts w:ascii="Arial" w:cs="Arial" w:eastAsia="Arial" w:hAnsi="Arial"/>
          <w:sz w:val="17"/>
          <w:szCs w:val="17"/>
          <w:color w:val="auto"/>
        </w:rPr>
        <w:t>.</w:t>
      </w:r>
    </w:p>
    <w:p>
      <w:pPr>
        <w:spacing w:after="0" w:line="166"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conference call may include forward-looking statements. See the cautionary information about forward-looking statements in the safe-harbor section of this press release.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 and Lantheus Medical Imaging, Inc.</w:t>
      </w:r>
    </w:p>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 xml:space="preserve">Lantheus Holdings, Inc. is the parent company of LMI, a global leader in the development, manufacture and commercialization of innovative diagnostic imaging agents and products. LMI provides a broad portfolio of products, including the echocardiography contrast agent DEFINITY® Vial for (Perflutren Lipid Microsphere) Injectable Suspension and TechneLite® (Technetium Tc99m Generator), a technetium-based generator that provides the essential medical isotope used in nuclear medicine procedures. The Company is headquartered in North Billerica, Massachusetts with offices in Puerto Rico and Canada. For more information, visit </w:t>
      </w:r>
      <w:r>
        <w:rPr>
          <w:rFonts w:ascii="Arial" w:cs="Arial" w:eastAsia="Arial" w:hAnsi="Arial"/>
          <w:sz w:val="18"/>
          <w:szCs w:val="18"/>
          <w:u w:val="single" w:color="auto"/>
          <w:color w:val="0563C1"/>
        </w:rPr>
        <w:t>www.lantheus.com</w:t>
      </w:r>
      <w:r>
        <w:rPr>
          <w:rFonts w:ascii="Arial" w:cs="Arial" w:eastAsia="Arial" w:hAnsi="Arial"/>
          <w:sz w:val="18"/>
          <w:szCs w:val="18"/>
          <w:color w:val="auto"/>
        </w:rPr>
        <w: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 Company uses non-GAAP financial measures, such adjusted net income and its line components; adjusted net income per share - diluted; and free cash flow. The Company’s management believes that the presentation of these measures provides useful information to investors. These measures may assist investors in evaluating the Company’s operations, period over period. The measures may exclude such items which may be highly variable, difficult to predict and of a size that could have substantial impact on the Company’s reported results of operations for a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178"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This press release includes forward-looking non-GAAP guidance for 2019 adjusted diluted EPS. No reconciliation of this forward-looking non-GAAP guidance was included in this press release because, due to the high variability and difficulty in making accurate forecasts and projections of some of the excluded information and the fact that some of the excluded information is not readily ascertainable or accessible, the Company is unable to quantify certain amounts that would be required to be included in the most directly comparable GAAP financial measure without unreasonable efforts.</w:t>
      </w: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 of 9</w:t>
      </w:r>
    </w:p>
    <w:p>
      <w:pPr>
        <w:sectPr>
          <w:pgSz w:w="11900" w:h="16838" w:orient="portrait"/>
          <w:cols w:equalWidth="0" w:num="1">
            <w:col w:w="11420"/>
          </w:cols>
          <w:pgMar w:left="240" w:top="1017"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229" w:lineRule="exact"/>
        <w:rPr>
          <w:sz w:val="20"/>
          <w:szCs w:val="20"/>
          <w:color w:val="auto"/>
        </w:rPr>
      </w:pPr>
    </w:p>
    <w:p>
      <w:pPr>
        <w:spacing w:after="0" w:line="253" w:lineRule="auto"/>
        <w:rPr>
          <w:sz w:val="20"/>
          <w:szCs w:val="20"/>
          <w:color w:val="auto"/>
        </w:rPr>
      </w:pPr>
      <w:r>
        <w:rPr>
          <w:rFonts w:ascii="Arial" w:cs="Arial" w:eastAsia="Arial" w:hAnsi="Arial"/>
          <w:sz w:val="18"/>
          <w:szCs w:val="18"/>
          <w:i w:val="1"/>
          <w:iCs w:val="1"/>
          <w:color w:val="auto"/>
        </w:rPr>
        <w:t>This press release contains “forward-looking statements” as defined under U.S. federal securities laws, including statements about our 2019 outlook. Forward-looking statements may be identified by their use of terms such as anticipate, believe, confident, could, estimate, expect, intend, may, plan, predict, project, target, will and other similar terms. Such forward-looking statements are subject to risks and uncertainties that could cause actual results to materially differ from those described in the forward-looking statements.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are discussed in our filings with the Securities and Exchange Commission (including those described in the Risk Factors section in our Annual Reports on Form 10-K and our Quarterly Reports on Form 10-Q).</w:t>
      </w:r>
    </w:p>
    <w:p>
      <w:pPr>
        <w:spacing w:after="0" w:line="19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 Tables Follow -</w:t>
      </w:r>
    </w:p>
    <w:p>
      <w:pPr>
        <w:spacing w:after="0" w:line="200" w:lineRule="exact"/>
        <w:rPr>
          <w:sz w:val="20"/>
          <w:szCs w:val="20"/>
          <w:color w:val="auto"/>
        </w:rPr>
      </w:pPr>
    </w:p>
    <w:p>
      <w:pPr>
        <w:spacing w:after="0" w:line="26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Page 3 of 9</w:t>
      </w:r>
    </w:p>
    <w:p>
      <w:pPr>
        <w:sectPr>
          <w:pgSz w:w="11900" w:h="16838" w:orient="portrait"/>
          <w:cols w:equalWidth="0" w:num="1">
            <w:col w:w="11240"/>
          </w:cols>
          <w:pgMar w:left="240" w:top="1013" w:right="419" w:bottom="1440" w:gutter="0" w:footer="0" w:header="0"/>
        </w:sectPr>
      </w:pPr>
    </w:p>
    <w:bookmarkStart w:id="7" w:name="page8"/>
    <w:bookmarkEnd w:id="7"/>
    <w:p>
      <w:pPr>
        <w:ind w:left="416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380" w:type="dxa"/>
            <w:vAlign w:val="bottom"/>
            <w:gridSpan w:val="5"/>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260" w:type="dxa"/>
            <w:vAlign w:val="bottom"/>
            <w:gridSpan w:val="4"/>
          </w:tcPr>
          <w:p>
            <w:pPr>
              <w:jc w:val="right"/>
              <w:ind w:right="571"/>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49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9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w w:val="96"/>
              </w:rPr>
              <w:t>2018</w:t>
            </w:r>
          </w:p>
        </w:tc>
        <w:tc>
          <w:tcPr>
            <w:tcW w:w="0" w:type="dxa"/>
            <w:vAlign w:val="bottom"/>
          </w:tcPr>
          <w:p>
            <w:pPr>
              <w:spacing w:after="0"/>
              <w:rPr>
                <w:sz w:val="1"/>
                <w:szCs w:val="1"/>
                <w:color w:val="auto"/>
              </w:rPr>
            </w:pPr>
          </w:p>
        </w:tc>
      </w:tr>
      <w:tr>
        <w:trPr>
          <w:trHeight w:val="250"/>
        </w:trPr>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85,776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88,900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257,991</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257,103</w:t>
            </w:r>
          </w:p>
        </w:tc>
        <w:tc>
          <w:tcPr>
            <w:tcW w:w="0" w:type="dxa"/>
            <w:vAlign w:val="bottom"/>
          </w:tcPr>
          <w:p>
            <w:pPr>
              <w:spacing w:after="0"/>
              <w:rPr>
                <w:sz w:val="1"/>
                <w:szCs w:val="1"/>
                <w:color w:val="auto"/>
              </w:rPr>
            </w:pPr>
          </w:p>
        </w:tc>
      </w:tr>
      <w:tr>
        <w:trPr>
          <w:trHeight w:val="243"/>
        </w:trPr>
        <w:tc>
          <w:tcPr>
            <w:tcW w:w="490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44,187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44,015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127,745</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126,063</w:t>
            </w:r>
          </w:p>
        </w:tc>
        <w:tc>
          <w:tcPr>
            <w:tcW w:w="0" w:type="dxa"/>
            <w:vAlign w:val="bottom"/>
          </w:tcPr>
          <w:p>
            <w:pPr>
              <w:spacing w:after="0"/>
              <w:rPr>
                <w:sz w:val="1"/>
                <w:szCs w:val="1"/>
                <w:color w:val="auto"/>
              </w:rPr>
            </w:pPr>
          </w:p>
        </w:tc>
      </w:tr>
      <w:tr>
        <w:trPr>
          <w:trHeight w:val="27"/>
        </w:trPr>
        <w:tc>
          <w:tcPr>
            <w:tcW w:w="49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41,589</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44,885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130,246</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131,040</w:t>
            </w:r>
          </w:p>
        </w:tc>
        <w:tc>
          <w:tcPr>
            <w:tcW w:w="0" w:type="dxa"/>
            <w:vAlign w:val="bottom"/>
          </w:tcPr>
          <w:p>
            <w:pPr>
              <w:spacing w:after="0"/>
              <w:rPr>
                <w:sz w:val="1"/>
                <w:szCs w:val="1"/>
                <w:color w:val="auto"/>
              </w:rPr>
            </w:pPr>
          </w:p>
        </w:tc>
      </w:tr>
      <w:tr>
        <w:trPr>
          <w:trHeight w:val="223"/>
        </w:trPr>
        <w:tc>
          <w:tcPr>
            <w:tcW w:w="490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900" w:type="dxa"/>
            <w:vAlign w:val="bottom"/>
          </w:tcPr>
          <w:p>
            <w:pPr>
              <w:spacing w:after="0"/>
              <w:rPr>
                <w:sz w:val="3"/>
                <w:szCs w:val="3"/>
                <w:color w:val="auto"/>
              </w:rPr>
            </w:pPr>
          </w:p>
        </w:tc>
        <w:tc>
          <w:tcPr>
            <w:tcW w:w="30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0" w:type="dxa"/>
            <w:vAlign w:val="bottom"/>
          </w:tcPr>
          <w:p>
            <w:pPr>
              <w:spacing w:after="0"/>
              <w:rPr>
                <w:sz w:val="3"/>
                <w:szCs w:val="3"/>
                <w:color w:val="auto"/>
              </w:rPr>
            </w:pPr>
          </w:p>
        </w:tc>
        <w:tc>
          <w:tcPr>
            <w:tcW w:w="44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10,151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10,478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31,496</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33,248</w:t>
            </w:r>
          </w:p>
        </w:tc>
        <w:tc>
          <w:tcPr>
            <w:tcW w:w="0" w:type="dxa"/>
            <w:vAlign w:val="bottom"/>
          </w:tcPr>
          <w:p>
            <w:pPr>
              <w:spacing w:after="0"/>
              <w:rPr>
                <w:sz w:val="1"/>
                <w:szCs w:val="1"/>
                <w:color w:val="auto"/>
              </w:rPr>
            </w:pPr>
          </w:p>
        </w:tc>
      </w:tr>
      <w:tr>
        <w:trPr>
          <w:trHeight w:val="243"/>
        </w:trPr>
        <w:tc>
          <w:tcPr>
            <w:tcW w:w="4900" w:type="dxa"/>
            <w:vAlign w:val="bottom"/>
          </w:tcPr>
          <w:p>
            <w:pPr>
              <w:ind w:left="280"/>
              <w:spacing w:after="0"/>
              <w:rPr>
                <w:sz w:val="20"/>
                <w:szCs w:val="20"/>
                <w:color w:val="auto"/>
              </w:rPr>
            </w:pPr>
            <w:r>
              <w:rPr>
                <w:rFonts w:ascii="Arial" w:cs="Arial" w:eastAsia="Arial" w:hAnsi="Arial"/>
                <w:sz w:val="18"/>
                <w:szCs w:val="18"/>
                <w:color w:val="auto"/>
              </w:rPr>
              <w:t>General and administrative</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18,061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13,609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43,943</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37,727</w:t>
            </w: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4,860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4,316</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15,584</w:t>
            </w:r>
          </w:p>
        </w:tc>
        <w:tc>
          <w:tcPr>
            <w:tcW w:w="12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12,520</w:t>
            </w:r>
          </w:p>
        </w:tc>
        <w:tc>
          <w:tcPr>
            <w:tcW w:w="0" w:type="dxa"/>
            <w:vAlign w:val="bottom"/>
          </w:tcPr>
          <w:p>
            <w:pPr>
              <w:spacing w:after="0"/>
              <w:rPr>
                <w:sz w:val="1"/>
                <w:szCs w:val="1"/>
                <w:color w:val="auto"/>
              </w:rPr>
            </w:pPr>
          </w:p>
        </w:tc>
      </w:tr>
      <w:tr>
        <w:trPr>
          <w:trHeight w:val="237"/>
        </w:trPr>
        <w:tc>
          <w:tcPr>
            <w:tcW w:w="4900" w:type="dxa"/>
            <w:vAlign w:val="bottom"/>
          </w:tcPr>
          <w:p>
            <w:pPr>
              <w:ind w:left="480"/>
              <w:spacing w:after="0"/>
              <w:rPr>
                <w:sz w:val="20"/>
                <w:szCs w:val="20"/>
                <w:color w:val="auto"/>
              </w:rPr>
            </w:pPr>
            <w:r>
              <w:rPr>
                <w:rFonts w:ascii="Arial" w:cs="Arial" w:eastAsia="Arial" w:hAnsi="Arial"/>
                <w:sz w:val="18"/>
                <w:szCs w:val="18"/>
                <w:color w:val="auto"/>
              </w:rPr>
              <w:t>Total operating expenses</w:t>
            </w: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33,072</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28,403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91,023</w:t>
            </w:r>
          </w:p>
        </w:tc>
        <w:tc>
          <w:tcPr>
            <w:tcW w:w="12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83,495</w:t>
            </w: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8"/>
                <w:szCs w:val="18"/>
                <w:color w:val="auto"/>
              </w:rPr>
              <w:t>Operating income</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8,517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16,482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39,223</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47,545</w:t>
            </w:r>
          </w:p>
        </w:tc>
        <w:tc>
          <w:tcPr>
            <w:tcW w:w="0" w:type="dxa"/>
            <w:vAlign w:val="bottom"/>
          </w:tcPr>
          <w:p>
            <w:pPr>
              <w:spacing w:after="0"/>
              <w:rPr>
                <w:sz w:val="1"/>
                <w:szCs w:val="1"/>
                <w:color w:val="auto"/>
              </w:rPr>
            </w:pPr>
          </w:p>
        </w:tc>
      </w:tr>
      <w:tr>
        <w:trPr>
          <w:trHeight w:val="243"/>
        </w:trPr>
        <w:tc>
          <w:tcPr>
            <w:tcW w:w="490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2,356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4,446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11,491</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12,794</w:t>
            </w: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on extinguishment of debt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3,196</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900" w:type="dxa"/>
            <w:vAlign w:val="bottom"/>
          </w:tcPr>
          <w:p>
            <w:pPr>
              <w:ind w:left="20"/>
              <w:spacing w:after="0"/>
              <w:rPr>
                <w:sz w:val="20"/>
                <w:szCs w:val="20"/>
                <w:color w:val="auto"/>
              </w:rPr>
            </w:pPr>
            <w:r>
              <w:rPr>
                <w:rFonts w:ascii="Arial" w:cs="Arial" w:eastAsia="Arial" w:hAnsi="Arial"/>
                <w:sz w:val="18"/>
                <w:szCs w:val="18"/>
                <w:color w:val="auto"/>
              </w:rPr>
              <w:t>Other expense (income)</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804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(799)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(1,695)</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(2,055)</w:t>
            </w:r>
          </w:p>
        </w:tc>
        <w:tc>
          <w:tcPr>
            <w:tcW w:w="0" w:type="dxa"/>
            <w:vAlign w:val="bottom"/>
          </w:tcPr>
          <w:p>
            <w:pPr>
              <w:spacing w:after="0"/>
              <w:rPr>
                <w:sz w:val="1"/>
                <w:szCs w:val="1"/>
                <w:color w:val="auto"/>
              </w:rPr>
            </w:pPr>
          </w:p>
        </w:tc>
      </w:tr>
      <w:tr>
        <w:trPr>
          <w:trHeight w:val="27"/>
        </w:trPr>
        <w:tc>
          <w:tcPr>
            <w:tcW w:w="49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before income taxes</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5,357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12,835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26,231</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36,806</w:t>
            </w:r>
          </w:p>
        </w:tc>
        <w:tc>
          <w:tcPr>
            <w:tcW w:w="0" w:type="dxa"/>
            <w:vAlign w:val="bottom"/>
          </w:tcPr>
          <w:p>
            <w:pPr>
              <w:spacing w:after="0"/>
              <w:rPr>
                <w:sz w:val="1"/>
                <w:szCs w:val="1"/>
                <w:color w:val="auto"/>
              </w:rPr>
            </w:pPr>
          </w:p>
        </w:tc>
      </w:tr>
      <w:tr>
        <w:trPr>
          <w:trHeight w:val="243"/>
        </w:trPr>
        <w:tc>
          <w:tcPr>
            <w:tcW w:w="4900" w:type="dxa"/>
            <w:vAlign w:val="bottom"/>
          </w:tcPr>
          <w:p>
            <w:pPr>
              <w:ind w:left="20"/>
              <w:spacing w:after="0"/>
              <w:rPr>
                <w:sz w:val="20"/>
                <w:szCs w:val="20"/>
                <w:color w:val="auto"/>
              </w:rPr>
            </w:pPr>
            <w:r>
              <w:rPr>
                <w:rFonts w:ascii="Arial" w:cs="Arial" w:eastAsia="Arial" w:hAnsi="Arial"/>
                <w:sz w:val="18"/>
                <w:szCs w:val="18"/>
                <w:color w:val="auto"/>
              </w:rPr>
              <w:t>Income tax expense</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501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3,566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5,014</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9,581</w:t>
            </w:r>
          </w:p>
        </w:tc>
        <w:tc>
          <w:tcPr>
            <w:tcW w:w="0" w:type="dxa"/>
            <w:vAlign w:val="bottom"/>
          </w:tcPr>
          <w:p>
            <w:pPr>
              <w:spacing w:after="0"/>
              <w:rPr>
                <w:sz w:val="1"/>
                <w:szCs w:val="1"/>
                <w:color w:val="auto"/>
              </w:rPr>
            </w:pPr>
          </w:p>
        </w:tc>
      </w:tr>
      <w:tr>
        <w:trPr>
          <w:trHeight w:val="27"/>
        </w:trPr>
        <w:tc>
          <w:tcPr>
            <w:tcW w:w="49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income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4,856</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9,269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21,217</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27,225</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per common share:</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0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49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4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0.12</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0.24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0.55</w:t>
            </w:r>
          </w:p>
        </w:tc>
        <w:tc>
          <w:tcPr>
            <w:tcW w:w="12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Diluted</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900" w:type="dxa"/>
            <w:vAlign w:val="bottom"/>
            <w:vMerge w:val="continue"/>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0.12</w:t>
            </w:r>
          </w:p>
        </w:tc>
        <w:tc>
          <w:tcPr>
            <w:tcW w:w="100" w:type="dxa"/>
            <w:vAlign w:val="bottom"/>
          </w:tcPr>
          <w:p>
            <w:pPr>
              <w:spacing w:after="0"/>
              <w:rPr>
                <w:sz w:val="19"/>
                <w:szCs w:val="19"/>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0.24</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0.53</w:t>
            </w:r>
          </w:p>
        </w:tc>
        <w:tc>
          <w:tcPr>
            <w:tcW w:w="120" w:type="dxa"/>
            <w:vAlign w:val="bottom"/>
          </w:tcPr>
          <w:p>
            <w:pPr>
              <w:spacing w:after="0"/>
              <w:rPr>
                <w:sz w:val="19"/>
                <w:szCs w:val="19"/>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0.69</w:t>
            </w:r>
          </w:p>
        </w:tc>
        <w:tc>
          <w:tcPr>
            <w:tcW w:w="0" w:type="dxa"/>
            <w:vAlign w:val="bottom"/>
          </w:tcPr>
          <w:p>
            <w:pPr>
              <w:spacing w:after="0"/>
              <w:rPr>
                <w:sz w:val="1"/>
                <w:szCs w:val="1"/>
                <w:color w:val="auto"/>
              </w:rPr>
            </w:pPr>
          </w:p>
        </w:tc>
      </w:tr>
      <w:tr>
        <w:trPr>
          <w:trHeight w:val="67"/>
        </w:trPr>
        <w:tc>
          <w:tcPr>
            <w:tcW w:w="49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90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Weighted-average common shares outstanding:</w:t>
            </w: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900" w:type="dxa"/>
            <w:vAlign w:val="bottom"/>
          </w:tcPr>
          <w:p>
            <w:pPr>
              <w:ind w:left="380"/>
              <w:spacing w:after="0"/>
              <w:rPr>
                <w:sz w:val="20"/>
                <w:szCs w:val="20"/>
                <w:color w:val="auto"/>
              </w:rPr>
            </w:pPr>
            <w:r>
              <w:rPr>
                <w:rFonts w:ascii="Arial" w:cs="Arial" w:eastAsia="Arial" w:hAnsi="Arial"/>
                <w:sz w:val="18"/>
                <w:szCs w:val="18"/>
                <w:color w:val="auto"/>
              </w:rPr>
              <w:t>Basic</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39,123</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38,342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38,901</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38,155</w:t>
            </w:r>
          </w:p>
        </w:tc>
        <w:tc>
          <w:tcPr>
            <w:tcW w:w="0" w:type="dxa"/>
            <w:vAlign w:val="bottom"/>
          </w:tcPr>
          <w:p>
            <w:pPr>
              <w:spacing w:after="0"/>
              <w:rPr>
                <w:sz w:val="1"/>
                <w:szCs w:val="1"/>
                <w:color w:val="auto"/>
              </w:rPr>
            </w:pPr>
          </w:p>
        </w:tc>
      </w:tr>
      <w:tr>
        <w:trPr>
          <w:trHeight w:val="67"/>
        </w:trPr>
        <w:tc>
          <w:tcPr>
            <w:tcW w:w="49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490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40,286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39,402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40,123</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39,467</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4 of 9</w:t>
      </w:r>
    </w:p>
    <w:p>
      <w:pPr>
        <w:sectPr>
          <w:pgSz w:w="11900" w:h="16838" w:orient="portrait"/>
          <w:cols w:equalWidth="0" w:num="1">
            <w:col w:w="10140"/>
          </w:cols>
          <w:pgMar w:left="880" w:top="850" w:right="879" w:bottom="1440" w:gutter="0" w:footer="0" w:header="0"/>
        </w:sectPr>
      </w:pPr>
    </w:p>
    <w:bookmarkStart w:id="8" w:name="page9"/>
    <w:bookmarkEnd w:id="8"/>
    <w:p>
      <w:pPr>
        <w:ind w:left="414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Consolidated Segment Revenues Analysis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8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5"/>
              </w:rPr>
              <w:t>Three Months Ended</w:t>
            </w: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20" w:type="dxa"/>
            <w:vAlign w:val="bottom"/>
            <w:gridSpan w:val="4"/>
          </w:tcPr>
          <w:p>
            <w:pPr>
              <w:jc w:val="center"/>
              <w:ind w:left="16"/>
              <w:spacing w:after="0"/>
              <w:rPr>
                <w:sz w:val="20"/>
                <w:szCs w:val="20"/>
                <w:color w:val="auto"/>
              </w:rPr>
            </w:pPr>
            <w:r>
              <w:rPr>
                <w:rFonts w:ascii="Arial" w:cs="Arial" w:eastAsia="Arial" w:hAnsi="Arial"/>
                <w:sz w:val="14"/>
                <w:szCs w:val="14"/>
                <w:b w:val="1"/>
                <w:bCs w:val="1"/>
                <w:color w:val="auto"/>
                <w:w w:val="93"/>
              </w:rPr>
              <w:t>Nine Months Ended</w:t>
            </w:r>
          </w:p>
        </w:tc>
        <w:tc>
          <w:tcPr>
            <w:tcW w:w="1220" w:type="dxa"/>
            <w:vAlign w:val="bottom"/>
          </w:tcPr>
          <w:p>
            <w:pPr>
              <w:spacing w:after="0"/>
              <w:rPr>
                <w:sz w:val="14"/>
                <w:szCs w:val="14"/>
                <w:color w:val="auto"/>
              </w:rPr>
            </w:pPr>
          </w:p>
        </w:tc>
      </w:tr>
      <w:tr>
        <w:trPr>
          <w:trHeight w:val="192"/>
        </w:trPr>
        <w:tc>
          <w:tcPr>
            <w:tcW w:w="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7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1"/>
              </w:rPr>
              <w:t>September 30,</w:t>
            </w:r>
          </w:p>
        </w:tc>
        <w:tc>
          <w:tcPr>
            <w:tcW w:w="1220" w:type="dxa"/>
            <w:vAlign w:val="bottom"/>
            <w:tcBorders>
              <w:bottom w:val="single" w:sz="8" w:color="auto"/>
            </w:tcBorders>
          </w:tcPr>
          <w:p>
            <w:pPr>
              <w:spacing w:after="0"/>
              <w:rPr>
                <w:sz w:val="16"/>
                <w:szCs w:val="16"/>
                <w:color w:val="auto"/>
              </w:rPr>
            </w:pPr>
          </w:p>
        </w:tc>
      </w:tr>
      <w:tr>
        <w:trPr>
          <w:trHeight w:val="250"/>
        </w:trPr>
        <w:tc>
          <w:tcPr>
            <w:tcW w:w="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00" w:type="dxa"/>
            <w:vAlign w:val="bottom"/>
          </w:tcPr>
          <w:p>
            <w:pPr>
              <w:jc w:val="right"/>
              <w:ind w:right="251"/>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40" w:type="dxa"/>
            <w:vAlign w:val="bottom"/>
            <w:gridSpan w:val="2"/>
          </w:tcPr>
          <w:p>
            <w:pPr>
              <w:ind w:left="100"/>
              <w:spacing w:after="0"/>
              <w:rPr>
                <w:sz w:val="20"/>
                <w:szCs w:val="20"/>
                <w:color w:val="auto"/>
              </w:rPr>
            </w:pPr>
            <w:r>
              <w:rPr>
                <w:rFonts w:ascii="Arial" w:cs="Arial" w:eastAsia="Arial" w:hAnsi="Arial"/>
                <w:sz w:val="14"/>
                <w:szCs w:val="14"/>
                <w:b w:val="1"/>
                <w:bCs w:val="1"/>
                <w:color w:val="auto"/>
              </w:rPr>
              <w:t>% Change</w:t>
            </w:r>
          </w:p>
        </w:tc>
        <w:tc>
          <w:tcPr>
            <w:tcW w:w="280" w:type="dxa"/>
            <w:vAlign w:val="bottom"/>
          </w:tcPr>
          <w:p>
            <w:pPr>
              <w:spacing w:after="0"/>
              <w:rPr>
                <w:sz w:val="21"/>
                <w:szCs w:val="21"/>
                <w:color w:val="auto"/>
              </w:rPr>
            </w:pPr>
          </w:p>
        </w:tc>
        <w:tc>
          <w:tcPr>
            <w:tcW w:w="820" w:type="dxa"/>
            <w:vAlign w:val="bottom"/>
          </w:tcPr>
          <w:p>
            <w:pPr>
              <w:jc w:val="right"/>
              <w:ind w:right="251"/>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252"/>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1"/>
                <w:szCs w:val="21"/>
                <w:color w:val="auto"/>
              </w:rPr>
            </w:pPr>
          </w:p>
        </w:tc>
        <w:tc>
          <w:tcPr>
            <w:tcW w:w="1220" w:type="dxa"/>
            <w:vAlign w:val="bottom"/>
          </w:tcPr>
          <w:p>
            <w:pPr>
              <w:jc w:val="right"/>
              <w:ind w:right="191"/>
              <w:spacing w:after="0"/>
              <w:rPr>
                <w:sz w:val="20"/>
                <w:szCs w:val="20"/>
                <w:color w:val="auto"/>
              </w:rPr>
            </w:pPr>
            <w:r>
              <w:rPr>
                <w:rFonts w:ascii="Arial" w:cs="Arial" w:eastAsia="Arial" w:hAnsi="Arial"/>
                <w:sz w:val="14"/>
                <w:szCs w:val="14"/>
                <w:b w:val="1"/>
                <w:bCs w:val="1"/>
                <w:color w:val="auto"/>
              </w:rPr>
              <w:t>% Change</w:t>
            </w:r>
          </w:p>
        </w:tc>
      </w:tr>
      <w:tr>
        <w:trPr>
          <w:trHeight w:val="202"/>
        </w:trPr>
        <w:tc>
          <w:tcPr>
            <w:tcW w:w="20" w:type="dxa"/>
            <w:vAlign w:val="bottom"/>
            <w:tcBorders>
              <w:top w:val="single" w:sz="8" w:color="CCEEFF"/>
            </w:tcBorders>
            <w:shd w:val="clear" w:color="auto" w:fill="CCEEFF"/>
          </w:tcPr>
          <w:p>
            <w:pPr>
              <w:spacing w:after="0"/>
              <w:rPr>
                <w:sz w:val="17"/>
                <w:szCs w:val="17"/>
                <w:color w:val="auto"/>
              </w:rPr>
            </w:pPr>
          </w:p>
        </w:tc>
        <w:tc>
          <w:tcPr>
            <w:tcW w:w="2740" w:type="dxa"/>
            <w:vAlign w:val="bottom"/>
            <w:tcBorders>
              <w:top w:val="single" w:sz="8" w:color="CCEEFF"/>
            </w:tcBorders>
            <w:gridSpan w:val="4"/>
            <w:shd w:val="clear" w:color="auto" w:fill="CCEEFF"/>
          </w:tcPr>
          <w:p>
            <w:pPr>
              <w:spacing w:after="0" w:line="202" w:lineRule="exact"/>
              <w:rPr>
                <w:sz w:val="20"/>
                <w:szCs w:val="20"/>
                <w:color w:val="auto"/>
              </w:rPr>
            </w:pPr>
            <w:r>
              <w:rPr>
                <w:rFonts w:ascii="Arial" w:cs="Arial" w:eastAsia="Arial" w:hAnsi="Arial"/>
                <w:sz w:val="18"/>
                <w:szCs w:val="18"/>
                <w:color w:val="auto"/>
              </w:rPr>
              <w:t>United States</w:t>
            </w:r>
          </w:p>
        </w:tc>
        <w:tc>
          <w:tcPr>
            <w:tcW w:w="3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17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10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50,917</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42,472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19.9 %</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154,099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131,081</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17.6 %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74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3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18,281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19,374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55,204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56,780</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Other nuclear</w:t>
            </w:r>
          </w:p>
        </w:tc>
        <w:tc>
          <w:tcPr>
            <w:tcW w:w="30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9,355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11,436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(18.2)%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28,006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37,284</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(24.9)%</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74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(3,903)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28.9 %</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(9,316)</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29.2 %</w:t>
            </w:r>
          </w:p>
        </w:tc>
      </w:tr>
      <w:tr>
        <w:trPr>
          <w:trHeight w:val="237"/>
        </w:trPr>
        <w:tc>
          <w:tcPr>
            <w:tcW w:w="20" w:type="dxa"/>
            <w:vAlign w:val="bottom"/>
          </w:tcPr>
          <w:p>
            <w:pPr>
              <w:spacing w:after="0"/>
              <w:rPr>
                <w:sz w:val="20"/>
                <w:szCs w:val="20"/>
                <w:color w:val="auto"/>
              </w:rPr>
            </w:pPr>
          </w:p>
        </w:tc>
        <w:tc>
          <w:tcPr>
            <w:tcW w:w="2740" w:type="dxa"/>
            <w:vAlign w:val="bottom"/>
            <w:gridSpan w:val="4"/>
          </w:tcPr>
          <w:p>
            <w:pPr>
              <w:spacing w:after="0"/>
              <w:rPr>
                <w:sz w:val="20"/>
                <w:szCs w:val="20"/>
                <w:color w:val="auto"/>
              </w:rPr>
            </w:pPr>
            <w:r>
              <w:rPr>
                <w:rFonts w:ascii="Arial" w:cs="Arial" w:eastAsia="Arial" w:hAnsi="Arial"/>
                <w:sz w:val="18"/>
                <w:szCs w:val="18"/>
                <w:color w:val="auto"/>
              </w:rPr>
              <w:t>Total United States</w:t>
            </w:r>
          </w:p>
        </w:tc>
        <w:tc>
          <w:tcPr>
            <w:tcW w:w="3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74,650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70,255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6.3 %</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225,274</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215,829</w:t>
            </w:r>
          </w:p>
        </w:tc>
        <w:tc>
          <w:tcPr>
            <w:tcW w:w="100" w:type="dxa"/>
            <w:vAlign w:val="bottom"/>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4.4 %</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7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196"/>
        </w:trPr>
        <w:tc>
          <w:tcPr>
            <w:tcW w:w="20" w:type="dxa"/>
            <w:vAlign w:val="bottom"/>
            <w:shd w:val="clear" w:color="auto" w:fill="CCEEFF"/>
          </w:tcPr>
          <w:p>
            <w:pPr>
              <w:spacing w:after="0"/>
              <w:rPr>
                <w:sz w:val="17"/>
                <w:szCs w:val="17"/>
                <w:color w:val="auto"/>
              </w:rPr>
            </w:pPr>
          </w:p>
        </w:tc>
        <w:tc>
          <w:tcPr>
            <w:tcW w:w="274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International</w:t>
            </w:r>
          </w:p>
        </w:tc>
        <w:tc>
          <w:tcPr>
            <w:tcW w:w="3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7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10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30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1,478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1,283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15.2 %</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4,036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3,427</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17.8 %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74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3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11,244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10,794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18,711</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(42.3)%</w:t>
            </w: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Other nuclear</w:t>
            </w:r>
          </w:p>
        </w:tc>
        <w:tc>
          <w:tcPr>
            <w:tcW w:w="30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6,186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6,119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17,901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19,138</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74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300.0 %</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600.0 %</w:t>
            </w:r>
          </w:p>
        </w:tc>
      </w:tr>
      <w:tr>
        <w:trPr>
          <w:trHeight w:val="237"/>
        </w:trPr>
        <w:tc>
          <w:tcPr>
            <w:tcW w:w="20" w:type="dxa"/>
            <w:vAlign w:val="bottom"/>
          </w:tcPr>
          <w:p>
            <w:pPr>
              <w:spacing w:after="0"/>
              <w:rPr>
                <w:sz w:val="20"/>
                <w:szCs w:val="20"/>
                <w:color w:val="auto"/>
              </w:rPr>
            </w:pPr>
          </w:p>
        </w:tc>
        <w:tc>
          <w:tcPr>
            <w:tcW w:w="2740" w:type="dxa"/>
            <w:vAlign w:val="bottom"/>
            <w:gridSpan w:val="4"/>
          </w:tcPr>
          <w:p>
            <w:pPr>
              <w:spacing w:after="0"/>
              <w:rPr>
                <w:sz w:val="20"/>
                <w:szCs w:val="20"/>
                <w:color w:val="auto"/>
              </w:rPr>
            </w:pPr>
            <w:r>
              <w:rPr>
                <w:rFonts w:ascii="Arial" w:cs="Arial" w:eastAsia="Arial" w:hAnsi="Arial"/>
                <w:sz w:val="18"/>
                <w:szCs w:val="18"/>
                <w:color w:val="auto"/>
              </w:rPr>
              <w:t>Total International</w:t>
            </w:r>
          </w:p>
        </w:tc>
        <w:tc>
          <w:tcPr>
            <w:tcW w:w="3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11,126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18,645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(40.3)%</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32,717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41,274</w:t>
            </w:r>
          </w:p>
        </w:tc>
        <w:tc>
          <w:tcPr>
            <w:tcW w:w="100" w:type="dxa"/>
            <w:vAlign w:val="bottom"/>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7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2"/>
              </w:rPr>
              <w:t>Worldwide</w:t>
            </w:r>
          </w:p>
        </w:tc>
        <w:tc>
          <w:tcPr>
            <w:tcW w:w="1940" w:type="dxa"/>
            <w:vAlign w:val="bottom"/>
            <w:tcBorders>
              <w:bottom w:val="single" w:sz="8" w:color="CCEEFF"/>
            </w:tcBorders>
            <w:gridSpan w:val="3"/>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30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52,395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43,755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19.7 %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158,135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134,508</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17.6 %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74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3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21,747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30,618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65,998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75,491</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w:t>
            </w:r>
          </w:p>
        </w:tc>
      </w:tr>
      <w:tr>
        <w:trPr>
          <w:trHeight w:val="243"/>
        </w:trPr>
        <w:tc>
          <w:tcPr>
            <w:tcW w:w="20" w:type="dxa"/>
            <w:vAlign w:val="bottom"/>
          </w:tcPr>
          <w:p>
            <w:pPr>
              <w:spacing w:after="0"/>
              <w:rPr>
                <w:sz w:val="21"/>
                <w:szCs w:val="21"/>
                <w:color w:val="auto"/>
              </w:rPr>
            </w:pPr>
          </w:p>
        </w:tc>
        <w:tc>
          <w:tcPr>
            <w:tcW w:w="2740" w:type="dxa"/>
            <w:vAlign w:val="bottom"/>
            <w:gridSpan w:val="4"/>
          </w:tcPr>
          <w:p>
            <w:pPr>
              <w:ind w:left="240"/>
              <w:spacing w:after="0"/>
              <w:rPr>
                <w:sz w:val="20"/>
                <w:szCs w:val="20"/>
                <w:color w:val="auto"/>
              </w:rPr>
            </w:pPr>
            <w:r>
              <w:rPr>
                <w:rFonts w:ascii="Arial" w:cs="Arial" w:eastAsia="Arial" w:hAnsi="Arial"/>
                <w:sz w:val="18"/>
                <w:szCs w:val="18"/>
                <w:color w:val="auto"/>
              </w:rPr>
              <w:t>Other nuclear</w:t>
            </w:r>
          </w:p>
        </w:tc>
        <w:tc>
          <w:tcPr>
            <w:tcW w:w="30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15,541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17,555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45,907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56,422</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(18.6)%</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74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(3,907)</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29.0 %</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(12,049)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(9,318)</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29.3 %</w:t>
            </w:r>
          </w:p>
        </w:tc>
      </w:tr>
      <w:tr>
        <w:trPr>
          <w:trHeight w:val="257"/>
        </w:trPr>
        <w:tc>
          <w:tcPr>
            <w:tcW w:w="20" w:type="dxa"/>
            <w:vAlign w:val="bottom"/>
          </w:tcPr>
          <w:p>
            <w:pPr>
              <w:spacing w:after="0"/>
              <w:rPr>
                <w:sz w:val="22"/>
                <w:szCs w:val="22"/>
                <w:color w:val="auto"/>
              </w:rPr>
            </w:pPr>
          </w:p>
        </w:tc>
        <w:tc>
          <w:tcPr>
            <w:tcW w:w="2740" w:type="dxa"/>
            <w:vAlign w:val="bottom"/>
            <w:gridSpan w:val="4"/>
          </w:tcPr>
          <w:p>
            <w:pPr>
              <w:spacing w:after="0"/>
              <w:rPr>
                <w:sz w:val="20"/>
                <w:szCs w:val="20"/>
                <w:color w:val="auto"/>
              </w:rPr>
            </w:pPr>
            <w:r>
              <w:rPr>
                <w:rFonts w:ascii="Arial" w:cs="Arial" w:eastAsia="Arial" w:hAnsi="Arial"/>
                <w:sz w:val="18"/>
                <w:szCs w:val="18"/>
                <w:color w:val="auto"/>
              </w:rPr>
              <w:t>Total Revenues</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85,776</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88,900</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257,991</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257,103</w:t>
            </w:r>
          </w:p>
        </w:tc>
        <w:tc>
          <w:tcPr>
            <w:tcW w:w="100" w:type="dxa"/>
            <w:vAlign w:val="bottom"/>
          </w:tcPr>
          <w:p>
            <w:pPr>
              <w:spacing w:after="0"/>
              <w:rPr>
                <w:sz w:val="22"/>
                <w:szCs w:val="22"/>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0.3 %</w:t>
            </w:r>
          </w:p>
        </w:tc>
      </w:tr>
      <w:tr>
        <w:trPr>
          <w:trHeight w:val="20"/>
        </w:trPr>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5 of 9</w:t>
      </w:r>
    </w:p>
    <w:p>
      <w:pPr>
        <w:sectPr>
          <w:pgSz w:w="11900" w:h="16838" w:orient="portrait"/>
          <w:cols w:equalWidth="0" w:num="1">
            <w:col w:w="10120"/>
          </w:cols>
          <w:pgMar w:left="900" w:top="850" w:right="879" w:bottom="1440" w:gutter="0" w:footer="0" w:header="0"/>
        </w:sectPr>
      </w:pPr>
    </w:p>
    <w:bookmarkStart w:id="9" w:name="page10"/>
    <w:bookmarkEnd w:id="9"/>
    <w:p>
      <w:pPr>
        <w:ind w:left="4144"/>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804"/>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83" w:lineRule="exact"/>
        <w:rPr>
          <w:sz w:val="20"/>
          <w:szCs w:val="20"/>
          <w:color w:val="auto"/>
        </w:rPr>
      </w:pPr>
    </w:p>
    <w:tbl>
      <w:tblPr>
        <w:tblLayout w:type="fixed"/>
        <w:tblInd w:w="104" w:type="dxa"/>
        <w:tblCellMar>
          <w:top w:w="0" w:type="dxa"/>
          <w:left w:w="0" w:type="dxa"/>
          <w:bottom w:w="0" w:type="dxa"/>
          <w:right w:w="0" w:type="dxa"/>
        </w:tblCellMar>
      </w:tblPr>
      <w:tr>
        <w:trPr>
          <w:trHeight w:val="161"/>
        </w:trPr>
        <w:tc>
          <w:tcPr>
            <w:tcW w:w="4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5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320" w:type="dxa"/>
            <w:vAlign w:val="bottom"/>
          </w:tcPr>
          <w:p>
            <w:pPr>
              <w:spacing w:after="0"/>
              <w:rPr>
                <w:sz w:val="14"/>
                <w:szCs w:val="14"/>
                <w:color w:val="auto"/>
              </w:rPr>
            </w:pPr>
          </w:p>
        </w:tc>
        <w:tc>
          <w:tcPr>
            <w:tcW w:w="2500" w:type="dxa"/>
            <w:vAlign w:val="bottom"/>
            <w:gridSpan w:val="4"/>
          </w:tcPr>
          <w:p>
            <w:pPr>
              <w:jc w:val="right"/>
              <w:ind w:right="712"/>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2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900" w:type="dxa"/>
            <w:vAlign w:val="bottom"/>
            <w:tcBorders>
              <w:bottom w:val="single" w:sz="8" w:color="auto"/>
            </w:tcBorders>
          </w:tcPr>
          <w:p>
            <w:pPr>
              <w:spacing w:after="0"/>
              <w:rPr>
                <w:sz w:val="16"/>
                <w:szCs w:val="16"/>
                <w:color w:val="auto"/>
              </w:rPr>
            </w:pPr>
          </w:p>
        </w:tc>
      </w:tr>
      <w:tr>
        <w:trPr>
          <w:trHeight w:val="264"/>
        </w:trPr>
        <w:tc>
          <w:tcPr>
            <w:tcW w:w="42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r>
      <w:tr>
        <w:trPr>
          <w:trHeight w:val="263"/>
        </w:trPr>
        <w:tc>
          <w:tcPr>
            <w:tcW w:w="4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254"/>
              <w:spacing w:after="0"/>
              <w:rPr>
                <w:sz w:val="20"/>
                <w:szCs w:val="20"/>
                <w:color w:val="auto"/>
              </w:rPr>
            </w:pPr>
            <w:r>
              <w:rPr>
                <w:rFonts w:ascii="Arial" w:cs="Arial" w:eastAsia="Arial" w:hAnsi="Arial"/>
                <w:sz w:val="18"/>
                <w:szCs w:val="18"/>
                <w:color w:val="auto"/>
              </w:rPr>
              <w:t>4,856</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252"/>
              <w:spacing w:after="0"/>
              <w:rPr>
                <w:sz w:val="20"/>
                <w:szCs w:val="20"/>
                <w:color w:val="auto"/>
              </w:rPr>
            </w:pPr>
            <w:r>
              <w:rPr>
                <w:rFonts w:ascii="Arial" w:cs="Arial" w:eastAsia="Arial" w:hAnsi="Arial"/>
                <w:sz w:val="18"/>
                <w:szCs w:val="18"/>
                <w:color w:val="auto"/>
              </w:rPr>
              <w:t>9,269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254"/>
              <w:spacing w:after="0"/>
              <w:rPr>
                <w:sz w:val="20"/>
                <w:szCs w:val="20"/>
                <w:color w:val="auto"/>
              </w:rPr>
            </w:pPr>
            <w:r>
              <w:rPr>
                <w:rFonts w:ascii="Arial" w:cs="Arial" w:eastAsia="Arial" w:hAnsi="Arial"/>
                <w:sz w:val="18"/>
                <w:szCs w:val="18"/>
                <w:color w:val="auto"/>
              </w:rPr>
              <w:t>21,217</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252"/>
              <w:spacing w:after="0"/>
              <w:rPr>
                <w:sz w:val="20"/>
                <w:szCs w:val="20"/>
                <w:color w:val="auto"/>
              </w:rPr>
            </w:pPr>
            <w:r>
              <w:rPr>
                <w:rFonts w:ascii="Arial" w:cs="Arial" w:eastAsia="Arial" w:hAnsi="Arial"/>
                <w:sz w:val="18"/>
                <w:szCs w:val="18"/>
                <w:color w:val="auto"/>
                <w:w w:val="98"/>
              </w:rPr>
              <w:t>27,225</w:t>
            </w:r>
          </w:p>
        </w:tc>
      </w:tr>
      <w:tr>
        <w:trPr>
          <w:trHeight w:val="20"/>
        </w:trPr>
        <w:tc>
          <w:tcPr>
            <w:tcW w:w="4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230"/>
        </w:trPr>
        <w:tc>
          <w:tcPr>
            <w:tcW w:w="4220" w:type="dxa"/>
            <w:vAlign w:val="bottom"/>
          </w:tcPr>
          <w:p>
            <w:pPr>
              <w:ind w:left="260"/>
              <w:spacing w:after="0"/>
              <w:rPr>
                <w:sz w:val="20"/>
                <w:szCs w:val="20"/>
                <w:color w:val="auto"/>
              </w:rPr>
            </w:pPr>
            <w:r>
              <w:rPr>
                <w:rFonts w:ascii="Arial" w:cs="Arial" w:eastAsia="Arial" w:hAnsi="Arial"/>
                <w:sz w:val="18"/>
                <w:szCs w:val="18"/>
                <w:color w:val="auto"/>
              </w:rPr>
              <w:t>Stock and incentive plan compensation</w:t>
            </w:r>
          </w:p>
        </w:tc>
        <w:tc>
          <w:tcPr>
            <w:tcW w:w="320" w:type="dxa"/>
            <w:vAlign w:val="bottom"/>
          </w:tcPr>
          <w:p>
            <w:pPr>
              <w:spacing w:after="0"/>
              <w:rPr>
                <w:sz w:val="20"/>
                <w:szCs w:val="20"/>
                <w:color w:val="auto"/>
              </w:rPr>
            </w:pPr>
          </w:p>
        </w:tc>
        <w:tc>
          <w:tcPr>
            <w:tcW w:w="1020" w:type="dxa"/>
            <w:vAlign w:val="bottom"/>
          </w:tcPr>
          <w:p>
            <w:pPr>
              <w:jc w:val="right"/>
              <w:ind w:right="254"/>
              <w:spacing w:after="0"/>
              <w:rPr>
                <w:sz w:val="20"/>
                <w:szCs w:val="20"/>
                <w:color w:val="auto"/>
              </w:rPr>
            </w:pPr>
            <w:r>
              <w:rPr>
                <w:rFonts w:ascii="Arial" w:cs="Arial" w:eastAsia="Arial" w:hAnsi="Arial"/>
                <w:sz w:val="18"/>
                <w:szCs w:val="18"/>
                <w:color w:val="auto"/>
              </w:rPr>
              <w:t>3,423</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00" w:type="dxa"/>
            <w:vAlign w:val="bottom"/>
          </w:tcPr>
          <w:p>
            <w:pPr>
              <w:jc w:val="right"/>
              <w:ind w:right="252"/>
              <w:spacing w:after="0"/>
              <w:rPr>
                <w:sz w:val="20"/>
                <w:szCs w:val="20"/>
                <w:color w:val="auto"/>
              </w:rPr>
            </w:pPr>
            <w:r>
              <w:rPr>
                <w:rFonts w:ascii="Arial" w:cs="Arial" w:eastAsia="Arial" w:hAnsi="Arial"/>
                <w:sz w:val="18"/>
                <w:szCs w:val="18"/>
                <w:color w:val="auto"/>
              </w:rPr>
              <w:t>2,639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54"/>
              <w:spacing w:after="0"/>
              <w:rPr>
                <w:sz w:val="20"/>
                <w:szCs w:val="20"/>
                <w:color w:val="auto"/>
              </w:rPr>
            </w:pPr>
            <w:r>
              <w:rPr>
                <w:rFonts w:ascii="Arial" w:cs="Arial" w:eastAsia="Arial" w:hAnsi="Arial"/>
                <w:sz w:val="18"/>
                <w:szCs w:val="18"/>
                <w:color w:val="auto"/>
              </w:rPr>
              <w:t>9,580</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00" w:type="dxa"/>
            <w:vAlign w:val="bottom"/>
          </w:tcPr>
          <w:p>
            <w:pPr>
              <w:jc w:val="right"/>
              <w:ind w:right="252"/>
              <w:spacing w:after="0"/>
              <w:rPr>
                <w:sz w:val="20"/>
                <w:szCs w:val="20"/>
                <w:color w:val="auto"/>
              </w:rPr>
            </w:pPr>
            <w:r>
              <w:rPr>
                <w:rFonts w:ascii="Arial" w:cs="Arial" w:eastAsia="Arial" w:hAnsi="Arial"/>
                <w:sz w:val="18"/>
                <w:szCs w:val="18"/>
                <w:color w:val="auto"/>
              </w:rPr>
              <w:t>7,015</w:t>
            </w:r>
          </w:p>
        </w:tc>
      </w:tr>
      <w:tr>
        <w:trPr>
          <w:trHeight w:val="27"/>
        </w:trPr>
        <w:tc>
          <w:tcPr>
            <w:tcW w:w="4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4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of acquired intangible assets</w:t>
            </w: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54"/>
              <w:spacing w:after="0"/>
              <w:rPr>
                <w:sz w:val="20"/>
                <w:szCs w:val="20"/>
                <w:color w:val="auto"/>
              </w:rPr>
            </w:pPr>
            <w:r>
              <w:rPr>
                <w:rFonts w:ascii="Arial" w:cs="Arial" w:eastAsia="Arial" w:hAnsi="Arial"/>
                <w:sz w:val="18"/>
                <w:szCs w:val="18"/>
                <w:color w:val="auto"/>
              </w:rPr>
              <w:t>451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color w:val="auto"/>
              </w:rPr>
              <w:t>689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54"/>
              <w:spacing w:after="0"/>
              <w:rPr>
                <w:sz w:val="20"/>
                <w:szCs w:val="20"/>
                <w:color w:val="auto"/>
              </w:rPr>
            </w:pPr>
            <w:r>
              <w:rPr>
                <w:rFonts w:ascii="Arial" w:cs="Arial" w:eastAsia="Arial" w:hAnsi="Arial"/>
                <w:sz w:val="18"/>
                <w:szCs w:val="18"/>
                <w:color w:val="auto"/>
              </w:rPr>
              <w:t>1,353</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color w:val="auto"/>
              </w:rPr>
              <w:t>2,067</w:t>
            </w:r>
          </w:p>
        </w:tc>
      </w:tr>
      <w:tr>
        <w:trPr>
          <w:trHeight w:val="243"/>
        </w:trPr>
        <w:tc>
          <w:tcPr>
            <w:tcW w:w="4220" w:type="dxa"/>
            <w:vAlign w:val="bottom"/>
          </w:tcPr>
          <w:p>
            <w:pPr>
              <w:ind w:left="260"/>
              <w:spacing w:after="0"/>
              <w:rPr>
                <w:sz w:val="20"/>
                <w:szCs w:val="20"/>
                <w:color w:val="auto"/>
              </w:rPr>
            </w:pPr>
            <w:r>
              <w:rPr>
                <w:rFonts w:ascii="Arial" w:cs="Arial" w:eastAsia="Arial" w:hAnsi="Arial"/>
                <w:sz w:val="18"/>
                <w:szCs w:val="18"/>
                <w:color w:val="auto"/>
              </w:rPr>
              <w:t>Campus consolidation costs</w:t>
            </w:r>
          </w:p>
        </w:tc>
        <w:tc>
          <w:tcPr>
            <w:tcW w:w="320" w:type="dxa"/>
            <w:vAlign w:val="bottom"/>
          </w:tcPr>
          <w:p>
            <w:pPr>
              <w:spacing w:after="0"/>
              <w:rPr>
                <w:sz w:val="21"/>
                <w:szCs w:val="21"/>
                <w:color w:val="auto"/>
              </w:rPr>
            </w:pPr>
          </w:p>
        </w:tc>
        <w:tc>
          <w:tcPr>
            <w:tcW w:w="11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900" w:type="dxa"/>
            <w:vAlign w:val="bottom"/>
          </w:tcPr>
          <w:p>
            <w:pPr>
              <w:jc w:val="right"/>
              <w:ind w:right="252"/>
              <w:spacing w:after="0"/>
              <w:rPr>
                <w:sz w:val="20"/>
                <w:szCs w:val="20"/>
                <w:color w:val="auto"/>
              </w:rPr>
            </w:pPr>
            <w:r>
              <w:rPr>
                <w:rFonts w:ascii="Arial" w:cs="Arial" w:eastAsia="Arial" w:hAnsi="Arial"/>
                <w:sz w:val="18"/>
                <w:szCs w:val="18"/>
                <w:color w:val="auto"/>
              </w:rPr>
              <w:t>84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900" w:type="dxa"/>
            <w:vAlign w:val="bottom"/>
          </w:tcPr>
          <w:p>
            <w:pPr>
              <w:jc w:val="right"/>
              <w:ind w:right="252"/>
              <w:spacing w:after="0"/>
              <w:rPr>
                <w:sz w:val="20"/>
                <w:szCs w:val="20"/>
                <w:color w:val="auto"/>
              </w:rPr>
            </w:pPr>
            <w:r>
              <w:rPr>
                <w:rFonts w:ascii="Arial" w:cs="Arial" w:eastAsia="Arial" w:hAnsi="Arial"/>
                <w:sz w:val="18"/>
                <w:szCs w:val="18"/>
                <w:color w:val="auto"/>
              </w:rPr>
              <w:t>1,154</w:t>
            </w:r>
          </w:p>
        </w:tc>
      </w:tr>
      <w:tr>
        <w:trPr>
          <w:trHeight w:val="27"/>
        </w:trPr>
        <w:tc>
          <w:tcPr>
            <w:tcW w:w="4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4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Extinguishment of debt</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54"/>
              <w:spacing w:after="0"/>
              <w:rPr>
                <w:sz w:val="20"/>
                <w:szCs w:val="20"/>
                <w:color w:val="auto"/>
              </w:rPr>
            </w:pPr>
            <w:r>
              <w:rPr>
                <w:rFonts w:ascii="Arial" w:cs="Arial" w:eastAsia="Arial" w:hAnsi="Arial"/>
                <w:sz w:val="18"/>
                <w:szCs w:val="18"/>
                <w:color w:val="auto"/>
              </w:rPr>
              <w:t>3,196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color w:val="auto"/>
              </w:rPr>
              <w:t>—</w:t>
            </w:r>
          </w:p>
        </w:tc>
      </w:tr>
      <w:tr>
        <w:trPr>
          <w:trHeight w:val="243"/>
        </w:trPr>
        <w:tc>
          <w:tcPr>
            <w:tcW w:w="4220" w:type="dxa"/>
            <w:vAlign w:val="bottom"/>
          </w:tcPr>
          <w:p>
            <w:pPr>
              <w:ind w:left="260"/>
              <w:spacing w:after="0"/>
              <w:rPr>
                <w:sz w:val="20"/>
                <w:szCs w:val="20"/>
                <w:color w:val="auto"/>
              </w:rPr>
            </w:pPr>
            <w:r>
              <w:rPr>
                <w:rFonts w:ascii="Arial" w:cs="Arial" w:eastAsia="Arial" w:hAnsi="Arial"/>
                <w:sz w:val="18"/>
                <w:szCs w:val="18"/>
                <w:color w:val="auto"/>
              </w:rPr>
              <w:t>Strategic collaboration and license costs</w:t>
            </w:r>
          </w:p>
        </w:tc>
        <w:tc>
          <w:tcPr>
            <w:tcW w:w="320" w:type="dxa"/>
            <w:vAlign w:val="bottom"/>
          </w:tcPr>
          <w:p>
            <w:pPr>
              <w:spacing w:after="0"/>
              <w:rPr>
                <w:sz w:val="21"/>
                <w:szCs w:val="21"/>
                <w:color w:val="auto"/>
              </w:rPr>
            </w:pPr>
          </w:p>
        </w:tc>
        <w:tc>
          <w:tcPr>
            <w:tcW w:w="11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10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254"/>
              <w:spacing w:after="0"/>
              <w:rPr>
                <w:sz w:val="20"/>
                <w:szCs w:val="20"/>
                <w:color w:val="auto"/>
              </w:rPr>
            </w:pPr>
            <w:r>
              <w:rPr>
                <w:rFonts w:ascii="Arial" w:cs="Arial" w:eastAsia="Arial" w:hAnsi="Arial"/>
                <w:sz w:val="18"/>
                <w:szCs w:val="18"/>
                <w:color w:val="auto"/>
              </w:rPr>
              <w:t>300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00" w:type="dxa"/>
            <w:vAlign w:val="bottom"/>
          </w:tcPr>
          <w:p>
            <w:pPr>
              <w:jc w:val="right"/>
              <w:ind w:right="252"/>
              <w:spacing w:after="0"/>
              <w:rPr>
                <w:sz w:val="20"/>
                <w:szCs w:val="20"/>
                <w:color w:val="auto"/>
              </w:rPr>
            </w:pPr>
            <w:r>
              <w:rPr>
                <w:rFonts w:ascii="Arial" w:cs="Arial" w:eastAsia="Arial" w:hAnsi="Arial"/>
                <w:sz w:val="18"/>
                <w:szCs w:val="18"/>
                <w:color w:val="auto"/>
              </w:rPr>
              <w:t>—</w:t>
            </w:r>
          </w:p>
        </w:tc>
      </w:tr>
      <w:tr>
        <w:trPr>
          <w:trHeight w:val="27"/>
        </w:trPr>
        <w:tc>
          <w:tcPr>
            <w:tcW w:w="4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4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Acquisition-related costs</w:t>
            </w: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54"/>
              <w:spacing w:after="0"/>
              <w:rPr>
                <w:sz w:val="20"/>
                <w:szCs w:val="20"/>
                <w:color w:val="auto"/>
              </w:rPr>
            </w:pPr>
            <w:r>
              <w:rPr>
                <w:rFonts w:ascii="Arial" w:cs="Arial" w:eastAsia="Arial" w:hAnsi="Arial"/>
                <w:sz w:val="18"/>
                <w:szCs w:val="18"/>
                <w:color w:val="auto"/>
              </w:rPr>
              <w:t>5,176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54"/>
              <w:spacing w:after="0"/>
              <w:rPr>
                <w:sz w:val="20"/>
                <w:szCs w:val="20"/>
                <w:color w:val="auto"/>
              </w:rPr>
            </w:pPr>
            <w:r>
              <w:rPr>
                <w:rFonts w:ascii="Arial" w:cs="Arial" w:eastAsia="Arial" w:hAnsi="Arial"/>
                <w:sz w:val="18"/>
                <w:szCs w:val="18"/>
                <w:color w:val="auto"/>
              </w:rPr>
              <w:t>5,176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color w:val="auto"/>
              </w:rPr>
              <w:t>—</w:t>
            </w:r>
          </w:p>
        </w:tc>
      </w:tr>
      <w:tr>
        <w:trPr>
          <w:trHeight w:val="270"/>
        </w:trPr>
        <w:tc>
          <w:tcPr>
            <w:tcW w:w="422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5"/>
                <w:szCs w:val="25"/>
                <w:color w:val="auto"/>
                <w:vertAlign w:val="superscript"/>
              </w:rPr>
              <w:t>(a)</w:t>
            </w:r>
          </w:p>
        </w:tc>
        <w:tc>
          <w:tcPr>
            <w:tcW w:w="32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94"/>
              <w:spacing w:after="0"/>
              <w:rPr>
                <w:sz w:val="20"/>
                <w:szCs w:val="20"/>
                <w:color w:val="auto"/>
              </w:rPr>
            </w:pPr>
            <w:r>
              <w:rPr>
                <w:rFonts w:ascii="Arial" w:cs="Arial" w:eastAsia="Arial" w:hAnsi="Arial"/>
                <w:sz w:val="18"/>
                <w:szCs w:val="18"/>
                <w:color w:val="auto"/>
              </w:rPr>
              <w:t>(2,653)</w:t>
            </w:r>
          </w:p>
        </w:tc>
        <w:tc>
          <w:tcPr>
            <w:tcW w:w="100" w:type="dxa"/>
            <w:vAlign w:val="bottom"/>
            <w:tcBorders>
              <w:bottom w:val="single" w:sz="8" w:color="CCEEFF"/>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92"/>
              <w:spacing w:after="0"/>
              <w:rPr>
                <w:sz w:val="20"/>
                <w:szCs w:val="20"/>
                <w:color w:val="auto"/>
              </w:rPr>
            </w:pPr>
            <w:r>
              <w:rPr>
                <w:rFonts w:ascii="Arial" w:cs="Arial" w:eastAsia="Arial" w:hAnsi="Arial"/>
                <w:sz w:val="18"/>
                <w:szCs w:val="18"/>
                <w:color w:val="auto"/>
              </w:rPr>
              <w:t>(1,153)</w:t>
            </w:r>
          </w:p>
        </w:tc>
        <w:tc>
          <w:tcPr>
            <w:tcW w:w="100" w:type="dxa"/>
            <w:vAlign w:val="bottom"/>
            <w:tcBorders>
              <w:bottom w:val="single" w:sz="8" w:color="CCEEFF"/>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94"/>
              <w:spacing w:after="0"/>
              <w:rPr>
                <w:sz w:val="20"/>
                <w:szCs w:val="20"/>
                <w:color w:val="auto"/>
              </w:rPr>
            </w:pPr>
            <w:r>
              <w:rPr>
                <w:rFonts w:ascii="Arial" w:cs="Arial" w:eastAsia="Arial" w:hAnsi="Arial"/>
                <w:sz w:val="18"/>
                <w:szCs w:val="18"/>
                <w:color w:val="auto"/>
              </w:rPr>
              <w:t>(7,449)</w:t>
            </w:r>
          </w:p>
        </w:tc>
        <w:tc>
          <w:tcPr>
            <w:tcW w:w="100" w:type="dxa"/>
            <w:vAlign w:val="bottom"/>
            <w:tcBorders>
              <w:bottom w:val="single" w:sz="8" w:color="CCEEFF"/>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92"/>
              <w:spacing w:after="0"/>
              <w:rPr>
                <w:sz w:val="20"/>
                <w:szCs w:val="20"/>
                <w:color w:val="auto"/>
              </w:rPr>
            </w:pPr>
            <w:r>
              <w:rPr>
                <w:rFonts w:ascii="Arial" w:cs="Arial" w:eastAsia="Arial" w:hAnsi="Arial"/>
                <w:sz w:val="18"/>
                <w:szCs w:val="18"/>
                <w:color w:val="auto"/>
              </w:rPr>
              <w:t>(4,003)</w:t>
            </w:r>
          </w:p>
        </w:tc>
      </w:tr>
      <w:tr>
        <w:trPr>
          <w:trHeight w:val="257"/>
        </w:trPr>
        <w:tc>
          <w:tcPr>
            <w:tcW w:w="4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net income</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254"/>
              <w:spacing w:after="0"/>
              <w:rPr>
                <w:sz w:val="20"/>
                <w:szCs w:val="20"/>
                <w:color w:val="auto"/>
              </w:rPr>
            </w:pPr>
            <w:r>
              <w:rPr>
                <w:rFonts w:ascii="Arial" w:cs="Arial" w:eastAsia="Arial" w:hAnsi="Arial"/>
                <w:sz w:val="18"/>
                <w:szCs w:val="18"/>
                <w:color w:val="auto"/>
              </w:rPr>
              <w:t>11,253</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252"/>
              <w:spacing w:after="0"/>
              <w:rPr>
                <w:sz w:val="20"/>
                <w:szCs w:val="20"/>
                <w:color w:val="auto"/>
              </w:rPr>
            </w:pPr>
            <w:r>
              <w:rPr>
                <w:rFonts w:ascii="Arial" w:cs="Arial" w:eastAsia="Arial" w:hAnsi="Arial"/>
                <w:sz w:val="18"/>
                <w:szCs w:val="18"/>
                <w:color w:val="auto"/>
                <w:w w:val="98"/>
              </w:rPr>
              <w:t>11,528</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254"/>
              <w:spacing w:after="0"/>
              <w:rPr>
                <w:sz w:val="20"/>
                <w:szCs w:val="20"/>
                <w:color w:val="auto"/>
              </w:rPr>
            </w:pPr>
            <w:r>
              <w:rPr>
                <w:rFonts w:ascii="Arial" w:cs="Arial" w:eastAsia="Arial" w:hAnsi="Arial"/>
                <w:sz w:val="18"/>
                <w:szCs w:val="18"/>
                <w:color w:val="auto"/>
              </w:rPr>
              <w:t>33,373</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252"/>
              <w:spacing w:after="0"/>
              <w:rPr>
                <w:sz w:val="20"/>
                <w:szCs w:val="20"/>
                <w:color w:val="auto"/>
              </w:rPr>
            </w:pPr>
            <w:r>
              <w:rPr>
                <w:rFonts w:ascii="Arial" w:cs="Arial" w:eastAsia="Arial" w:hAnsi="Arial"/>
                <w:sz w:val="18"/>
                <w:szCs w:val="18"/>
                <w:color w:val="auto"/>
                <w:w w:val="98"/>
              </w:rPr>
              <w:t>33,458</w:t>
            </w:r>
          </w:p>
        </w:tc>
      </w:tr>
      <w:tr>
        <w:trPr>
          <w:trHeight w:val="20"/>
        </w:trPr>
        <w:tc>
          <w:tcPr>
            <w:tcW w:w="4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251"/>
        </w:trPr>
        <w:tc>
          <w:tcPr>
            <w:tcW w:w="4220" w:type="dxa"/>
            <w:vAlign w:val="bottom"/>
          </w:tcPr>
          <w:p>
            <w:pPr>
              <w:ind w:left="20"/>
              <w:spacing w:after="0"/>
              <w:rPr>
                <w:sz w:val="20"/>
                <w:szCs w:val="20"/>
                <w:color w:val="auto"/>
              </w:rPr>
            </w:pPr>
            <w:r>
              <w:rPr>
                <w:rFonts w:ascii="Arial" w:cs="Arial" w:eastAsia="Arial" w:hAnsi="Arial"/>
                <w:sz w:val="18"/>
                <w:szCs w:val="18"/>
                <w:color w:val="auto"/>
              </w:rPr>
              <w:t>Adjusted net income, as a percentage of revenues</w:t>
            </w:r>
          </w:p>
        </w:tc>
        <w:tc>
          <w:tcPr>
            <w:tcW w:w="32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94"/>
              <w:spacing w:after="0"/>
              <w:rPr>
                <w:sz w:val="20"/>
                <w:szCs w:val="20"/>
                <w:color w:val="auto"/>
              </w:rPr>
            </w:pPr>
            <w:r>
              <w:rPr>
                <w:rFonts w:ascii="Arial" w:cs="Arial" w:eastAsia="Arial" w:hAnsi="Arial"/>
                <w:sz w:val="18"/>
                <w:szCs w:val="18"/>
                <w:color w:val="auto"/>
              </w:rPr>
              <w:t>13.1%</w:t>
            </w:r>
          </w:p>
        </w:tc>
        <w:tc>
          <w:tcPr>
            <w:tcW w:w="100" w:type="dxa"/>
            <w:vAlign w:val="bottom"/>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92"/>
              <w:spacing w:after="0"/>
              <w:rPr>
                <w:sz w:val="20"/>
                <w:szCs w:val="20"/>
                <w:color w:val="auto"/>
              </w:rPr>
            </w:pPr>
            <w:r>
              <w:rPr>
                <w:rFonts w:ascii="Arial" w:cs="Arial" w:eastAsia="Arial" w:hAnsi="Arial"/>
                <w:sz w:val="18"/>
                <w:szCs w:val="18"/>
                <w:color w:val="auto"/>
              </w:rPr>
              <w:t>13.0%</w:t>
            </w:r>
          </w:p>
        </w:tc>
        <w:tc>
          <w:tcPr>
            <w:tcW w:w="10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ind w:right="94"/>
              <w:spacing w:after="0"/>
              <w:rPr>
                <w:sz w:val="20"/>
                <w:szCs w:val="20"/>
                <w:color w:val="auto"/>
              </w:rPr>
            </w:pPr>
            <w:r>
              <w:rPr>
                <w:rFonts w:ascii="Arial" w:cs="Arial" w:eastAsia="Arial" w:hAnsi="Arial"/>
                <w:sz w:val="18"/>
                <w:szCs w:val="18"/>
                <w:color w:val="auto"/>
              </w:rPr>
              <w:t>12.9%</w:t>
            </w:r>
          </w:p>
        </w:tc>
        <w:tc>
          <w:tcPr>
            <w:tcW w:w="100" w:type="dxa"/>
            <w:vAlign w:val="bottom"/>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12"/>
              <w:spacing w:after="0"/>
              <w:rPr>
                <w:sz w:val="20"/>
                <w:szCs w:val="20"/>
                <w:color w:val="auto"/>
              </w:rPr>
            </w:pPr>
            <w:r>
              <w:rPr>
                <w:rFonts w:ascii="Arial" w:cs="Arial" w:eastAsia="Arial" w:hAnsi="Arial"/>
                <w:sz w:val="18"/>
                <w:szCs w:val="18"/>
                <w:color w:val="auto"/>
              </w:rPr>
              <w:t>13.0%</w:t>
            </w:r>
          </w:p>
        </w:tc>
      </w:tr>
      <w:tr>
        <w:trPr>
          <w:trHeight w:val="20"/>
        </w:trPr>
        <w:tc>
          <w:tcPr>
            <w:tcW w:w="4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64" w:type="dxa"/>
        <w:tblCellMar>
          <w:top w:w="0" w:type="dxa"/>
          <w:left w:w="0" w:type="dxa"/>
          <w:bottom w:w="0" w:type="dxa"/>
          <w:right w:w="0" w:type="dxa"/>
        </w:tblCellMar>
      </w:tblPr>
      <w:tr>
        <w:trPr>
          <w:trHeight w:val="161"/>
        </w:trPr>
        <w:tc>
          <w:tcPr>
            <w:tcW w:w="48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60" w:type="dxa"/>
            <w:vAlign w:val="bottom"/>
            <w:gridSpan w:val="5"/>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2260" w:type="dxa"/>
            <w:vAlign w:val="bottom"/>
            <w:gridSpan w:val="4"/>
          </w:tcPr>
          <w:p>
            <w:pPr>
              <w:jc w:val="right"/>
              <w:ind w:right="572"/>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8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16"/>
                <w:szCs w:val="16"/>
                <w:color w:val="auto"/>
              </w:rPr>
            </w:pPr>
          </w:p>
        </w:tc>
      </w:tr>
      <w:tr>
        <w:trPr>
          <w:trHeight w:val="264"/>
        </w:trPr>
        <w:tc>
          <w:tcPr>
            <w:tcW w:w="48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w w:val="96"/>
              </w:rPr>
              <w:t>2018</w:t>
            </w:r>
          </w:p>
        </w:tc>
      </w:tr>
      <w:tr>
        <w:trPr>
          <w:trHeight w:val="263"/>
        </w:trPr>
        <w:tc>
          <w:tcPr>
            <w:tcW w:w="4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per share - diluted</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0.12</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0.24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0.53</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0.69</w:t>
            </w:r>
          </w:p>
        </w:tc>
      </w:tr>
      <w:tr>
        <w:trPr>
          <w:trHeight w:val="20"/>
        </w:trPr>
        <w:tc>
          <w:tcPr>
            <w:tcW w:w="4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30"/>
        </w:trPr>
        <w:tc>
          <w:tcPr>
            <w:tcW w:w="4820" w:type="dxa"/>
            <w:vAlign w:val="bottom"/>
          </w:tcPr>
          <w:p>
            <w:pPr>
              <w:ind w:left="260"/>
              <w:spacing w:after="0"/>
              <w:rPr>
                <w:sz w:val="20"/>
                <w:szCs w:val="20"/>
                <w:color w:val="auto"/>
              </w:rPr>
            </w:pPr>
            <w:r>
              <w:rPr>
                <w:rFonts w:ascii="Arial" w:cs="Arial" w:eastAsia="Arial" w:hAnsi="Arial"/>
                <w:sz w:val="18"/>
                <w:szCs w:val="18"/>
                <w:color w:val="auto"/>
              </w:rPr>
              <w:t>Stock and incentive plan compensation</w:t>
            </w:r>
          </w:p>
        </w:tc>
        <w:tc>
          <w:tcPr>
            <w:tcW w:w="280" w:type="dxa"/>
            <w:vAlign w:val="bottom"/>
          </w:tcPr>
          <w:p>
            <w:pPr>
              <w:spacing w:after="0"/>
              <w:rPr>
                <w:sz w:val="20"/>
                <w:szCs w:val="20"/>
                <w:color w:val="auto"/>
              </w:rPr>
            </w:pPr>
          </w:p>
        </w:tc>
        <w:tc>
          <w:tcPr>
            <w:tcW w:w="920" w:type="dxa"/>
            <w:vAlign w:val="bottom"/>
          </w:tcPr>
          <w:p>
            <w:pPr>
              <w:jc w:val="right"/>
              <w:ind w:right="14"/>
              <w:spacing w:after="0"/>
              <w:rPr>
                <w:sz w:val="20"/>
                <w:szCs w:val="20"/>
                <w:color w:val="auto"/>
              </w:rPr>
            </w:pPr>
            <w:r>
              <w:rPr>
                <w:rFonts w:ascii="Arial" w:cs="Arial" w:eastAsia="Arial" w:hAnsi="Arial"/>
                <w:sz w:val="18"/>
                <w:szCs w:val="18"/>
                <w:color w:val="auto"/>
              </w:rPr>
              <w:t>0.08</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0" w:type="dxa"/>
            <w:vAlign w:val="bottom"/>
          </w:tcPr>
          <w:p>
            <w:pPr>
              <w:jc w:val="right"/>
              <w:ind w:right="32"/>
              <w:spacing w:after="0"/>
              <w:rPr>
                <w:sz w:val="20"/>
                <w:szCs w:val="20"/>
                <w:color w:val="auto"/>
              </w:rPr>
            </w:pPr>
            <w:r>
              <w:rPr>
                <w:rFonts w:ascii="Arial" w:cs="Arial" w:eastAsia="Arial" w:hAnsi="Arial"/>
                <w:sz w:val="18"/>
                <w:szCs w:val="18"/>
                <w:color w:val="auto"/>
              </w:rPr>
              <w:t>0.06</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0.24</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0.17</w:t>
            </w:r>
          </w:p>
        </w:tc>
      </w:tr>
      <w:tr>
        <w:trPr>
          <w:trHeight w:val="27"/>
        </w:trPr>
        <w:tc>
          <w:tcPr>
            <w:tcW w:w="4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of acquired intangible assets</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0.01</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0.06</w:t>
            </w:r>
          </w:p>
        </w:tc>
      </w:tr>
      <w:tr>
        <w:trPr>
          <w:trHeight w:val="243"/>
        </w:trPr>
        <w:tc>
          <w:tcPr>
            <w:tcW w:w="4820" w:type="dxa"/>
            <w:vAlign w:val="bottom"/>
          </w:tcPr>
          <w:p>
            <w:pPr>
              <w:ind w:left="260"/>
              <w:spacing w:after="0"/>
              <w:rPr>
                <w:sz w:val="20"/>
                <w:szCs w:val="20"/>
                <w:color w:val="auto"/>
              </w:rPr>
            </w:pPr>
            <w:r>
              <w:rPr>
                <w:rFonts w:ascii="Arial" w:cs="Arial" w:eastAsia="Arial" w:hAnsi="Arial"/>
                <w:sz w:val="18"/>
                <w:szCs w:val="18"/>
                <w:color w:val="auto"/>
              </w:rPr>
              <w:t>Campus consolidation costs</w:t>
            </w:r>
          </w:p>
        </w:tc>
        <w:tc>
          <w:tcPr>
            <w:tcW w:w="28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0.03</w:t>
            </w:r>
          </w:p>
        </w:tc>
      </w:tr>
      <w:tr>
        <w:trPr>
          <w:trHeight w:val="27"/>
        </w:trPr>
        <w:tc>
          <w:tcPr>
            <w:tcW w:w="4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Extinguishment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0.08</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4820" w:type="dxa"/>
            <w:vAlign w:val="bottom"/>
          </w:tcPr>
          <w:p>
            <w:pPr>
              <w:ind w:left="260"/>
              <w:spacing w:after="0"/>
              <w:rPr>
                <w:sz w:val="20"/>
                <w:szCs w:val="20"/>
                <w:color w:val="auto"/>
              </w:rPr>
            </w:pPr>
            <w:r>
              <w:rPr>
                <w:rFonts w:ascii="Arial" w:cs="Arial" w:eastAsia="Arial" w:hAnsi="Arial"/>
                <w:sz w:val="18"/>
                <w:szCs w:val="18"/>
                <w:color w:val="auto"/>
              </w:rPr>
              <w:t>Strategic collaboration and license costs</w:t>
            </w:r>
          </w:p>
        </w:tc>
        <w:tc>
          <w:tcPr>
            <w:tcW w:w="28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4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Acquisition-related costs</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0.13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70"/>
        </w:trPr>
        <w:tc>
          <w:tcPr>
            <w:tcW w:w="482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5"/>
                <w:szCs w:val="25"/>
                <w:color w:val="auto"/>
                <w:vertAlign w:val="superscript"/>
              </w:rPr>
              <w:t>(a)</w:t>
            </w:r>
          </w:p>
        </w:tc>
        <w:tc>
          <w:tcPr>
            <w:tcW w:w="28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(0.06)</w:t>
            </w:r>
          </w:p>
        </w:tc>
        <w:tc>
          <w:tcPr>
            <w:tcW w:w="120" w:type="dxa"/>
            <w:vAlign w:val="bottom"/>
            <w:tcBorders>
              <w:bottom w:val="single" w:sz="8" w:color="CCEEFF"/>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(0.18)</w:t>
            </w:r>
          </w:p>
        </w:tc>
        <w:tc>
          <w:tcPr>
            <w:tcW w:w="100" w:type="dxa"/>
            <w:vAlign w:val="bottom"/>
            <w:tcBorders>
              <w:bottom w:val="single" w:sz="8" w:color="CCEEFF"/>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(0.10)</w:t>
            </w:r>
          </w:p>
        </w:tc>
      </w:tr>
      <w:tr>
        <w:trPr>
          <w:trHeight w:val="257"/>
        </w:trPr>
        <w:tc>
          <w:tcPr>
            <w:tcW w:w="4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net income per share - diluted</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0.28</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0.83</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0.85</w:t>
            </w:r>
          </w:p>
        </w:tc>
      </w:tr>
      <w:tr>
        <w:trPr>
          <w:trHeight w:val="20"/>
        </w:trPr>
        <w:tc>
          <w:tcPr>
            <w:tcW w:w="4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51"/>
        </w:trPr>
        <w:tc>
          <w:tcPr>
            <w:tcW w:w="4820" w:type="dxa"/>
            <w:vAlign w:val="bottom"/>
          </w:tcPr>
          <w:p>
            <w:pPr>
              <w:ind w:left="20"/>
              <w:spacing w:after="0"/>
              <w:rPr>
                <w:sz w:val="20"/>
                <w:szCs w:val="20"/>
                <w:color w:val="auto"/>
              </w:rPr>
            </w:pPr>
            <w:r>
              <w:rPr>
                <w:rFonts w:ascii="Arial" w:cs="Arial" w:eastAsia="Arial" w:hAnsi="Arial"/>
                <w:sz w:val="18"/>
                <w:szCs w:val="18"/>
                <w:color w:val="auto"/>
              </w:rPr>
              <w:t>Weighted-average common shares outstanding - diluted</w:t>
            </w:r>
          </w:p>
        </w:tc>
        <w:tc>
          <w:tcPr>
            <w:tcW w:w="28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40,286</w:t>
            </w:r>
          </w:p>
        </w:tc>
        <w:tc>
          <w:tcPr>
            <w:tcW w:w="120" w:type="dxa"/>
            <w:vAlign w:val="bottom"/>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39,402</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40,123</w:t>
            </w:r>
          </w:p>
        </w:tc>
        <w:tc>
          <w:tcPr>
            <w:tcW w:w="100" w:type="dxa"/>
            <w:vAlign w:val="bottom"/>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39,467</w:t>
            </w:r>
          </w:p>
        </w:tc>
      </w:tr>
      <w:tr>
        <w:trPr>
          <w:trHeight w:val="20"/>
        </w:trPr>
        <w:tc>
          <w:tcPr>
            <w:tcW w:w="4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44" w:hanging="644"/>
        <w:spacing w:after="0" w:line="277" w:lineRule="auto"/>
        <w:tabs>
          <w:tab w:leader="none" w:pos="64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income tax effect of the adjustments between GAAP net income and non-GAAP adjusted net income takes into account the tax treatment and related tax rate that apply to each adjustment in the applicable tax jurisdiction.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Page 6 of 9</w:t>
      </w:r>
    </w:p>
    <w:p>
      <w:pPr>
        <w:sectPr>
          <w:pgSz w:w="11900" w:h="16838" w:orient="portrait"/>
          <w:cols w:equalWidth="0" w:num="1">
            <w:col w:w="10124"/>
          </w:cols>
          <w:pgMar w:left="896" w:top="850" w:right="879" w:bottom="1440" w:gutter="0" w:footer="0" w:header="0"/>
        </w:sectPr>
      </w:pPr>
    </w:p>
    <w:bookmarkStart w:id="10" w:name="page11"/>
    <w:bookmarkEnd w:id="10"/>
    <w:p>
      <w:pPr>
        <w:ind w:left="414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Reconciliation of Free Cash Flow</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560" w:type="dxa"/>
            <w:vAlign w:val="bottom"/>
            <w:gridSpan w:val="5"/>
          </w:tcPr>
          <w:p>
            <w:pPr>
              <w:ind w:left="40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460" w:type="dxa"/>
            <w:vAlign w:val="bottom"/>
            <w:gridSpan w:val="4"/>
          </w:tcPr>
          <w:p>
            <w:pPr>
              <w:jc w:val="right"/>
              <w:ind w:right="694"/>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5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80" w:type="dxa"/>
            <w:vAlign w:val="bottom"/>
            <w:tcBorders>
              <w:bottom w:val="single" w:sz="8" w:color="auto"/>
            </w:tcBorders>
          </w:tcPr>
          <w:p>
            <w:pPr>
              <w:spacing w:after="0"/>
              <w:rPr>
                <w:sz w:val="16"/>
                <w:szCs w:val="16"/>
                <w:color w:val="auto"/>
              </w:rPr>
            </w:pPr>
          </w:p>
        </w:tc>
      </w:tr>
      <w:tr>
        <w:trPr>
          <w:trHeight w:val="264"/>
        </w:trPr>
        <w:tc>
          <w:tcPr>
            <w:tcW w:w="45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r>
      <w:tr>
        <w:trPr>
          <w:trHeight w:val="250"/>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26,442</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24,277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57,963</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43,887</w:t>
            </w:r>
          </w:p>
        </w:tc>
      </w:tr>
      <w:tr>
        <w:trPr>
          <w:trHeight w:val="243"/>
        </w:trPr>
        <w:tc>
          <w:tcPr>
            <w:tcW w:w="4500" w:type="dxa"/>
            <w:vAlign w:val="bottom"/>
          </w:tcPr>
          <w:p>
            <w:pPr>
              <w:ind w:left="40"/>
              <w:spacing w:after="0"/>
              <w:rPr>
                <w:sz w:val="20"/>
                <w:szCs w:val="20"/>
                <w:color w:val="auto"/>
              </w:rPr>
            </w:pPr>
            <w:r>
              <w:rPr>
                <w:rFonts w:ascii="Arial" w:cs="Arial" w:eastAsia="Arial" w:hAnsi="Arial"/>
                <w:sz w:val="18"/>
                <w:szCs w:val="18"/>
                <w:color w:val="auto"/>
              </w:rPr>
              <w:t>Capital expenditures</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(3,336)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(5,005)</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(17,320)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(12,766)</w:t>
            </w:r>
          </w:p>
        </w:tc>
      </w:tr>
      <w:tr>
        <w:trPr>
          <w:trHeight w:val="27"/>
        </w:trPr>
        <w:tc>
          <w:tcPr>
            <w:tcW w:w="45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57"/>
        </w:trPr>
        <w:tc>
          <w:tcPr>
            <w:tcW w:w="4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Free cash flow</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23,106</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19,272</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40,643</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31,121</w:t>
            </w:r>
          </w:p>
        </w:tc>
      </w:tr>
      <w:tr>
        <w:trPr>
          <w:trHeight w:val="20"/>
        </w:trPr>
        <w:tc>
          <w:tcPr>
            <w:tcW w:w="45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7 of 9</w:t>
      </w:r>
    </w:p>
    <w:p>
      <w:pPr>
        <w:sectPr>
          <w:pgSz w:w="11900" w:h="16838" w:orient="portrait"/>
          <w:cols w:equalWidth="0" w:num="1">
            <w:col w:w="10120"/>
          </w:cols>
          <w:pgMar w:left="900" w:top="850" w:right="879" w:bottom="1440" w:gutter="0" w:footer="0" w:header="0"/>
        </w:sectPr>
      </w:pPr>
    </w:p>
    <w:bookmarkStart w:id="11" w:name="page12"/>
    <w:bookmarkEnd w:id="11"/>
    <w:p>
      <w:pPr>
        <w:ind w:left="368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04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4"/>
                <w:szCs w:val="14"/>
                <w:color w:val="auto"/>
              </w:rPr>
            </w:pPr>
          </w:p>
        </w:tc>
        <w:tc>
          <w:tcPr>
            <w:tcW w:w="1200" w:type="dxa"/>
            <w:vAlign w:val="bottom"/>
          </w:tcPr>
          <w:p>
            <w:pPr>
              <w:jc w:val="right"/>
              <w:ind w:right="212"/>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63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78,062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113,401</w:t>
            </w:r>
          </w:p>
        </w:tc>
        <w:tc>
          <w:tcPr>
            <w:tcW w:w="0" w:type="dxa"/>
            <w:vAlign w:val="bottom"/>
          </w:tcPr>
          <w:p>
            <w:pPr>
              <w:spacing w:after="0"/>
              <w:rPr>
                <w:sz w:val="1"/>
                <w:szCs w:val="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40,632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43,753</w:t>
            </w: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Inventory</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30,596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33,019</w:t>
            </w:r>
          </w:p>
        </w:tc>
        <w:tc>
          <w:tcPr>
            <w:tcW w:w="0" w:type="dxa"/>
            <w:vAlign w:val="bottom"/>
          </w:tcPr>
          <w:p>
            <w:pPr>
              <w:spacing w:after="0"/>
              <w:rPr>
                <w:sz w:val="1"/>
                <w:szCs w:val="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Other current assets</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5,096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5,242</w:t>
            </w:r>
          </w:p>
        </w:tc>
        <w:tc>
          <w:tcPr>
            <w:tcW w:w="0" w:type="dxa"/>
            <w:vAlign w:val="bottom"/>
          </w:tcPr>
          <w:p>
            <w:pPr>
              <w:spacing w:after="0"/>
              <w:rPr>
                <w:sz w:val="1"/>
                <w:szCs w:val="1"/>
                <w:color w:val="auto"/>
              </w:rPr>
            </w:pPr>
          </w:p>
        </w:tc>
      </w:tr>
      <w:tr>
        <w:trPr>
          <w:trHeight w:val="27"/>
        </w:trPr>
        <w:tc>
          <w:tcPr>
            <w:tcW w:w="6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3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154,386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195,415</w:t>
            </w: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color w:val="auto"/>
              </w:rPr>
              <w:t>Property, plant and equipment, net</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113,531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107,888</w:t>
            </w: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Intangibles, net</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9,133</w:t>
            </w: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15,714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assets, net</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77,745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81,449</w:t>
            </w: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color w:val="auto"/>
              </w:rPr>
              <w:t>Other long-term assets</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33,247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30,232</w:t>
            </w:r>
          </w:p>
        </w:tc>
        <w:tc>
          <w:tcPr>
            <w:tcW w:w="0" w:type="dxa"/>
            <w:vAlign w:val="bottom"/>
          </w:tcPr>
          <w:p>
            <w:pPr>
              <w:spacing w:after="0"/>
              <w:rPr>
                <w:sz w:val="1"/>
                <w:szCs w:val="1"/>
                <w:color w:val="auto"/>
              </w:rPr>
            </w:pPr>
          </w:p>
        </w:tc>
      </w:tr>
      <w:tr>
        <w:trPr>
          <w:trHeight w:val="27"/>
        </w:trPr>
        <w:tc>
          <w:tcPr>
            <w:tcW w:w="6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402,409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439,831</w:t>
            </w:r>
          </w:p>
        </w:tc>
        <w:tc>
          <w:tcPr>
            <w:tcW w:w="0" w:type="dxa"/>
            <w:vAlign w:val="bottom"/>
          </w:tcPr>
          <w:p>
            <w:pPr>
              <w:spacing w:after="0"/>
              <w:rPr>
                <w:sz w:val="1"/>
                <w:szCs w:val="1"/>
                <w:color w:val="auto"/>
              </w:rPr>
            </w:pPr>
          </w:p>
        </w:tc>
      </w:tr>
      <w:tr>
        <w:trPr>
          <w:trHeight w:val="20"/>
        </w:trPr>
        <w:tc>
          <w:tcPr>
            <w:tcW w:w="63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32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3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Current portion of long-term debt and other borrowings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10,166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Accounts payable</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17,955</w:t>
            </w:r>
          </w:p>
        </w:tc>
        <w:tc>
          <w:tcPr>
            <w:tcW w:w="0" w:type="dxa"/>
            <w:vAlign w:val="bottom"/>
          </w:tcPr>
          <w:p>
            <w:pPr>
              <w:spacing w:after="0"/>
              <w:rPr>
                <w:sz w:val="1"/>
                <w:szCs w:val="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Accrued expenses and other liabilities</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32,928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32,050</w:t>
            </w:r>
          </w:p>
        </w:tc>
        <w:tc>
          <w:tcPr>
            <w:tcW w:w="0" w:type="dxa"/>
            <w:vAlign w:val="bottom"/>
          </w:tcPr>
          <w:p>
            <w:pPr>
              <w:spacing w:after="0"/>
              <w:rPr>
                <w:sz w:val="1"/>
                <w:szCs w:val="1"/>
                <w:color w:val="auto"/>
              </w:rPr>
            </w:pPr>
          </w:p>
        </w:tc>
      </w:tr>
      <w:tr>
        <w:trPr>
          <w:trHeight w:val="27"/>
        </w:trPr>
        <w:tc>
          <w:tcPr>
            <w:tcW w:w="6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3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59,586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52,755</w:t>
            </w: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color w:val="auto"/>
              </w:rPr>
              <w:t>Asset retirement obligations</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12,560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11,572</w:t>
            </w:r>
          </w:p>
        </w:tc>
        <w:tc>
          <w:tcPr>
            <w:tcW w:w="0" w:type="dxa"/>
            <w:vAlign w:val="bottom"/>
          </w:tcPr>
          <w:p>
            <w:pPr>
              <w:spacing w:after="0"/>
              <w:rPr>
                <w:sz w:val="1"/>
                <w:szCs w:val="1"/>
                <w:color w:val="auto"/>
              </w:rPr>
            </w:pPr>
          </w:p>
        </w:tc>
      </w:tr>
      <w:tr>
        <w:trPr>
          <w:trHeight w:val="27"/>
        </w:trPr>
        <w:tc>
          <w:tcPr>
            <w:tcW w:w="6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debt, net and other borrowings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186,373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263,709</w:t>
            </w:r>
          </w:p>
        </w:tc>
        <w:tc>
          <w:tcPr>
            <w:tcW w:w="0" w:type="dxa"/>
            <w:vAlign w:val="bottom"/>
          </w:tcPr>
          <w:p>
            <w:pPr>
              <w:spacing w:after="0"/>
              <w:rPr>
                <w:sz w:val="1"/>
                <w:szCs w:val="1"/>
                <w:color w:val="auto"/>
              </w:rPr>
            </w:pP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42,724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40,793</w:t>
            </w:r>
          </w:p>
        </w:tc>
        <w:tc>
          <w:tcPr>
            <w:tcW w:w="0" w:type="dxa"/>
            <w:vAlign w:val="bottom"/>
          </w:tcPr>
          <w:p>
            <w:pPr>
              <w:spacing w:after="0"/>
              <w:rPr>
                <w:sz w:val="1"/>
                <w:szCs w:val="1"/>
                <w:color w:val="auto"/>
              </w:rPr>
            </w:pPr>
          </w:p>
        </w:tc>
      </w:tr>
      <w:tr>
        <w:trPr>
          <w:trHeight w:val="27"/>
        </w:trPr>
        <w:tc>
          <w:tcPr>
            <w:tcW w:w="6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301,243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368,829</w:t>
            </w:r>
          </w:p>
        </w:tc>
        <w:tc>
          <w:tcPr>
            <w:tcW w:w="0" w:type="dxa"/>
            <w:vAlign w:val="bottom"/>
          </w:tcPr>
          <w:p>
            <w:pPr>
              <w:spacing w:after="0"/>
              <w:rPr>
                <w:sz w:val="1"/>
                <w:szCs w:val="1"/>
                <w:color w:val="auto"/>
              </w:rPr>
            </w:pPr>
          </w:p>
        </w:tc>
      </w:tr>
      <w:tr>
        <w:trPr>
          <w:trHeight w:val="237"/>
        </w:trPr>
        <w:tc>
          <w:tcPr>
            <w:tcW w:w="6320" w:type="dxa"/>
            <w:vAlign w:val="bottom"/>
          </w:tcPr>
          <w:p>
            <w:pPr>
              <w:ind w:left="20"/>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101,166</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71,002</w:t>
            </w:r>
          </w:p>
        </w:tc>
        <w:tc>
          <w:tcPr>
            <w:tcW w:w="0" w:type="dxa"/>
            <w:vAlign w:val="bottom"/>
          </w:tcPr>
          <w:p>
            <w:pPr>
              <w:spacing w:after="0"/>
              <w:rPr>
                <w:sz w:val="1"/>
                <w:szCs w:val="1"/>
                <w:color w:val="auto"/>
              </w:rPr>
            </w:pPr>
          </w:p>
        </w:tc>
      </w:tr>
      <w:tr>
        <w:trPr>
          <w:trHeight w:val="27"/>
        </w:trPr>
        <w:tc>
          <w:tcPr>
            <w:tcW w:w="6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402,409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439,831</w:t>
            </w:r>
          </w:p>
        </w:tc>
        <w:tc>
          <w:tcPr>
            <w:tcW w:w="0" w:type="dxa"/>
            <w:vAlign w:val="bottom"/>
          </w:tcPr>
          <w:p>
            <w:pPr>
              <w:spacing w:after="0"/>
              <w:rPr>
                <w:sz w:val="1"/>
                <w:szCs w:val="1"/>
                <w:color w:val="auto"/>
              </w:rPr>
            </w:pPr>
          </w:p>
        </w:tc>
      </w:tr>
      <w:tr>
        <w:trPr>
          <w:trHeight w:val="20"/>
        </w:trPr>
        <w:tc>
          <w:tcPr>
            <w:tcW w:w="63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8 of 9</w:t>
      </w:r>
    </w:p>
    <w:p>
      <w:pPr>
        <w:sectPr>
          <w:pgSz w:w="11900" w:h="16838" w:orient="portrait"/>
          <w:cols w:equalWidth="0" w:num="1">
            <w:col w:w="9200"/>
          </w:cols>
          <w:pgMar w:left="1360" w:top="850" w:right="1339" w:bottom="1440" w:gutter="0" w:footer="0" w:header="0"/>
        </w:sectPr>
      </w:pPr>
    </w:p>
    <w:bookmarkStart w:id="12" w:name="page13"/>
    <w:bookmarkEnd w:id="12"/>
    <w:p>
      <w:pPr>
        <w:ind w:left="5580"/>
        <w:spacing w:after="0"/>
        <w:rPr>
          <w:sz w:val="20"/>
          <w:szCs w:val="20"/>
          <w:color w:val="auto"/>
        </w:rPr>
      </w:pPr>
      <w:r>
        <w:rPr>
          <w:rFonts w:ascii="Arial" w:cs="Arial" w:eastAsia="Arial" w:hAnsi="Arial"/>
          <w:sz w:val="18"/>
          <w:szCs w:val="18"/>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Director, Investor Relations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ir@lantheus.com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right"/>
        <w:ind w:right="4099"/>
        <w:spacing w:after="0"/>
        <w:rPr>
          <w:sz w:val="20"/>
          <w:szCs w:val="20"/>
          <w:color w:val="auto"/>
        </w:rPr>
      </w:pPr>
      <w:r>
        <w:rPr>
          <w:rFonts w:ascii="Arial" w:cs="Arial" w:eastAsia="Arial" w:hAnsi="Arial"/>
          <w:sz w:val="18"/>
          <w:szCs w:val="18"/>
          <w:color w:val="auto"/>
        </w:rPr>
        <w:t>Page 9 of 9</w:t>
      </w:r>
    </w:p>
    <w:sectPr>
      <w:pgSz w:w="11900" w:h="16838" w:orient="portrait"/>
      <w:cols w:equalWidth="0" w:num="1">
        <w:col w:w="10219"/>
      </w:cols>
      <w:pgMar w:left="240" w:top="10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2019-12-28T03:36:37Z</dcterms:created>
  <dcterms:modified xsi:type="dcterms:W3CDTF">2019-12-28T03:36:37Z</dcterms:modified>
</cp:coreProperties>
</file>