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629285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219075</wp:posOffset>
            </wp:positionV>
            <wp:extent cx="16033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247015</wp:posOffset>
            </wp:positionV>
            <wp:extent cx="16033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3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 May 2,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234315</wp:posOffset>
            </wp:positionV>
            <wp:extent cx="16033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5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227965</wp:posOffset>
            </wp:positionV>
            <wp:extent cx="16033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ectPr>
          <w:pgSz w:w="11900" w:h="16838" w:orient="portrait"/>
          <w:cols w:equalWidth="0" w:num="1">
            <w:col w:w="11360"/>
          </w:cols>
          <w:pgMar w:left="240" w:top="1125" w:right="29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82" w:lineRule="exact"/>
        <w:rPr>
          <w:sz w:val="24"/>
          <w:szCs w:val="24"/>
          <w:color w:val="auto"/>
        </w:rPr>
      </w:pPr>
    </w:p>
    <w:p>
      <w:pPr>
        <w:sectPr>
          <w:pgSz w:w="11900" w:h="16838" w:orient="portrait"/>
          <w:cols w:equalWidth="0" w:num="3">
            <w:col w:w="4680" w:space="720"/>
            <w:col w:w="2980" w:space="720"/>
            <w:col w:w="2260"/>
          </w:cols>
          <w:pgMar w:left="240" w:top="1125" w:right="299" w:bottom="1440" w:gutter="0" w:footer="0" w:header="0"/>
          <w:type w:val="continuous"/>
        </w:sect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spacing w:after="0" w:line="15" w:lineRule="exact"/>
        <w:rPr>
          <w:sz w:val="24"/>
          <w:szCs w:val="24"/>
          <w:color w:val="auto"/>
        </w:rPr>
      </w:pP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27"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6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1260"/>
        <w:spacing w:after="0"/>
        <w:rPr>
          <w:sz w:val="20"/>
          <w:szCs w:val="20"/>
          <w:color w:val="auto"/>
        </w:rPr>
      </w:pPr>
      <w:r>
        <w:rPr>
          <w:rFonts w:ascii="Arial" w:cs="Arial" w:eastAsia="Arial" w:hAnsi="Arial"/>
          <w:sz w:val="13"/>
          <w:szCs w:val="13"/>
          <w:b w:val="1"/>
          <w:bCs w:val="1"/>
          <w:color w:val="auto"/>
        </w:rPr>
        <w:t>Identification No.)</w:t>
      </w:r>
    </w:p>
    <w:p>
      <w:pPr>
        <w:spacing w:after="0" w:line="190" w:lineRule="exact"/>
        <w:rPr>
          <w:sz w:val="24"/>
          <w:szCs w:val="24"/>
          <w:color w:val="auto"/>
        </w:rPr>
      </w:pPr>
    </w:p>
    <w:p>
      <w:pPr>
        <w:sectPr>
          <w:pgSz w:w="11900" w:h="16838" w:orient="portrait"/>
          <w:cols w:equalWidth="0" w:num="3">
            <w:col w:w="4640" w:space="720"/>
            <w:col w:w="2900" w:space="720"/>
            <w:col w:w="2380"/>
          </w:cols>
          <w:pgMar w:left="240" w:top="1125" w:right="299" w:bottom="1440" w:gutter="0" w:footer="0" w:header="0"/>
          <w:type w:val="continuous"/>
        </w:sectPr>
      </w:pPr>
    </w:p>
    <w:p>
      <w:pPr>
        <w:ind w:left="160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01862</w:t>
      </w:r>
    </w:p>
    <w:p>
      <w:pPr>
        <w:spacing w:after="0" w:line="93" w:lineRule="exact"/>
        <w:rPr>
          <w:sz w:val="24"/>
          <w:szCs w:val="24"/>
          <w:color w:val="auto"/>
        </w:rPr>
      </w:pPr>
    </w:p>
    <w:p>
      <w:pPr>
        <w:sectPr>
          <w:pgSz w:w="11900" w:h="16838" w:orient="portrait"/>
          <w:cols w:equalWidth="0" w:num="2">
            <w:col w:w="7520" w:space="720"/>
            <w:col w:w="3120"/>
          </w:cols>
          <w:pgMar w:left="240" w:top="1125" w:right="299" w:bottom="1440" w:gutter="0" w:footer="0" w:header="0"/>
          <w:type w:val="continuous"/>
        </w:sectPr>
      </w:pPr>
    </w:p>
    <w:p>
      <w:pPr>
        <w:ind w:left="208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200" w:lineRule="exact"/>
        <w:rPr>
          <w:sz w:val="24"/>
          <w:szCs w:val="24"/>
          <w:color w:val="auto"/>
        </w:rPr>
      </w:pPr>
    </w:p>
    <w:p>
      <w:pPr>
        <w:sectPr>
          <w:pgSz w:w="11900" w:h="16838" w:orient="portrait"/>
          <w:cols w:equalWidth="0" w:num="2">
            <w:col w:w="7400" w:space="720"/>
            <w:col w:w="3240"/>
          </w:cols>
          <w:pgMar w:left="240" w:top="1125" w:right="299" w:bottom="1440" w:gutter="0" w:footer="0" w:header="0"/>
          <w:type w:val="continuous"/>
        </w:sectPr>
      </w:pP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Not Applicable</w:t>
      </w:r>
    </w:p>
    <w:p>
      <w:pPr>
        <w:spacing w:after="0" w:line="59"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246380</wp:posOffset>
            </wp:positionV>
            <wp:extent cx="16033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right="16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4"/>
          <w:szCs w:val="24"/>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 w:lineRule="exact"/>
        <w:rPr>
          <w:sz w:val="24"/>
          <w:szCs w:val="24"/>
          <w:color w:val="auto"/>
        </w:rPr>
      </w:pPr>
    </w:p>
    <w:p>
      <w:pPr>
        <w:spacing w:after="0" w:line="259"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53"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48260</wp:posOffset>
            </wp:positionH>
            <wp:positionV relativeFrom="paragraph">
              <wp:posOffset>167640</wp:posOffset>
            </wp:positionV>
            <wp:extent cx="7160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0895" cy="8890"/>
                    </a:xfrm>
                    <a:prstGeom prst="rect">
                      <a:avLst/>
                    </a:prstGeom>
                    <a:noFill/>
                  </pic:spPr>
                </pic:pic>
              </a:graphicData>
            </a:graphic>
          </wp:anchor>
        </w:drawing>
        <w:drawing>
          <wp:anchor simplePos="0" relativeHeight="251657728" behindDoc="1" locked="0" layoutInCell="0" allowOverlap="1">
            <wp:simplePos x="0" y="0"/>
            <wp:positionH relativeFrom="column">
              <wp:posOffset>48260</wp:posOffset>
            </wp:positionH>
            <wp:positionV relativeFrom="paragraph">
              <wp:posOffset>73660</wp:posOffset>
            </wp:positionV>
            <wp:extent cx="7160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0895" cy="8890"/>
                    </a:xfrm>
                    <a:prstGeom prst="rect">
                      <a:avLst/>
                    </a:prstGeom>
                    <a:noFill/>
                  </pic:spPr>
                </pic:pic>
              </a:graphicData>
            </a:graphic>
          </wp:anchor>
        </w:drawing>
      </w:r>
    </w:p>
    <w:p>
      <w:pPr>
        <w:sectPr>
          <w:pgSz w:w="11900" w:h="16838" w:orient="portrait"/>
          <w:cols w:equalWidth="0" w:num="1">
            <w:col w:w="11360"/>
          </w:cols>
          <w:pgMar w:left="240" w:top="1125" w:right="299" w:bottom="1440" w:gutter="0" w:footer="0" w:header="0"/>
          <w:type w:val="continuous"/>
        </w:sectPr>
      </w:pPr>
    </w:p>
    <w:bookmarkStart w:id="1" w:name="page2"/>
    <w:bookmarkEnd w:id="1"/>
    <w:p>
      <w:pPr>
        <w:spacing w:after="0"/>
        <w:tabs>
          <w:tab w:leader="none" w:pos="9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On May 2, 2018, Lantheus Holdings, Inc. (the “Company”) announced via press release its financial results as of and for the three months ended, March 31, 2018. A copy of that press release is being furnished as Exhibit 99.1 and is hereby incorporated by reference.</w:t>
      </w:r>
    </w:p>
    <w:p>
      <w:pPr>
        <w:spacing w:after="0" w:line="17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85"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20" w:type="dxa"/>
            <w:vAlign w:val="bottom"/>
            <w:gridSpan w:val="2"/>
          </w:tcPr>
          <w:p>
            <w:pPr>
              <w:spacing w:after="0"/>
              <w:rPr>
                <w:sz w:val="20"/>
                <w:szCs w:val="20"/>
                <w:color w:val="auto"/>
              </w:rPr>
            </w:pPr>
            <w:r>
              <w:rPr>
                <w:rFonts w:ascii="Arial" w:cs="Arial" w:eastAsia="Arial" w:hAnsi="Arial"/>
                <w:sz w:val="18"/>
                <w:szCs w:val="18"/>
                <w:color w:val="auto"/>
              </w:rPr>
              <w:t>(d) Exhibits</w:t>
            </w:r>
          </w:p>
        </w:tc>
        <w:tc>
          <w:tcPr>
            <w:tcW w:w="120" w:type="dxa"/>
            <w:vAlign w:val="bottom"/>
          </w:tcPr>
          <w:p>
            <w:pPr>
              <w:spacing w:after="0"/>
              <w:rPr>
                <w:sz w:val="20"/>
                <w:szCs w:val="20"/>
                <w:color w:val="auto"/>
              </w:rPr>
            </w:pPr>
          </w:p>
        </w:tc>
        <w:tc>
          <w:tcPr>
            <w:tcW w:w="94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78"/>
        </w:trPr>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Exhibit No.</w:t>
            </w:r>
          </w:p>
        </w:tc>
        <w:tc>
          <w:tcPr>
            <w:tcW w:w="120" w:type="dxa"/>
            <w:vAlign w:val="bottom"/>
          </w:tcPr>
          <w:p>
            <w:pPr>
              <w:spacing w:after="0"/>
              <w:rPr>
                <w:sz w:val="24"/>
                <w:szCs w:val="24"/>
                <w:color w:val="auto"/>
              </w:rPr>
            </w:pPr>
          </w:p>
        </w:tc>
        <w:tc>
          <w:tcPr>
            <w:tcW w:w="9480" w:type="dxa"/>
            <w:vAlign w:val="bottom"/>
            <w:gridSpan w:val="2"/>
          </w:tcPr>
          <w:p>
            <w:pPr>
              <w:ind w:left="434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196"/>
        </w:trPr>
        <w:tc>
          <w:tcPr>
            <w:tcW w:w="1100" w:type="dxa"/>
            <w:vAlign w:val="bottom"/>
          </w:tcPr>
          <w:p>
            <w:pPr>
              <w:jc w:val="right"/>
              <w:ind w:right="250"/>
              <w:spacing w:after="0" w:line="196" w:lineRule="exact"/>
              <w:rPr>
                <w:sz w:val="20"/>
                <w:szCs w:val="20"/>
                <w:color w:val="auto"/>
              </w:rPr>
            </w:pPr>
            <w:r>
              <w:rPr>
                <w:rFonts w:ascii="Arial" w:cs="Arial" w:eastAsia="Arial" w:hAnsi="Arial"/>
                <w:sz w:val="18"/>
                <w:szCs w:val="18"/>
                <w:color w:val="auto"/>
              </w:rPr>
              <w:t>99.1*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40" w:type="dxa"/>
            <w:vAlign w:val="bottom"/>
            <w:tcBorders>
              <w:bottom w:val="single" w:sz="8" w:color="0000FF"/>
            </w:tcBorders>
          </w:tcPr>
          <w:p>
            <w:pPr>
              <w:spacing w:after="0" w:line="196" w:lineRule="exact"/>
              <w:rPr>
                <w:sz w:val="20"/>
                <w:szCs w:val="20"/>
                <w:color w:val="auto"/>
              </w:rPr>
            </w:pPr>
            <w:r>
              <w:rPr>
                <w:rFonts w:ascii="Arial" w:cs="Arial" w:eastAsia="Arial" w:hAnsi="Arial"/>
                <w:sz w:val="18"/>
                <w:szCs w:val="18"/>
                <w:color w:val="0000FF"/>
                <w:w w:val="90"/>
              </w:rPr>
              <w:t>Press release of Lantheus Holdings, Inc. dated May 2, 2018, entitled “Lantheus Holdings, Inc. Reports 2018 First Quarter Results’’</w:t>
            </w:r>
          </w:p>
        </w:tc>
        <w:tc>
          <w:tcPr>
            <w:tcW w:w="40" w:type="dxa"/>
            <w:vAlign w:val="bottom"/>
          </w:tcPr>
          <w:p>
            <w:pPr>
              <w:spacing w:after="0"/>
              <w:rPr>
                <w:sz w:val="17"/>
                <w:szCs w:val="17"/>
                <w:color w:val="auto"/>
              </w:rPr>
            </w:pPr>
          </w:p>
        </w:tc>
      </w:tr>
    </w:tbl>
    <w:p>
      <w:pPr>
        <w:spacing w:after="0" w:line="256" w:lineRule="exact"/>
        <w:rPr>
          <w:sz w:val="20"/>
          <w:szCs w:val="20"/>
          <w:color w:val="auto"/>
        </w:rPr>
      </w:pPr>
    </w:p>
    <w:p>
      <w:pPr>
        <w:jc w:val="both"/>
        <w:ind w:left="460" w:right="140" w:hanging="438"/>
        <w:spacing w:after="0" w:line="286" w:lineRule="auto"/>
        <w:tabs>
          <w:tab w:leader="none" w:pos="460" w:val="left"/>
        </w:tabs>
        <w:numPr>
          <w:ilvl w:val="0"/>
          <w:numId w:val="2"/>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ectPr>
          <w:pgSz w:w="11900" w:h="16838" w:orient="portrait"/>
          <w:cols w:equalWidth="0" w:num="1">
            <w:col w:w="11360"/>
          </w:cols>
          <w:pgMar w:left="240" w:top="580" w:right="2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12"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LANTHEUS HOLDINGS, INC.</w:t>
      </w:r>
    </w:p>
    <w:p>
      <w:pPr>
        <w:spacing w:after="0" w:line="337" w:lineRule="exact"/>
        <w:rPr>
          <w:sz w:val="20"/>
          <w:szCs w:val="20"/>
          <w:color w:val="auto"/>
        </w:rPr>
      </w:pPr>
    </w:p>
    <w:tbl>
      <w:tblPr>
        <w:tblLayout w:type="fixed"/>
        <w:tblInd w:w="4960" w:type="dxa"/>
        <w:tblCellMar>
          <w:top w:w="0" w:type="dxa"/>
          <w:left w:w="0" w:type="dxa"/>
          <w:bottom w:w="0" w:type="dxa"/>
          <w:right w:w="0" w:type="dxa"/>
        </w:tblCellMar>
      </w:tblP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By:</w:t>
            </w:r>
          </w:p>
        </w:tc>
        <w:tc>
          <w:tcPr>
            <w:tcW w:w="5720" w:type="dxa"/>
            <w:vAlign w:val="bottom"/>
          </w:tcPr>
          <w:p>
            <w:pPr>
              <w:ind w:left="40"/>
              <w:spacing w:after="0"/>
              <w:rPr>
                <w:sz w:val="20"/>
                <w:szCs w:val="20"/>
                <w:color w:val="auto"/>
              </w:rPr>
            </w:pPr>
            <w:r>
              <w:rPr>
                <w:rFonts w:ascii="Arial" w:cs="Arial" w:eastAsia="Arial" w:hAnsi="Arial"/>
                <w:sz w:val="18"/>
                <w:szCs w:val="18"/>
                <w:color w:val="auto"/>
              </w:rPr>
              <w:t>/S/ DANIEL NIEDZWIECKI</w:t>
            </w:r>
          </w:p>
        </w:tc>
        <w:tc>
          <w:tcPr>
            <w:tcW w:w="0" w:type="dxa"/>
            <w:vAlign w:val="bottom"/>
          </w:tcPr>
          <w:p>
            <w:pPr>
              <w:spacing w:after="0"/>
              <w:rPr>
                <w:sz w:val="1"/>
                <w:szCs w:val="1"/>
                <w:color w:val="auto"/>
              </w:rPr>
            </w:pPr>
          </w:p>
        </w:tc>
      </w:tr>
      <w:tr>
        <w:trPr>
          <w:trHeight w:val="102"/>
        </w:trPr>
        <w:tc>
          <w:tcPr>
            <w:tcW w:w="74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57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3"/>
        </w:trPr>
        <w:tc>
          <w:tcPr>
            <w:tcW w:w="740" w:type="dxa"/>
            <w:vAlign w:val="bottom"/>
            <w:vMerge w:val="continue"/>
          </w:tcPr>
          <w:p>
            <w:pPr>
              <w:spacing w:after="0"/>
              <w:rPr>
                <w:sz w:val="21"/>
                <w:szCs w:val="21"/>
                <w:color w:val="auto"/>
              </w:rPr>
            </w:pPr>
          </w:p>
        </w:tc>
        <w:tc>
          <w:tcPr>
            <w:tcW w:w="5720" w:type="dxa"/>
            <w:vAlign w:val="bottom"/>
          </w:tcPr>
          <w:p>
            <w:pPr>
              <w:ind w:left="40"/>
              <w:spacing w:after="0"/>
              <w:rPr>
                <w:sz w:val="20"/>
                <w:szCs w:val="20"/>
                <w:color w:val="auto"/>
              </w:rPr>
            </w:pPr>
            <w:r>
              <w:rPr>
                <w:rFonts w:ascii="Arial" w:cs="Arial" w:eastAsia="Arial" w:hAnsi="Arial"/>
                <w:sz w:val="18"/>
                <w:szCs w:val="18"/>
                <w:color w:val="auto"/>
              </w:rPr>
              <w:t>Daniel Niedzwiecki</w:t>
            </w:r>
          </w:p>
        </w:tc>
        <w:tc>
          <w:tcPr>
            <w:tcW w:w="0" w:type="dxa"/>
            <w:vAlign w:val="bottom"/>
          </w:tcPr>
          <w:p>
            <w:pPr>
              <w:spacing w:after="0"/>
              <w:rPr>
                <w:sz w:val="1"/>
                <w:szCs w:val="1"/>
                <w:color w:val="auto"/>
              </w:rPr>
            </w:pPr>
          </w:p>
        </w:tc>
      </w:tr>
      <w:tr>
        <w:trPr>
          <w:trHeight w:val="338"/>
        </w:trPr>
        <w:tc>
          <w:tcPr>
            <w:tcW w:w="740" w:type="dxa"/>
            <w:vAlign w:val="bottom"/>
          </w:tcPr>
          <w:p>
            <w:pPr>
              <w:spacing w:after="0"/>
              <w:rPr>
                <w:sz w:val="20"/>
                <w:szCs w:val="20"/>
                <w:color w:val="auto"/>
              </w:rPr>
            </w:pPr>
            <w:r>
              <w:rPr>
                <w:rFonts w:ascii="Arial" w:cs="Arial" w:eastAsia="Arial" w:hAnsi="Arial"/>
                <w:sz w:val="18"/>
                <w:szCs w:val="18"/>
                <w:color w:val="auto"/>
              </w:rPr>
              <w:t>Title:</w:t>
            </w:r>
          </w:p>
        </w:tc>
        <w:tc>
          <w:tcPr>
            <w:tcW w:w="5720" w:type="dxa"/>
            <w:vAlign w:val="bottom"/>
          </w:tcPr>
          <w:p>
            <w:pPr>
              <w:ind w:left="40"/>
              <w:spacing w:after="0"/>
              <w:rPr>
                <w:sz w:val="20"/>
                <w:szCs w:val="20"/>
                <w:color w:val="auto"/>
              </w:rPr>
            </w:pPr>
            <w:r>
              <w:rPr>
                <w:rFonts w:ascii="Arial" w:cs="Arial" w:eastAsia="Arial" w:hAnsi="Arial"/>
                <w:sz w:val="18"/>
                <w:szCs w:val="18"/>
                <w:color w:val="auto"/>
              </w:rPr>
              <w:t>Vice President, Deputy General Counsel &amp; Assistant Secretary</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Date: May 2, 2018</w:t>
      </w:r>
    </w:p>
    <w:p>
      <w:pPr>
        <w:sectPr>
          <w:pgSz w:w="11900" w:h="16838" w:orient="portrait"/>
          <w:cols w:equalWidth="0" w:num="1">
            <w:col w:w="11420"/>
          </w:cols>
          <w:pgMar w:left="240" w:top="580" w:right="239" w:bottom="1440" w:gutter="0" w:footer="0" w:header="0"/>
        </w:sectPr>
      </w:pPr>
    </w:p>
    <w:bookmarkStart w:id="3" w:name="page4"/>
    <w:bookmarkEnd w:id="3"/>
    <w:p>
      <w:pPr>
        <w:jc w:val="center"/>
        <w:ind w:right="-197"/>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28" w:lineRule="exact"/>
        <w:rPr>
          <w:sz w:val="20"/>
          <w:szCs w:val="20"/>
          <w:color w:val="auto"/>
        </w:rPr>
      </w:pPr>
    </w:p>
    <w:p>
      <w:pPr>
        <w:ind w:left="38"/>
        <w:spacing w:after="0"/>
        <w:tabs>
          <w:tab w:leader="none" w:pos="5578"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34290</wp:posOffset>
            </wp:positionV>
            <wp:extent cx="68694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69430" cy="8890"/>
                    </a:xfrm>
                    <a:prstGeom prst="rect">
                      <a:avLst/>
                    </a:prstGeom>
                    <a:noFill/>
                  </pic:spPr>
                </pic:pic>
              </a:graphicData>
            </a:graphic>
          </wp:anchor>
        </w:drawing>
      </w:r>
    </w:p>
    <w:p>
      <w:pPr>
        <w:spacing w:after="0" w:line="61" w:lineRule="exact"/>
        <w:rPr>
          <w:sz w:val="20"/>
          <w:szCs w:val="20"/>
          <w:color w:val="auto"/>
        </w:rPr>
      </w:pPr>
    </w:p>
    <w:p>
      <w:pPr>
        <w:ind w:left="278"/>
        <w:spacing w:after="0"/>
        <w:tabs>
          <w:tab w:leader="none" w:pos="1198"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u w:val="single" w:color="auto"/>
          <w:color w:val="0000FF"/>
        </w:rPr>
        <w:t>Press release of Lantheus Holdings, Inc. dated May 2, 2018, entitled “Lantheus Holdings, Inc. Reports 2018 First Quarter Results’’</w:t>
      </w:r>
    </w:p>
    <w:p>
      <w:pPr>
        <w:spacing w:after="0" w:line="252" w:lineRule="exact"/>
        <w:rPr>
          <w:sz w:val="20"/>
          <w:szCs w:val="20"/>
          <w:color w:val="auto"/>
        </w:rPr>
      </w:pPr>
    </w:p>
    <w:p>
      <w:pPr>
        <w:jc w:val="both"/>
        <w:ind w:left="438" w:hanging="438"/>
        <w:spacing w:after="0" w:line="286" w:lineRule="auto"/>
        <w:tabs>
          <w:tab w:leader="none" w:pos="438" w:val="left"/>
        </w:tabs>
        <w:numPr>
          <w:ilvl w:val="0"/>
          <w:numId w:val="3"/>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ectPr>
          <w:pgSz w:w="11900" w:h="16838" w:orient="portrait"/>
          <w:cols w:equalWidth="0" w:num="1">
            <w:col w:w="11198"/>
          </w:cols>
          <w:pgMar w:left="262" w:top="580" w:right="439" w:bottom="1440" w:gutter="0" w:footer="0" w:header="0"/>
        </w:sectPr>
      </w:pPr>
    </w:p>
    <w:bookmarkStart w:id="4" w:name="page5"/>
    <w:bookmarkEnd w:id="4"/>
    <w:p>
      <w:pPr>
        <w:ind w:left="1048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420"/>
          </w:cols>
          <w:pgMar w:left="240" w:top="1013" w:right="239" w:bottom="1440" w:gutter="0" w:footer="0" w:header="0"/>
        </w:sectPr>
      </w:pPr>
    </w:p>
    <w:p>
      <w:pPr>
        <w:spacing w:after="0" w:line="200" w:lineRule="exact"/>
        <w:rPr>
          <w:sz w:val="20"/>
          <w:szCs w:val="20"/>
          <w:color w:val="auto"/>
        </w:rPr>
      </w:pPr>
    </w:p>
    <w:p>
      <w:pPr>
        <w:spacing w:after="0" w:line="214"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331 Treble Cove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-121920</wp:posOffset>
            </wp:positionV>
            <wp:extent cx="1749425" cy="488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49425" cy="488950"/>
                    </a:xfrm>
                    <a:prstGeom prst="rect">
                      <a:avLst/>
                    </a:prstGeom>
                    <a:noFill/>
                  </pic:spPr>
                </pic:pic>
              </a:graphicData>
            </a:graphic>
          </wp:anchor>
        </w:drawing>
      </w:r>
    </w:p>
    <w:p>
      <w:pPr>
        <w:spacing w:after="0" w:line="3" w:lineRule="exact"/>
        <w:rPr>
          <w:sz w:val="20"/>
          <w:szCs w:val="20"/>
          <w:color w:val="auto"/>
        </w:rPr>
      </w:pPr>
    </w:p>
    <w:p>
      <w:pPr>
        <w:ind w:left="7120"/>
        <w:spacing w:after="0"/>
        <w:rPr>
          <w:sz w:val="20"/>
          <w:szCs w:val="20"/>
          <w:color w:val="auto"/>
        </w:rPr>
      </w:pPr>
      <w:r>
        <w:rPr>
          <w:rFonts w:ascii="Arial" w:cs="Arial" w:eastAsia="Arial" w:hAnsi="Arial"/>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394"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800.362.2668 www.lantheus.com</w:t>
      </w:r>
    </w:p>
    <w:p>
      <w:pPr>
        <w:spacing w:after="0" w:line="200" w:lineRule="exact"/>
        <w:rPr>
          <w:sz w:val="20"/>
          <w:szCs w:val="20"/>
          <w:color w:val="auto"/>
        </w:rPr>
      </w:pPr>
    </w:p>
    <w:p>
      <w:pPr>
        <w:sectPr>
          <w:pgSz w:w="11900" w:h="16838" w:orient="portrait"/>
          <w:cols w:equalWidth="0" w:num="2">
            <w:col w:w="9060" w:space="680"/>
            <w:col w:w="1680"/>
          </w:cols>
          <w:pgMar w:left="240" w:top="1013" w:right="239" w:bottom="1440" w:gutter="0" w:footer="0" w:header="0"/>
          <w:type w:val="continuous"/>
        </w:sect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Lantheus Holdings, Inc. Reports 2018 First Quarter Results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DEFINITY® worldwide revenues increase 18.4% year over year</w:t>
      </w:r>
    </w:p>
    <w:p>
      <w:pPr>
        <w:sectPr>
          <w:pgSz w:w="11900" w:h="16838" w:orient="portrait"/>
          <w:cols w:equalWidth="0" w:num="1">
            <w:col w:w="11420"/>
          </w:cols>
          <w:pgMar w:left="240" w:top="1013" w:right="239" w:bottom="1440" w:gutter="0" w:footer="0" w:header="0"/>
          <w:type w:val="continuous"/>
        </w:sectPr>
      </w:pPr>
    </w:p>
    <w:p>
      <w:pPr>
        <w:spacing w:after="0" w:line="248" w:lineRule="exact"/>
        <w:rPr>
          <w:sz w:val="20"/>
          <w:szCs w:val="20"/>
          <w:color w:val="auto"/>
        </w:rPr>
      </w:pPr>
    </w:p>
    <w:p>
      <w:pPr>
        <w:jc w:val="both"/>
        <w:ind w:right="160"/>
        <w:spacing w:after="0" w:line="264" w:lineRule="auto"/>
        <w:rPr>
          <w:sz w:val="20"/>
          <w:szCs w:val="20"/>
          <w:color w:val="auto"/>
        </w:rPr>
      </w:pPr>
      <w:r>
        <w:rPr>
          <w:rFonts w:ascii="Arial" w:cs="Arial" w:eastAsia="Arial" w:hAnsi="Arial"/>
          <w:sz w:val="18"/>
          <w:szCs w:val="18"/>
          <w:color w:val="auto"/>
        </w:rPr>
        <w:t>NORTH BILLERICA, Mass., May 2, 2018 - Lantheus Holdings, Inc. (the “Company”) (NASDAQ: LNTH), parent company of Lantheus Medical Imaging, Inc. (“LMI”), a global leader in the development, manufacture and commercialization of innovative diagnostic imaging agents and products, today reported financial results for its first quarter ended March 31,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 Comments</w:t>
      </w:r>
    </w:p>
    <w:p>
      <w:pPr>
        <w:spacing w:after="0" w:line="27"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“Our first quarter provided an excellent start to the year, driven by robust sales for DEFINITY,” said Mary Anne Heino, President and CEO. “The first quarter also was marked by effective execution across a number of programs as we look to enhance the growth trajectory and profitability of our core microbubble franchise, augment our pipeline with focus on emerging technologies, and pursue complementary, external opportunities across the broader Life Sciences sector that fit with our objective to deliver long-term sustainable growth and profitability.”</w:t>
      </w:r>
    </w:p>
    <w:p>
      <w:pPr>
        <w:spacing w:after="0" w:line="82"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“The application of microbubbles is emerging as a valuable platform for increased uses, including drug delivery and therapy. With the expertise we have built in microbubble technology, our goal is to lead in these growing markets. At the same time, clinical work regarding flurpiridaz F 18, a novel PET cardiac imaging agent for the evaluation of coronary artery disease, and LMI 1195, our fluorine-18-based PET agent which is expected to aid the diagnosis of heart failure patients at risk for sudden cardiac death, is proceeding on schedule. Internationally, our DEFINITY China program continues to move forward, with patient enrollment completed for the cardiac and pharmacokinetic studies, while enrollment in the kidney and liver studies is ongoing. We look to continue to execute successfully on our strategy and will report on our progress as we proceed through 2018,” continued Ms. Heino.</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Highlights</w:t>
      </w:r>
    </w:p>
    <w:p>
      <w:pPr>
        <w:spacing w:after="0" w:line="27"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The Company’s worldwide revenues for the first quarter of 2018 totaled $82.6 million, representing an increase of 1.6% compared with $81.4 million for the first quarter of 2017. DEFINITY, the Company's flagship product and the world's leading echo contrast agent, had worldwide revenues of $44.7 million for the first quarter, an increase of 18.4% from the year-ago period.</w:t>
      </w:r>
    </w:p>
    <w:p>
      <w:pPr>
        <w:spacing w:after="0" w:line="82"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Net income for the first quarter of 2018 totaled $8.2 million, or $0.21 per diluted share, compared with $4.1 million, or $0.11 per diluted share, for the first quarter of 2017. The Company’s first quarter 2018 Adjusted EBITDA (as outlined in the GAAP to non-GAAP reconciliation provided below) was $23.1 million, or 27.9% of revenues, compared with $22.7 million, or 27.8% of revenues, for the first quarter of 2017.</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2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For the second quarter of 2018, the Company expects worldwide revenues in the range of $85 million to $90 million. The Company expects Adjusted EBITDA, as described in the GAAP to non-GAAP reconciliation provided later in this release, of $20 million to $23 million, representing 22.2% to 27.1% of anticipated worldwide revenues.</w:t>
      </w:r>
    </w:p>
    <w:p>
      <w:pPr>
        <w:spacing w:after="0" w:line="82"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Company maintains its guidance for full year 2018 worldwide revenues of approximately $337 million to $342 million, compared with $326.4 million in 2017 (which excludes a $5 million up-front payment received from GE Healthcare). The Company also maintains its guidance for full year 2018 Adjusted EBITDA of $85 million to $90 million, representing 24.9% to 26.7% of anticipated worldwide revenues.</w:t>
      </w:r>
    </w:p>
    <w:p>
      <w:pPr>
        <w:spacing w:after="0" w:line="73"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The Company’s guidance for worldwide revenues and Adjusted EBITDA are forward-looking statements. They are subject to various risks and uncertainties that could cause the Company’s actual results to differ materially from guidance. Forward-looking statements are not predictions of the Company’s actual performance. See the cautionary information about forward-looking statements in the “Safe-Harbor Statement” section of this press release.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Internet Posting of Information</w:t>
      </w:r>
    </w:p>
    <w:p>
      <w:pPr>
        <w:spacing w:after="0" w:line="27" w:lineRule="exact"/>
        <w:rPr>
          <w:sz w:val="20"/>
          <w:szCs w:val="20"/>
          <w:color w:val="auto"/>
        </w:rPr>
      </w:pPr>
    </w:p>
    <w:p>
      <w:pPr>
        <w:ind w:right="560"/>
        <w:spacing w:after="0" w:line="290" w:lineRule="auto"/>
        <w:rPr>
          <w:sz w:val="20"/>
          <w:szCs w:val="20"/>
          <w:color w:val="auto"/>
        </w:rPr>
      </w:pPr>
      <w:r>
        <w:rPr>
          <w:rFonts w:ascii="Arial" w:cs="Arial" w:eastAsia="Arial" w:hAnsi="Arial"/>
          <w:sz w:val="17"/>
          <w:szCs w:val="17"/>
          <w:color w:val="auto"/>
        </w:rPr>
        <w:t>The Company routinely posts information that may be important to investors in the “Investors” section of its website at http://www.lantheus.com/. The Company encourages investors and potential investors to consult its website regularly for important information about the Company.</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 of 9</w:t>
      </w:r>
    </w:p>
    <w:p>
      <w:pPr>
        <w:sectPr>
          <w:pgSz w:w="11900" w:h="16838" w:orient="portrait"/>
          <w:cols w:equalWidth="0" w:num="1">
            <w:col w:w="11420"/>
          </w:cols>
          <w:pgMar w:left="240" w:top="1013" w:right="2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8"/>
          <w:szCs w:val="18"/>
          <w:b w:val="1"/>
          <w:bCs w:val="1"/>
          <w:color w:val="auto"/>
        </w:rPr>
        <w:t>Conference Call and Webcast</w:t>
      </w:r>
    </w:p>
    <w:p>
      <w:pPr>
        <w:spacing w:after="0" w:line="27" w:lineRule="exact"/>
        <w:rPr>
          <w:sz w:val="20"/>
          <w:szCs w:val="20"/>
          <w:color w:val="auto"/>
        </w:rPr>
      </w:pPr>
    </w:p>
    <w:p>
      <w:pPr>
        <w:jc w:val="both"/>
        <w:ind w:right="120"/>
        <w:spacing w:after="0" w:line="255" w:lineRule="auto"/>
        <w:rPr>
          <w:sz w:val="20"/>
          <w:szCs w:val="20"/>
          <w:color w:val="auto"/>
        </w:rPr>
      </w:pPr>
      <w:r>
        <w:rPr>
          <w:rFonts w:ascii="Arial" w:cs="Arial" w:eastAsia="Arial" w:hAnsi="Arial"/>
          <w:sz w:val="18"/>
          <w:szCs w:val="18"/>
          <w:color w:val="auto"/>
        </w:rPr>
        <w:t>As previously announced, the Company will host a conference call starting at 4:30 p.m. Eastern Time today. To access the live conference call via telephone, please dial 1-866-498-8390 (U.S. callers) or 1-678-509-7599 (international callers) and provide passcode 8487086. A live audio webcast of the call also will be available in the Investors section of the Company’s website at www.lantheus.com.</w:t>
      </w:r>
    </w:p>
    <w:p>
      <w:pPr>
        <w:spacing w:after="0" w:line="82" w:lineRule="exact"/>
        <w:rPr>
          <w:sz w:val="20"/>
          <w:szCs w:val="20"/>
          <w:color w:val="auto"/>
        </w:rPr>
      </w:pPr>
    </w:p>
    <w:p>
      <w:pPr>
        <w:jc w:val="both"/>
        <w:ind w:right="100"/>
        <w:spacing w:after="0" w:line="277" w:lineRule="auto"/>
        <w:rPr>
          <w:sz w:val="20"/>
          <w:szCs w:val="20"/>
          <w:color w:val="auto"/>
        </w:rPr>
      </w:pPr>
      <w:r>
        <w:rPr>
          <w:rFonts w:ascii="Arial" w:cs="Arial" w:eastAsia="Arial" w:hAnsi="Arial"/>
          <w:sz w:val="18"/>
          <w:szCs w:val="18"/>
          <w:color w:val="auto"/>
        </w:rPr>
        <w:t>A replay of the audio webcast will be available in the Investors section of our website at www.lantheus.com approximately two hours after completion of the call and will be archived for 30 days.</w:t>
      </w:r>
    </w:p>
    <w:p>
      <w:pPr>
        <w:spacing w:after="0" w:line="62"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www.lantheus.com.</w:t>
      </w:r>
    </w:p>
    <w:p>
      <w:pPr>
        <w:spacing w:after="0" w:line="5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conference call may include forward-looking statements. See the cautionary information about forward-looking statements in the safe-harbor section of this press release.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 and Lantheus Medical Imaging, Inc.</w:t>
      </w:r>
    </w:p>
    <w:p>
      <w:pPr>
        <w:spacing w:after="0" w:line="27" w:lineRule="exact"/>
        <w:rPr>
          <w:sz w:val="20"/>
          <w:szCs w:val="20"/>
          <w:color w:val="auto"/>
        </w:rPr>
      </w:pPr>
    </w:p>
    <w:p>
      <w:pPr>
        <w:ind w:right="300"/>
        <w:spacing w:after="0" w:line="252" w:lineRule="auto"/>
        <w:rPr>
          <w:sz w:val="20"/>
          <w:szCs w:val="20"/>
          <w:color w:val="auto"/>
        </w:rPr>
      </w:pPr>
      <w:r>
        <w:rPr>
          <w:rFonts w:ascii="Arial" w:cs="Arial" w:eastAsia="Arial" w:hAnsi="Arial"/>
          <w:sz w:val="18"/>
          <w:szCs w:val="18"/>
          <w:color w:val="auto"/>
        </w:rPr>
        <w:t>Lantheus Holdings, Inc. is the parent company of LMI, a global leader in the development, manufacture and commercialization of innovative diagnostic imaging agents and products. LMI provides a broad portfolio of products, including the echocardiography contrast agent DEFINITY® Vial for (Perflutren Lipid Microsphere) Injectable Suspension; TechneLite® (Technetium Tc99m Generator), a technetium-based generator that provides the essential medical isotope used in nuclear medicine procedures; and Xenon (Xenon Xe 133 Gas), an inhaled radiopharmaceutical imaging agent used to evaluate pulmonary function and for imaging the lungs. The Company is headquartered in North Billerica, Massachusetts with offices in Puerto Rico and Canada. For more information, visit www.lantheus.com.</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7" w:lineRule="exact"/>
        <w:rPr>
          <w:sz w:val="20"/>
          <w:szCs w:val="20"/>
          <w:color w:val="auto"/>
        </w:rPr>
      </w:pPr>
    </w:p>
    <w:p>
      <w:pPr>
        <w:ind w:right="200"/>
        <w:spacing w:after="0" w:line="252" w:lineRule="auto"/>
        <w:rPr>
          <w:sz w:val="20"/>
          <w:szCs w:val="20"/>
          <w:color w:val="auto"/>
        </w:rPr>
      </w:pPr>
      <w:r>
        <w:rPr>
          <w:rFonts w:ascii="Arial" w:cs="Arial" w:eastAsia="Arial" w:hAnsi="Arial"/>
          <w:sz w:val="18"/>
          <w:szCs w:val="18"/>
          <w:color w:val="auto"/>
        </w:rPr>
        <w:t>The Company uses non-GAAP financial measures, such as revenues excluding the impact of foreign currency; adjusted operating income; adjusted net income and its line components; Adjusted EBITDA; adjusted net income per share - diluted; and free cash flow. The Company’s management believes that the presentation of these measures provides useful information to investors. These measures may assist investors in evaluating the Company’s operations, period over period. The measures may exclude such items which may be highly variable, difficult to predict and of a size that could have substantial impact on the Company’s reported results of operations for a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27"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press release contains “forward-looking statements” as defined under U.S. federal securities laws, including statements about our 2018 outlook. Forward-looking statements may be identified by their use of terms such as anticipate, believe, confident, could, estimate, expect, intend, may, plan, predict, project, target, will and other similar terms. Such forward-looking statements are subject to risks and uncertainties that could cause actual results to materially differ from those described in the forward- looking statements.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are discussed in our filings with the Securities and Exchange Commission (including those described in the Risk Factors section in our Annual Reports on Form 10-K and our Quarterly Reports on Form 10-Q). This press release includes forward-looking non-GAAP guidance for 2018 Adjusted EBITDA. No reconciliation of this forward-looking non-GAAP guidance was included in this press release because, due to the high variability and difficulty in making accurate forecasts and projections of some of the excluded information and the fact that some of the excluded information is not readily ascertainable or accessible, the Company is unable to quantify certain amounts that would be required to be included in the most directly comparable GAAP financial measure without unreasonable efforts.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Meara Murphy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978-671-8508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Director, Investor Relations and Corporate Communications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Lantheus Holdings, Inc.</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Tables Follow -</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 of 9</w:t>
      </w:r>
    </w:p>
    <w:p>
      <w:pPr>
        <w:sectPr>
          <w:pgSz w:w="11900" w:h="16838" w:orient="portrait"/>
          <w:cols w:equalWidth="0" w:num="1">
            <w:col w:w="11420"/>
          </w:cols>
          <w:pgMar w:left="240" w:top="1013" w:right="239" w:bottom="1440" w:gutter="0" w:footer="0" w:header="0"/>
        </w:sectPr>
      </w:pPr>
    </w:p>
    <w:bookmarkStart w:id="6" w:name="page7"/>
    <w:bookmarkEnd w:id="6"/>
    <w:p>
      <w:pPr>
        <w:ind w:left="36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02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99" w:lineRule="exact"/>
        <w:rPr>
          <w:sz w:val="20"/>
          <w:szCs w:val="20"/>
          <w:color w:val="auto"/>
        </w:rPr>
      </w:pPr>
    </w:p>
    <w:tbl>
      <w:tblPr>
        <w:tblLayout w:type="fixed"/>
        <w:tblInd w:w="460" w:type="dxa"/>
        <w:tblCellMar>
          <w:top w:w="0" w:type="dxa"/>
          <w:left w:w="0" w:type="dxa"/>
          <w:bottom w:w="0" w:type="dxa"/>
          <w:right w:w="0" w:type="dxa"/>
        </w:tblCellMar>
      </w:tblPr>
      <w:tr>
        <w:trPr>
          <w:trHeight w:val="216"/>
        </w:trPr>
        <w:tc>
          <w:tcPr>
            <w:tcW w:w="5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38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Three Months Ended</w:t>
            </w:r>
          </w:p>
        </w:tc>
        <w:tc>
          <w:tcPr>
            <w:tcW w:w="0" w:type="dxa"/>
            <w:vAlign w:val="bottom"/>
          </w:tcPr>
          <w:p>
            <w:pPr>
              <w:spacing w:after="0"/>
              <w:rPr>
                <w:sz w:val="1"/>
                <w:szCs w:val="1"/>
                <w:color w:val="auto"/>
              </w:rPr>
            </w:pPr>
          </w:p>
        </w:tc>
      </w:tr>
      <w:tr>
        <w:trPr>
          <w:trHeight w:val="234"/>
        </w:trPr>
        <w:tc>
          <w:tcPr>
            <w:tcW w:w="5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Arial" w:cs="Arial" w:eastAsia="Arial" w:hAnsi="Arial"/>
                <w:sz w:val="18"/>
                <w:szCs w:val="18"/>
                <w:b w:val="1"/>
                <w:bCs w:val="1"/>
                <w:color w:val="auto"/>
              </w:rPr>
              <w:t>March 31,</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60" w:type="dxa"/>
            <w:vAlign w:val="bottom"/>
          </w:tcPr>
          <w:p>
            <w:pPr>
              <w:jc w:val="right"/>
              <w:ind w:right="350"/>
              <w:spacing w:after="0"/>
              <w:rPr>
                <w:sz w:val="20"/>
                <w:szCs w:val="20"/>
                <w:color w:val="auto"/>
              </w:rPr>
            </w:pPr>
            <w:r>
              <w:rPr>
                <w:rFonts w:ascii="Arial" w:cs="Arial" w:eastAsia="Arial" w:hAnsi="Arial"/>
                <w:sz w:val="18"/>
                <w:szCs w:val="18"/>
                <w:b w:val="1"/>
                <w:bCs w:val="1"/>
                <w:color w:val="auto"/>
                <w:w w:val="99"/>
              </w:rPr>
              <w:t>2017</w:t>
            </w:r>
          </w:p>
        </w:tc>
        <w:tc>
          <w:tcPr>
            <w:tcW w:w="0" w:type="dxa"/>
            <w:vAlign w:val="bottom"/>
          </w:tcPr>
          <w:p>
            <w:pPr>
              <w:spacing w:after="0"/>
              <w:rPr>
                <w:sz w:val="1"/>
                <w:szCs w:val="1"/>
                <w:color w:val="auto"/>
              </w:rPr>
            </w:pPr>
          </w:p>
        </w:tc>
      </w:tr>
      <w:tr>
        <w:trPr>
          <w:trHeight w:val="27"/>
        </w:trPr>
        <w:tc>
          <w:tcPr>
            <w:tcW w:w="5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82,630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81,359</w:t>
            </w:r>
          </w:p>
        </w:tc>
        <w:tc>
          <w:tcPr>
            <w:tcW w:w="0" w:type="dxa"/>
            <w:vAlign w:val="bottom"/>
          </w:tcPr>
          <w:p>
            <w:pPr>
              <w:spacing w:after="0"/>
              <w:rPr>
                <w:sz w:val="1"/>
                <w:szCs w:val="1"/>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Cost of goods sold</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40,321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41,597</w:t>
            </w:r>
          </w:p>
        </w:tc>
        <w:tc>
          <w:tcPr>
            <w:tcW w:w="0" w:type="dxa"/>
            <w:vAlign w:val="bottom"/>
          </w:tcPr>
          <w:p>
            <w:pPr>
              <w:spacing w:after="0"/>
              <w:rPr>
                <w:sz w:val="1"/>
                <w:szCs w:val="1"/>
                <w:color w:val="auto"/>
              </w:rPr>
            </w:pPr>
          </w:p>
        </w:tc>
      </w:tr>
      <w:tr>
        <w:trPr>
          <w:trHeight w:val="27"/>
        </w:trPr>
        <w:tc>
          <w:tcPr>
            <w:tcW w:w="5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42,309</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39,762</w:t>
            </w:r>
          </w:p>
        </w:tc>
        <w:tc>
          <w:tcPr>
            <w:tcW w:w="0" w:type="dxa"/>
            <w:vAlign w:val="bottom"/>
          </w:tcPr>
          <w:p>
            <w:pPr>
              <w:spacing w:after="0"/>
              <w:rPr>
                <w:sz w:val="1"/>
                <w:szCs w:val="1"/>
                <w:color w:val="auto"/>
              </w:rPr>
            </w:pPr>
          </w:p>
        </w:tc>
      </w:tr>
      <w:tr>
        <w:trPr>
          <w:trHeight w:val="223"/>
        </w:trPr>
        <w:tc>
          <w:tcPr>
            <w:tcW w:w="54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0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5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8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5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10,640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10,214</w:t>
            </w:r>
          </w:p>
        </w:tc>
        <w:tc>
          <w:tcPr>
            <w:tcW w:w="0" w:type="dxa"/>
            <w:vAlign w:val="bottom"/>
          </w:tcPr>
          <w:p>
            <w:pPr>
              <w:spacing w:after="0"/>
              <w:rPr>
                <w:sz w:val="1"/>
                <w:szCs w:val="1"/>
                <w:color w:val="auto"/>
              </w:rPr>
            </w:pPr>
          </w:p>
        </w:tc>
      </w:tr>
      <w:tr>
        <w:trPr>
          <w:trHeight w:val="243"/>
        </w:trPr>
        <w:tc>
          <w:tcPr>
            <w:tcW w:w="5420" w:type="dxa"/>
            <w:vAlign w:val="bottom"/>
          </w:tcPr>
          <w:p>
            <w:pPr>
              <w:ind w:left="280"/>
              <w:spacing w:after="0"/>
              <w:rPr>
                <w:sz w:val="20"/>
                <w:szCs w:val="20"/>
                <w:color w:val="auto"/>
              </w:rPr>
            </w:pPr>
            <w:r>
              <w:rPr>
                <w:rFonts w:ascii="Arial" w:cs="Arial" w:eastAsia="Arial" w:hAnsi="Arial"/>
                <w:sz w:val="18"/>
                <w:szCs w:val="18"/>
                <w:color w:val="auto"/>
              </w:rPr>
              <w:t>General and administrative</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12,543</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12,270</w:t>
            </w:r>
          </w:p>
        </w:tc>
        <w:tc>
          <w:tcPr>
            <w:tcW w:w="0" w:type="dxa"/>
            <w:vAlign w:val="bottom"/>
          </w:tcPr>
          <w:p>
            <w:pPr>
              <w:spacing w:after="0"/>
              <w:rPr>
                <w:sz w:val="1"/>
                <w:szCs w:val="1"/>
                <w:color w:val="auto"/>
              </w:rPr>
            </w:pPr>
          </w:p>
        </w:tc>
      </w:tr>
      <w:tr>
        <w:trPr>
          <w:trHeight w:val="27"/>
        </w:trPr>
        <w:tc>
          <w:tcPr>
            <w:tcW w:w="5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3,989</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5,351</w:t>
            </w:r>
          </w:p>
        </w:tc>
        <w:tc>
          <w:tcPr>
            <w:tcW w:w="0" w:type="dxa"/>
            <w:vAlign w:val="bottom"/>
          </w:tcPr>
          <w:p>
            <w:pPr>
              <w:spacing w:after="0"/>
              <w:rPr>
                <w:sz w:val="1"/>
                <w:szCs w:val="1"/>
                <w:color w:val="auto"/>
              </w:rPr>
            </w:pPr>
          </w:p>
        </w:tc>
      </w:tr>
      <w:tr>
        <w:trPr>
          <w:trHeight w:val="237"/>
        </w:trPr>
        <w:tc>
          <w:tcPr>
            <w:tcW w:w="542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30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27,172</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27,835</w:t>
            </w:r>
          </w:p>
        </w:tc>
        <w:tc>
          <w:tcPr>
            <w:tcW w:w="0" w:type="dxa"/>
            <w:vAlign w:val="bottom"/>
          </w:tcPr>
          <w:p>
            <w:pPr>
              <w:spacing w:after="0"/>
              <w:rPr>
                <w:sz w:val="1"/>
                <w:szCs w:val="1"/>
                <w:color w:val="auto"/>
              </w:rPr>
            </w:pPr>
          </w:p>
        </w:tc>
      </w:tr>
      <w:tr>
        <w:trPr>
          <w:trHeight w:val="27"/>
        </w:trPr>
        <w:tc>
          <w:tcPr>
            <w:tcW w:w="5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Operating income</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15,137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11,927</w:t>
            </w:r>
          </w:p>
        </w:tc>
        <w:tc>
          <w:tcPr>
            <w:tcW w:w="0" w:type="dxa"/>
            <w:vAlign w:val="bottom"/>
          </w:tcPr>
          <w:p>
            <w:pPr>
              <w:spacing w:after="0"/>
              <w:rPr>
                <w:sz w:val="1"/>
                <w:szCs w:val="1"/>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4,050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5,420</w:t>
            </w:r>
          </w:p>
        </w:tc>
        <w:tc>
          <w:tcPr>
            <w:tcW w:w="0" w:type="dxa"/>
            <w:vAlign w:val="bottom"/>
          </w:tcPr>
          <w:p>
            <w:pPr>
              <w:spacing w:after="0"/>
              <w:rPr>
                <w:sz w:val="1"/>
                <w:szCs w:val="1"/>
                <w:color w:val="auto"/>
              </w:rPr>
            </w:pPr>
          </w:p>
        </w:tc>
      </w:tr>
      <w:tr>
        <w:trPr>
          <w:trHeight w:val="27"/>
        </w:trPr>
        <w:tc>
          <w:tcPr>
            <w:tcW w:w="5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on extinguishment of debt</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w:t>
            </w:r>
          </w:p>
        </w:tc>
        <w:tc>
          <w:tcPr>
            <w:tcW w:w="0" w:type="dxa"/>
            <w:vAlign w:val="bottom"/>
          </w:tcPr>
          <w:p>
            <w:pPr>
              <w:spacing w:after="0"/>
              <w:rPr>
                <w:sz w:val="1"/>
                <w:szCs w:val="1"/>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Other income</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(920)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(577)</w:t>
            </w:r>
          </w:p>
        </w:tc>
        <w:tc>
          <w:tcPr>
            <w:tcW w:w="0" w:type="dxa"/>
            <w:vAlign w:val="bottom"/>
          </w:tcPr>
          <w:p>
            <w:pPr>
              <w:spacing w:after="0"/>
              <w:rPr>
                <w:sz w:val="1"/>
                <w:szCs w:val="1"/>
                <w:color w:val="auto"/>
              </w:rPr>
            </w:pPr>
          </w:p>
        </w:tc>
      </w:tr>
      <w:tr>
        <w:trPr>
          <w:trHeight w:val="27"/>
        </w:trPr>
        <w:tc>
          <w:tcPr>
            <w:tcW w:w="5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before income taxes</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12,007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4,923</w:t>
            </w:r>
          </w:p>
        </w:tc>
        <w:tc>
          <w:tcPr>
            <w:tcW w:w="0" w:type="dxa"/>
            <w:vAlign w:val="bottom"/>
          </w:tcPr>
          <w:p>
            <w:pPr>
              <w:spacing w:after="0"/>
              <w:rPr>
                <w:sz w:val="1"/>
                <w:szCs w:val="1"/>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3,796</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785</w:t>
            </w:r>
          </w:p>
        </w:tc>
        <w:tc>
          <w:tcPr>
            <w:tcW w:w="0" w:type="dxa"/>
            <w:vAlign w:val="bottom"/>
          </w:tcPr>
          <w:p>
            <w:pPr>
              <w:spacing w:after="0"/>
              <w:rPr>
                <w:sz w:val="1"/>
                <w:szCs w:val="1"/>
                <w:color w:val="auto"/>
              </w:rPr>
            </w:pPr>
          </w:p>
        </w:tc>
      </w:tr>
      <w:tr>
        <w:trPr>
          <w:trHeight w:val="27"/>
        </w:trPr>
        <w:tc>
          <w:tcPr>
            <w:tcW w:w="5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income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8,211</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4,138</w:t>
            </w:r>
          </w:p>
        </w:tc>
        <w:tc>
          <w:tcPr>
            <w:tcW w:w="0" w:type="dxa"/>
            <w:vAlign w:val="bottom"/>
          </w:tcPr>
          <w:p>
            <w:pPr>
              <w:spacing w:after="0"/>
              <w:rPr>
                <w:sz w:val="1"/>
                <w:szCs w:val="1"/>
                <w:color w:val="auto"/>
              </w:rPr>
            </w:pPr>
          </w:p>
        </w:tc>
      </w:tr>
      <w:tr>
        <w:trPr>
          <w:trHeight w:val="20"/>
        </w:trPr>
        <w:tc>
          <w:tcPr>
            <w:tcW w:w="54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per common share:</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42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4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0.22</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0.11</w:t>
            </w:r>
          </w:p>
        </w:tc>
        <w:tc>
          <w:tcPr>
            <w:tcW w:w="0" w:type="dxa"/>
            <w:vAlign w:val="bottom"/>
          </w:tcPr>
          <w:p>
            <w:pPr>
              <w:spacing w:after="0"/>
              <w:rPr>
                <w:sz w:val="1"/>
                <w:szCs w:val="1"/>
                <w:color w:val="auto"/>
              </w:rPr>
            </w:pPr>
          </w:p>
        </w:tc>
      </w:tr>
      <w:tr>
        <w:trPr>
          <w:trHeight w:val="20"/>
        </w:trPr>
        <w:tc>
          <w:tcPr>
            <w:tcW w:w="542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Diluted</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420" w:type="dxa"/>
            <w:vAlign w:val="bottom"/>
            <w:vMerge w:val="continue"/>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0.21</w:t>
            </w:r>
          </w:p>
        </w:tc>
        <w:tc>
          <w:tcPr>
            <w:tcW w:w="12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0.11</w:t>
            </w:r>
          </w:p>
        </w:tc>
        <w:tc>
          <w:tcPr>
            <w:tcW w:w="0" w:type="dxa"/>
            <w:vAlign w:val="bottom"/>
          </w:tcPr>
          <w:p>
            <w:pPr>
              <w:spacing w:after="0"/>
              <w:rPr>
                <w:sz w:val="1"/>
                <w:szCs w:val="1"/>
                <w:color w:val="auto"/>
              </w:rPr>
            </w:pPr>
          </w:p>
        </w:tc>
      </w:tr>
      <w:tr>
        <w:trPr>
          <w:trHeight w:val="67"/>
        </w:trPr>
        <w:tc>
          <w:tcPr>
            <w:tcW w:w="54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42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Weighted-average common shares outstanding:</w:t>
            </w:r>
          </w:p>
        </w:tc>
        <w:tc>
          <w:tcPr>
            <w:tcW w:w="3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Basic</w:t>
            </w: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37,886</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36,889</w:t>
            </w:r>
          </w:p>
        </w:tc>
        <w:tc>
          <w:tcPr>
            <w:tcW w:w="0" w:type="dxa"/>
            <w:vAlign w:val="bottom"/>
          </w:tcPr>
          <w:p>
            <w:pPr>
              <w:spacing w:after="0"/>
              <w:rPr>
                <w:sz w:val="1"/>
                <w:szCs w:val="1"/>
                <w:color w:val="auto"/>
              </w:rPr>
            </w:pPr>
          </w:p>
        </w:tc>
      </w:tr>
      <w:tr>
        <w:trPr>
          <w:trHeight w:val="67"/>
        </w:trPr>
        <w:tc>
          <w:tcPr>
            <w:tcW w:w="54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42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39,493</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38,601</w:t>
            </w:r>
          </w:p>
        </w:tc>
        <w:tc>
          <w:tcPr>
            <w:tcW w:w="0" w:type="dxa"/>
            <w:vAlign w:val="bottom"/>
          </w:tcPr>
          <w:p>
            <w:pPr>
              <w:spacing w:after="0"/>
              <w:rPr>
                <w:sz w:val="1"/>
                <w:szCs w:val="1"/>
                <w:color w:val="auto"/>
              </w:rPr>
            </w:pPr>
          </w:p>
        </w:tc>
      </w:tr>
      <w:tr>
        <w:trPr>
          <w:trHeight w:val="20"/>
        </w:trPr>
        <w:tc>
          <w:tcPr>
            <w:tcW w:w="54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3 of 9</w:t>
      </w:r>
    </w:p>
    <w:p>
      <w:pPr>
        <w:sectPr>
          <w:pgSz w:w="11900" w:h="16838" w:orient="portrait"/>
          <w:cols w:equalWidth="0" w:num="1">
            <w:col w:w="9019"/>
          </w:cols>
          <w:pgMar w:left="1440" w:top="850" w:right="1440" w:bottom="1440" w:gutter="0" w:footer="0" w:header="0"/>
        </w:sectPr>
      </w:pPr>
    </w:p>
    <w:bookmarkStart w:id="7" w:name="page8"/>
    <w:bookmarkEnd w:id="7"/>
    <w:p>
      <w:pPr>
        <w:ind w:left="36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920"/>
        <w:spacing w:after="0"/>
        <w:rPr>
          <w:sz w:val="20"/>
          <w:szCs w:val="20"/>
          <w:color w:val="auto"/>
        </w:rPr>
      </w:pPr>
      <w:r>
        <w:rPr>
          <w:rFonts w:ascii="Arial" w:cs="Arial" w:eastAsia="Arial" w:hAnsi="Arial"/>
          <w:sz w:val="18"/>
          <w:szCs w:val="18"/>
          <w:b w:val="1"/>
          <w:bCs w:val="1"/>
          <w:color w:val="auto"/>
        </w:rPr>
        <w:t>Consolidated Segment Revenues Analysis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9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80" w:type="dxa"/>
            <w:vAlign w:val="bottom"/>
            <w:gridSpan w:val="6"/>
          </w:tcPr>
          <w:p>
            <w:pPr>
              <w:jc w:val="center"/>
              <w:ind w:left="590"/>
              <w:spacing w:after="0"/>
              <w:rPr>
                <w:sz w:val="20"/>
                <w:szCs w:val="20"/>
                <w:color w:val="auto"/>
              </w:rPr>
            </w:pPr>
            <w:r>
              <w:rPr>
                <w:rFonts w:ascii="Arial" w:cs="Arial" w:eastAsia="Arial" w:hAnsi="Arial"/>
                <w:sz w:val="18"/>
                <w:szCs w:val="18"/>
                <w:b w:val="1"/>
                <w:bCs w:val="1"/>
                <w:color w:val="auto"/>
                <w:w w:val="92"/>
              </w:rPr>
              <w:t>Three Months Ended</w:t>
            </w:r>
          </w:p>
        </w:tc>
        <w:tc>
          <w:tcPr>
            <w:tcW w:w="100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gridSpan w:val="3"/>
          </w:tcPr>
          <w:p>
            <w:pPr>
              <w:jc w:val="center"/>
              <w:ind w:right="400"/>
              <w:spacing w:after="0"/>
              <w:rPr>
                <w:sz w:val="20"/>
                <w:szCs w:val="20"/>
                <w:color w:val="auto"/>
              </w:rPr>
            </w:pPr>
            <w:r>
              <w:rPr>
                <w:rFonts w:ascii="Arial" w:cs="Arial" w:eastAsia="Arial" w:hAnsi="Arial"/>
                <w:sz w:val="18"/>
                <w:szCs w:val="18"/>
                <w:b w:val="1"/>
                <w:bCs w:val="1"/>
                <w:color w:val="auto"/>
                <w:w w:val="93"/>
              </w:rPr>
              <w:t>March 31,</w:t>
            </w:r>
          </w:p>
        </w:tc>
        <w:tc>
          <w:tcPr>
            <w:tcW w:w="100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18"/>
        </w:trPr>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ind w:right="250"/>
              <w:spacing w:after="0"/>
              <w:rPr>
                <w:sz w:val="20"/>
                <w:szCs w:val="20"/>
                <w:color w:val="auto"/>
              </w:rPr>
            </w:pPr>
            <w:r>
              <w:rPr>
                <w:rFonts w:ascii="Arial" w:cs="Arial" w:eastAsia="Arial" w:hAnsi="Arial"/>
                <w:sz w:val="18"/>
                <w:szCs w:val="18"/>
                <w:b w:val="1"/>
                <w:bCs w:val="1"/>
                <w:color w:val="auto"/>
                <w:w w:val="96"/>
              </w:rPr>
              <w:t>Change</w:t>
            </w:r>
          </w:p>
        </w:tc>
      </w:tr>
      <w:tr>
        <w:trPr>
          <w:trHeight w:val="234"/>
        </w:trPr>
        <w:tc>
          <w:tcPr>
            <w:tcW w:w="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jc w:val="right"/>
              <w:ind w:right="23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jc w:val="right"/>
              <w:ind w:right="450"/>
              <w:spacing w:after="0"/>
              <w:rPr>
                <w:sz w:val="20"/>
                <w:szCs w:val="20"/>
                <w:color w:val="auto"/>
              </w:rPr>
            </w:pPr>
            <w:r>
              <w:rPr>
                <w:rFonts w:ascii="Arial" w:cs="Arial" w:eastAsia="Arial" w:hAnsi="Arial"/>
                <w:sz w:val="18"/>
                <w:szCs w:val="18"/>
                <w:b w:val="1"/>
                <w:bCs w:val="1"/>
                <w:color w:val="auto"/>
              </w:rPr>
              <w:t>%</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96"/>
        </w:trPr>
        <w:tc>
          <w:tcPr>
            <w:tcW w:w="20" w:type="dxa"/>
            <w:vAlign w:val="bottom"/>
            <w:shd w:val="clear" w:color="auto" w:fill="CCEEFF"/>
          </w:tcPr>
          <w:p>
            <w:pPr>
              <w:spacing w:after="0"/>
              <w:rPr>
                <w:sz w:val="17"/>
                <w:szCs w:val="17"/>
                <w:color w:val="auto"/>
              </w:rPr>
            </w:pPr>
          </w:p>
        </w:tc>
        <w:tc>
          <w:tcPr>
            <w:tcW w:w="330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United States</w:t>
            </w: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9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0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43,506</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36,923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17.8 %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18,063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23,308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Xenon</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7,927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8,058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w:t>
            </w:r>
          </w:p>
        </w:tc>
      </w:tr>
      <w:tr>
        <w:trPr>
          <w:trHeight w:val="237"/>
        </w:trPr>
        <w:tc>
          <w:tcPr>
            <w:tcW w:w="3320" w:type="dxa"/>
            <w:vAlign w:val="bottom"/>
            <w:gridSpan w:val="5"/>
          </w:tcPr>
          <w:p>
            <w:pPr>
              <w:ind w:left="20"/>
              <w:spacing w:after="0"/>
              <w:rPr>
                <w:sz w:val="20"/>
                <w:szCs w:val="20"/>
                <w:color w:val="auto"/>
              </w:rPr>
            </w:pPr>
            <w:r>
              <w:rPr>
                <w:rFonts w:ascii="Arial" w:cs="Arial" w:eastAsia="Arial" w:hAnsi="Arial"/>
                <w:sz w:val="18"/>
                <w:szCs w:val="18"/>
                <w:color w:val="auto"/>
              </w:rPr>
              <w:t>Total United States</w:t>
            </w:r>
          </w:p>
        </w:tc>
        <w:tc>
          <w:tcPr>
            <w:tcW w:w="2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71,488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71,027</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0.6 %</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96"/>
        </w:trPr>
        <w:tc>
          <w:tcPr>
            <w:tcW w:w="20" w:type="dxa"/>
            <w:vAlign w:val="bottom"/>
            <w:shd w:val="clear" w:color="auto" w:fill="CCEEFF"/>
          </w:tcPr>
          <w:p>
            <w:pPr>
              <w:spacing w:after="0"/>
              <w:rPr>
                <w:sz w:val="17"/>
                <w:szCs w:val="17"/>
                <w:color w:val="auto"/>
              </w:rPr>
            </w:pPr>
          </w:p>
        </w:tc>
        <w:tc>
          <w:tcPr>
            <w:tcW w:w="330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International</w:t>
            </w: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9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0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789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45.6 %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3,332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3,517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w:t>
            </w: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Xenon</w:t>
            </w:r>
          </w:p>
        </w:tc>
        <w:tc>
          <w:tcPr>
            <w:tcW w:w="280" w:type="dxa"/>
            <w:vAlign w:val="bottom"/>
          </w:tcPr>
          <w:p>
            <w:pPr>
              <w:spacing w:after="0"/>
              <w:rPr>
                <w:sz w:val="21"/>
                <w:szCs w:val="21"/>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(100.0)%</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6,024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10.6 %</w:t>
            </w:r>
          </w:p>
        </w:tc>
      </w:tr>
      <w:tr>
        <w:trPr>
          <w:trHeight w:val="237"/>
        </w:trPr>
        <w:tc>
          <w:tcPr>
            <w:tcW w:w="3320" w:type="dxa"/>
            <w:vAlign w:val="bottom"/>
            <w:gridSpan w:val="5"/>
          </w:tcPr>
          <w:p>
            <w:pPr>
              <w:ind w:left="20"/>
              <w:spacing w:after="0"/>
              <w:rPr>
                <w:sz w:val="20"/>
                <w:szCs w:val="20"/>
                <w:color w:val="auto"/>
              </w:rPr>
            </w:pPr>
            <w:r>
              <w:rPr>
                <w:rFonts w:ascii="Arial" w:cs="Arial" w:eastAsia="Arial" w:hAnsi="Arial"/>
                <w:sz w:val="18"/>
                <w:szCs w:val="18"/>
                <w:color w:val="auto"/>
              </w:rPr>
              <w:t>Total International</w:t>
            </w:r>
          </w:p>
        </w:tc>
        <w:tc>
          <w:tcPr>
            <w:tcW w:w="2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11,142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10,332</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7.8 %</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2"/>
              </w:rPr>
              <w:t>Worldwide</w:t>
            </w:r>
          </w:p>
        </w:tc>
        <w:tc>
          <w:tcPr>
            <w:tcW w:w="2500" w:type="dxa"/>
            <w:vAlign w:val="bottom"/>
            <w:tcBorders>
              <w:bottom w:val="single" w:sz="8" w:color="CCEEFF"/>
            </w:tcBorders>
            <w:gridSpan w:val="3"/>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DEFINITY</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44,655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37,712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18.4 %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TechneLite</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26,825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w:t>
            </w:r>
          </w:p>
        </w:tc>
      </w:tr>
      <w:tr>
        <w:trPr>
          <w:trHeight w:val="243"/>
        </w:trPr>
        <w:tc>
          <w:tcPr>
            <w:tcW w:w="20" w:type="dxa"/>
            <w:vAlign w:val="bottom"/>
          </w:tcPr>
          <w:p>
            <w:pPr>
              <w:spacing w:after="0"/>
              <w:rPr>
                <w:sz w:val="21"/>
                <w:szCs w:val="21"/>
                <w:color w:val="auto"/>
              </w:rPr>
            </w:pPr>
          </w:p>
        </w:tc>
        <w:tc>
          <w:tcPr>
            <w:tcW w:w="3300" w:type="dxa"/>
            <w:vAlign w:val="bottom"/>
            <w:gridSpan w:val="4"/>
          </w:tcPr>
          <w:p>
            <w:pPr>
              <w:ind w:left="240"/>
              <w:spacing w:after="0"/>
              <w:rPr>
                <w:sz w:val="20"/>
                <w:szCs w:val="20"/>
                <w:color w:val="auto"/>
              </w:rPr>
            </w:pPr>
            <w:r>
              <w:rPr>
                <w:rFonts w:ascii="Arial" w:cs="Arial" w:eastAsia="Arial" w:hAnsi="Arial"/>
                <w:sz w:val="18"/>
                <w:szCs w:val="18"/>
                <w:color w:val="auto"/>
              </w:rPr>
              <w:t>Xenon</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7,927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8,060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3300" w:type="dxa"/>
            <w:vAlign w:val="bottom"/>
            <w:tcBorders>
              <w:bottom w:val="single" w:sz="8" w:color="CCEEFF"/>
            </w:tcBorders>
            <w:gridSpan w:val="4"/>
            <w:shd w:val="clear" w:color="auto" w:fill="CCEEFF"/>
          </w:tcPr>
          <w:p>
            <w:pPr>
              <w:ind w:left="24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8,653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8,762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r>
      <w:tr>
        <w:trPr>
          <w:trHeight w:val="257"/>
        </w:trPr>
        <w:tc>
          <w:tcPr>
            <w:tcW w:w="3320" w:type="dxa"/>
            <w:vAlign w:val="bottom"/>
            <w:gridSpan w:val="5"/>
          </w:tcPr>
          <w:p>
            <w:pPr>
              <w:ind w:left="20"/>
              <w:spacing w:after="0"/>
              <w:rPr>
                <w:sz w:val="20"/>
                <w:szCs w:val="20"/>
                <w:color w:val="auto"/>
              </w:rPr>
            </w:pPr>
            <w:r>
              <w:rPr>
                <w:rFonts w:ascii="Arial" w:cs="Arial" w:eastAsia="Arial" w:hAnsi="Arial"/>
                <w:sz w:val="18"/>
                <w:szCs w:val="18"/>
                <w:color w:val="auto"/>
              </w:rPr>
              <w:t>Total Revenues</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82,630</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81,359</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1.6 %</w:t>
            </w:r>
          </w:p>
        </w:tc>
      </w:tr>
      <w:tr>
        <w:trPr>
          <w:trHeight w:val="20"/>
        </w:trPr>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4 of 9</w:t>
      </w:r>
    </w:p>
    <w:p>
      <w:pPr>
        <w:sectPr>
          <w:pgSz w:w="11900" w:h="16838" w:orient="portrait"/>
          <w:cols w:equalWidth="0" w:num="1">
            <w:col w:w="9019"/>
          </w:cols>
          <w:pgMar w:left="1440" w:top="850" w:right="1440" w:bottom="1440" w:gutter="0" w:footer="0" w:header="0"/>
        </w:sectPr>
      </w:pPr>
    </w:p>
    <w:bookmarkStart w:id="8" w:name="page9"/>
    <w:bookmarkEnd w:id="8"/>
    <w:p>
      <w:pPr>
        <w:ind w:left="36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p>
      <w:pPr>
        <w:jc w:val="center"/>
        <w:ind w:left="5780"/>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jc w:val="center"/>
        <w:ind w:left="5820"/>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3745230</wp:posOffset>
            </wp:positionH>
            <wp:positionV relativeFrom="paragraph">
              <wp:posOffset>22860</wp:posOffset>
            </wp:positionV>
            <wp:extent cx="192087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920875" cy="8890"/>
                    </a:xfrm>
                    <a:prstGeom prst="rect">
                      <a:avLst/>
                    </a:prstGeom>
                    <a:noFill/>
                  </pic:spPr>
                </pic:pic>
              </a:graphicData>
            </a:graphic>
          </wp:anchor>
        </w:drawing>
      </w:r>
    </w:p>
    <w:p>
      <w:pPr>
        <w:spacing w:after="0" w:line="38"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5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7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5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income</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15,137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11,927</w:t>
            </w:r>
          </w:p>
        </w:tc>
      </w:tr>
      <w:tr>
        <w:trPr>
          <w:trHeight w:val="243"/>
        </w:trPr>
        <w:tc>
          <w:tcPr>
            <w:tcW w:w="5780" w:type="dxa"/>
            <w:vAlign w:val="bottom"/>
          </w:tcPr>
          <w:p>
            <w:pPr>
              <w:ind w:left="260"/>
              <w:spacing w:after="0"/>
              <w:rPr>
                <w:sz w:val="20"/>
                <w:szCs w:val="20"/>
                <w:color w:val="auto"/>
              </w:rPr>
            </w:pPr>
            <w:r>
              <w:rPr>
                <w:rFonts w:ascii="Arial" w:cs="Arial" w:eastAsia="Arial" w:hAnsi="Arial"/>
                <w:sz w:val="18"/>
                <w:szCs w:val="18"/>
                <w:color w:val="auto"/>
              </w:rPr>
              <w:t>Campus consolidation costs including depreciation</w:t>
            </w:r>
          </w:p>
        </w:tc>
        <w:tc>
          <w:tcPr>
            <w:tcW w:w="320" w:type="dxa"/>
            <w:vAlign w:val="bottom"/>
          </w:tcPr>
          <w:p>
            <w:pPr>
              <w:spacing w:after="0"/>
              <w:rPr>
                <w:sz w:val="21"/>
                <w:szCs w:val="21"/>
                <w:color w:val="auto"/>
              </w:rPr>
            </w:pPr>
          </w:p>
        </w:tc>
        <w:tc>
          <w:tcPr>
            <w:tcW w:w="1140" w:type="dxa"/>
            <w:vAlign w:val="bottom"/>
          </w:tcPr>
          <w:p>
            <w:pPr>
              <w:jc w:val="right"/>
              <w:ind w:right="250"/>
              <w:spacing w:after="0"/>
              <w:rPr>
                <w:sz w:val="20"/>
                <w:szCs w:val="20"/>
                <w:color w:val="auto"/>
              </w:rPr>
            </w:pPr>
            <w:r>
              <w:rPr>
                <w:rFonts w:ascii="Arial" w:cs="Arial" w:eastAsia="Arial" w:hAnsi="Arial"/>
                <w:sz w:val="18"/>
                <w:szCs w:val="18"/>
                <w:color w:val="auto"/>
              </w:rPr>
              <w:t>483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30"/>
              <w:spacing w:after="0"/>
              <w:rPr>
                <w:sz w:val="20"/>
                <w:szCs w:val="20"/>
                <w:color w:val="auto"/>
              </w:rPr>
            </w:pPr>
            <w:r>
              <w:rPr>
                <w:rFonts w:ascii="Arial" w:cs="Arial" w:eastAsia="Arial" w:hAnsi="Arial"/>
                <w:sz w:val="18"/>
                <w:szCs w:val="18"/>
                <w:color w:val="auto"/>
              </w:rPr>
              <w:t>2,541</w:t>
            </w:r>
          </w:p>
        </w:tc>
      </w:tr>
      <w:tr>
        <w:trPr>
          <w:trHeight w:val="27"/>
        </w:trPr>
        <w:tc>
          <w:tcPr>
            <w:tcW w:w="5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7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Offering and other costs</w:t>
            </w:r>
          </w:p>
        </w:tc>
        <w:tc>
          <w:tcPr>
            <w:tcW w:w="3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178</w:t>
            </w:r>
          </w:p>
        </w:tc>
      </w:tr>
      <w:tr>
        <w:trPr>
          <w:trHeight w:val="243"/>
        </w:trPr>
        <w:tc>
          <w:tcPr>
            <w:tcW w:w="5780" w:type="dxa"/>
            <w:vAlign w:val="bottom"/>
          </w:tcPr>
          <w:p>
            <w:pPr>
              <w:ind w:left="260"/>
              <w:spacing w:after="0"/>
              <w:rPr>
                <w:sz w:val="20"/>
                <w:szCs w:val="20"/>
                <w:color w:val="auto"/>
              </w:rPr>
            </w:pPr>
            <w:r>
              <w:rPr>
                <w:rFonts w:ascii="Arial" w:cs="Arial" w:eastAsia="Arial" w:hAnsi="Arial"/>
                <w:sz w:val="18"/>
                <w:szCs w:val="18"/>
                <w:color w:val="auto"/>
              </w:rPr>
              <w:t>Non-recurring refinancing related fees</w:t>
            </w:r>
          </w:p>
        </w:tc>
        <w:tc>
          <w:tcPr>
            <w:tcW w:w="320" w:type="dxa"/>
            <w:vAlign w:val="bottom"/>
          </w:tcPr>
          <w:p>
            <w:pPr>
              <w:spacing w:after="0"/>
              <w:rPr>
                <w:sz w:val="21"/>
                <w:szCs w:val="21"/>
                <w:color w:val="auto"/>
              </w:rPr>
            </w:pP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230"/>
              <w:spacing w:after="0"/>
              <w:rPr>
                <w:sz w:val="20"/>
                <w:szCs w:val="20"/>
                <w:color w:val="auto"/>
              </w:rPr>
            </w:pPr>
            <w:r>
              <w:rPr>
                <w:rFonts w:ascii="Arial" w:cs="Arial" w:eastAsia="Arial" w:hAnsi="Arial"/>
                <w:sz w:val="18"/>
                <w:szCs w:val="18"/>
                <w:color w:val="auto"/>
              </w:rPr>
              <w:t>1,695</w:t>
            </w:r>
          </w:p>
        </w:tc>
      </w:tr>
      <w:tr>
        <w:trPr>
          <w:trHeight w:val="27"/>
        </w:trPr>
        <w:tc>
          <w:tcPr>
            <w:tcW w:w="57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5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operating income</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15,620</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16,341</w:t>
            </w:r>
          </w:p>
        </w:tc>
      </w:tr>
      <w:tr>
        <w:trPr>
          <w:trHeight w:val="20"/>
        </w:trPr>
        <w:tc>
          <w:tcPr>
            <w:tcW w:w="57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251"/>
        </w:trPr>
        <w:tc>
          <w:tcPr>
            <w:tcW w:w="5780" w:type="dxa"/>
            <w:vAlign w:val="bottom"/>
          </w:tcPr>
          <w:p>
            <w:pPr>
              <w:ind w:left="20"/>
              <w:spacing w:after="0"/>
              <w:rPr>
                <w:sz w:val="20"/>
                <w:szCs w:val="20"/>
                <w:color w:val="auto"/>
              </w:rPr>
            </w:pPr>
            <w:r>
              <w:rPr>
                <w:rFonts w:ascii="Arial" w:cs="Arial" w:eastAsia="Arial" w:hAnsi="Arial"/>
                <w:sz w:val="18"/>
                <w:szCs w:val="18"/>
                <w:color w:val="auto"/>
              </w:rPr>
              <w:t>Adjusted operating income, as a percentage of revenues</w:t>
            </w:r>
          </w:p>
        </w:tc>
        <w:tc>
          <w:tcPr>
            <w:tcW w:w="32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18.9%</w:t>
            </w:r>
          </w:p>
        </w:tc>
        <w:tc>
          <w:tcPr>
            <w:tcW w:w="1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20.1%</w:t>
            </w:r>
          </w:p>
        </w:tc>
      </w:tr>
      <w:tr>
        <w:trPr>
          <w:trHeight w:val="20"/>
        </w:trPr>
        <w:tc>
          <w:tcPr>
            <w:tcW w:w="57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5 of 9</w:t>
      </w:r>
    </w:p>
    <w:p>
      <w:pPr>
        <w:sectPr>
          <w:pgSz w:w="11900" w:h="16838" w:orient="portrait"/>
          <w:cols w:equalWidth="0" w:num="1">
            <w:col w:w="9019"/>
          </w:cols>
          <w:pgMar w:left="1440" w:top="850" w:right="1440" w:bottom="1440" w:gutter="0" w:footer="0" w:header="0"/>
        </w:sectPr>
      </w:pPr>
    </w:p>
    <w:bookmarkStart w:id="9" w:name="page10"/>
    <w:bookmarkEnd w:id="9"/>
    <w:p>
      <w:pPr>
        <w:ind w:left="4144"/>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804"/>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ind w:left="3304"/>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99" w:lineRule="exact"/>
        <w:rPr>
          <w:sz w:val="20"/>
          <w:szCs w:val="20"/>
          <w:color w:val="auto"/>
        </w:rPr>
      </w:pPr>
    </w:p>
    <w:p>
      <w:pPr>
        <w:ind w:left="7324"/>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ind w:left="7764"/>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4193540</wp:posOffset>
            </wp:positionH>
            <wp:positionV relativeFrom="paragraph">
              <wp:posOffset>22860</wp:posOffset>
            </wp:positionV>
            <wp:extent cx="197231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72310" cy="8890"/>
                    </a:xfrm>
                    <a:prstGeom prst="rect">
                      <a:avLst/>
                    </a:prstGeom>
                    <a:noFill/>
                  </pic:spPr>
                </pic:pic>
              </a:graphicData>
            </a:graphic>
          </wp:anchor>
        </w:drawing>
      </w:r>
    </w:p>
    <w:p>
      <w:pPr>
        <w:spacing w:after="0" w:line="38" w:lineRule="exact"/>
        <w:rPr>
          <w:sz w:val="20"/>
          <w:szCs w:val="20"/>
          <w:color w:val="auto"/>
        </w:rPr>
      </w:pPr>
    </w:p>
    <w:tbl>
      <w:tblPr>
        <w:tblLayout w:type="fixed"/>
        <w:tblInd w:w="424" w:type="dxa"/>
        <w:tblCellMar>
          <w:top w:w="0" w:type="dxa"/>
          <w:left w:w="0" w:type="dxa"/>
          <w:bottom w:w="0" w:type="dxa"/>
          <w:right w:w="0" w:type="dxa"/>
        </w:tblCellMar>
      </w:tblPr>
      <w:tr>
        <w:trPr>
          <w:trHeight w:val="234"/>
        </w:trPr>
        <w:tc>
          <w:tcPr>
            <w:tcW w:w="6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8,211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4,138</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20"/>
              <w:spacing w:after="0"/>
              <w:rPr>
                <w:sz w:val="20"/>
                <w:szCs w:val="20"/>
                <w:color w:val="auto"/>
              </w:rPr>
            </w:pPr>
            <w:r>
              <w:rPr>
                <w:rFonts w:ascii="Arial" w:cs="Arial" w:eastAsia="Arial" w:hAnsi="Arial"/>
                <w:sz w:val="18"/>
                <w:szCs w:val="18"/>
                <w:i w:val="1"/>
                <w:iCs w:val="1"/>
                <w:color w:val="auto"/>
              </w:rPr>
              <w:t>Reconciling items impacting operating income:</w:t>
            </w: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18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Campus consolidation costs including depreciation</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483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2,541</w:t>
            </w:r>
          </w:p>
        </w:tc>
        <w:tc>
          <w:tcPr>
            <w:tcW w:w="0" w:type="dxa"/>
            <w:vAlign w:val="bottom"/>
          </w:tcPr>
          <w:p>
            <w:pPr>
              <w:spacing w:after="0"/>
              <w:rPr>
                <w:sz w:val="1"/>
                <w:szCs w:val="1"/>
                <w:color w:val="auto"/>
              </w:rPr>
            </w:pPr>
          </w:p>
        </w:tc>
      </w:tr>
      <w:tr>
        <w:trPr>
          <w:trHeight w:val="243"/>
        </w:trPr>
        <w:tc>
          <w:tcPr>
            <w:tcW w:w="6180" w:type="dxa"/>
            <w:vAlign w:val="bottom"/>
          </w:tcPr>
          <w:p>
            <w:pPr>
              <w:ind w:left="260"/>
              <w:spacing w:after="0"/>
              <w:rPr>
                <w:sz w:val="20"/>
                <w:szCs w:val="20"/>
                <w:color w:val="auto"/>
              </w:rPr>
            </w:pPr>
            <w:r>
              <w:rPr>
                <w:rFonts w:ascii="Arial" w:cs="Arial" w:eastAsia="Arial" w:hAnsi="Arial"/>
                <w:sz w:val="18"/>
                <w:szCs w:val="18"/>
                <w:color w:val="auto"/>
              </w:rPr>
              <w:t>Offering and other costs</w:t>
            </w:r>
          </w:p>
        </w:tc>
        <w:tc>
          <w:tcPr>
            <w:tcW w:w="340" w:type="dxa"/>
            <w:vAlign w:val="bottom"/>
          </w:tcPr>
          <w:p>
            <w:pPr>
              <w:spacing w:after="0"/>
              <w:rPr>
                <w:sz w:val="21"/>
                <w:szCs w:val="21"/>
                <w:color w:val="auto"/>
              </w:rPr>
            </w:pPr>
          </w:p>
        </w:tc>
        <w:tc>
          <w:tcPr>
            <w:tcW w:w="126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60" w:type="dxa"/>
            <w:vAlign w:val="bottom"/>
          </w:tcPr>
          <w:p>
            <w:pPr>
              <w:jc w:val="right"/>
              <w:ind w:right="230"/>
              <w:spacing w:after="0"/>
              <w:rPr>
                <w:sz w:val="20"/>
                <w:szCs w:val="20"/>
                <w:color w:val="auto"/>
              </w:rPr>
            </w:pPr>
            <w:r>
              <w:rPr>
                <w:rFonts w:ascii="Arial" w:cs="Arial" w:eastAsia="Arial" w:hAnsi="Arial"/>
                <w:sz w:val="18"/>
                <w:szCs w:val="18"/>
                <w:color w:val="auto"/>
              </w:rPr>
              <w:t>178</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Non-recurring refinancing related fees</w:t>
            </w:r>
          </w:p>
        </w:tc>
        <w:tc>
          <w:tcPr>
            <w:tcW w:w="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1,695</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i w:val="1"/>
                <w:iCs w:val="1"/>
                <w:color w:val="auto"/>
              </w:rPr>
              <w:t>Reconciling items impacting non-operating expenses and income taxes:</w:t>
            </w: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Loss on debt extinguishment and retirement costs</w:t>
            </w:r>
          </w:p>
        </w:tc>
        <w:tc>
          <w:tcPr>
            <w:tcW w:w="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2,161</w:t>
            </w:r>
          </w:p>
        </w:tc>
        <w:tc>
          <w:tcPr>
            <w:tcW w:w="0" w:type="dxa"/>
            <w:vAlign w:val="bottom"/>
          </w:tcPr>
          <w:p>
            <w:pPr>
              <w:spacing w:after="0"/>
              <w:rPr>
                <w:sz w:val="1"/>
                <w:szCs w:val="1"/>
                <w:color w:val="auto"/>
              </w:rPr>
            </w:pPr>
          </w:p>
        </w:tc>
      </w:tr>
      <w:tr>
        <w:trPr>
          <w:trHeight w:val="270"/>
        </w:trPr>
        <w:tc>
          <w:tcPr>
            <w:tcW w:w="618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5"/>
                <w:szCs w:val="25"/>
                <w:color w:val="auto"/>
                <w:vertAlign w:val="superscript"/>
              </w:rPr>
              <w:t>(a) (b)</w:t>
            </w:r>
          </w:p>
        </w:tc>
        <w:tc>
          <w:tcPr>
            <w:tcW w:w="34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(1,660)</w:t>
            </w:r>
          </w:p>
        </w:tc>
        <w:tc>
          <w:tcPr>
            <w:tcW w:w="0" w:type="dxa"/>
            <w:vAlign w:val="bottom"/>
          </w:tcPr>
          <w:p>
            <w:pPr>
              <w:spacing w:after="0"/>
              <w:rPr>
                <w:sz w:val="1"/>
                <w:szCs w:val="1"/>
                <w:color w:val="auto"/>
              </w:rPr>
            </w:pPr>
          </w:p>
        </w:tc>
      </w:tr>
      <w:tr>
        <w:trPr>
          <w:trHeight w:val="257"/>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net income</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8,572</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9,053</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6180" w:type="dxa"/>
            <w:vAlign w:val="bottom"/>
          </w:tcPr>
          <w:p>
            <w:pPr>
              <w:ind w:left="20"/>
              <w:spacing w:after="0"/>
              <w:rPr>
                <w:sz w:val="20"/>
                <w:szCs w:val="20"/>
                <w:color w:val="auto"/>
              </w:rPr>
            </w:pPr>
            <w:r>
              <w:rPr>
                <w:rFonts w:ascii="Arial" w:cs="Arial" w:eastAsia="Arial" w:hAnsi="Arial"/>
                <w:sz w:val="18"/>
                <w:szCs w:val="18"/>
                <w:color w:val="auto"/>
              </w:rPr>
              <w:t>Adjusted net income, as a percentage of revenues</w:t>
            </w:r>
          </w:p>
        </w:tc>
        <w:tc>
          <w:tcPr>
            <w:tcW w:w="3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0" w:lineRule="exact"/>
        <w:rPr>
          <w:sz w:val="20"/>
          <w:szCs w:val="20"/>
          <w:color w:val="auto"/>
        </w:rPr>
      </w:pPr>
    </w:p>
    <w:p>
      <w:pPr>
        <w:ind w:left="7504"/>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ind w:left="7944"/>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4425315</wp:posOffset>
            </wp:positionH>
            <wp:positionV relativeFrom="paragraph">
              <wp:posOffset>22860</wp:posOffset>
            </wp:positionV>
            <wp:extent cx="174117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41170" cy="8890"/>
                    </a:xfrm>
                    <a:prstGeom prst="rect">
                      <a:avLst/>
                    </a:prstGeom>
                    <a:noFill/>
                  </pic:spPr>
                </pic:pic>
              </a:graphicData>
            </a:graphic>
          </wp:anchor>
        </w:drawing>
      </w:r>
    </w:p>
    <w:p>
      <w:pPr>
        <w:spacing w:after="0" w:line="38" w:lineRule="exact"/>
        <w:rPr>
          <w:sz w:val="20"/>
          <w:szCs w:val="20"/>
          <w:color w:val="auto"/>
        </w:rPr>
      </w:pPr>
    </w:p>
    <w:tbl>
      <w:tblPr>
        <w:tblLayout w:type="fixed"/>
        <w:tblInd w:w="424" w:type="dxa"/>
        <w:tblCellMar>
          <w:top w:w="0" w:type="dxa"/>
          <w:left w:w="0" w:type="dxa"/>
          <w:bottom w:w="0" w:type="dxa"/>
          <w:right w:w="0" w:type="dxa"/>
        </w:tblCellMar>
      </w:tblPr>
      <w:tr>
        <w:trPr>
          <w:trHeight w:val="234"/>
        </w:trPr>
        <w:tc>
          <w:tcPr>
            <w:tcW w:w="6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5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per share - diluted</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0.21</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0.11</w:t>
            </w:r>
          </w:p>
        </w:tc>
        <w:tc>
          <w:tcPr>
            <w:tcW w:w="0" w:type="dxa"/>
            <w:vAlign w:val="bottom"/>
          </w:tcPr>
          <w:p>
            <w:pPr>
              <w:spacing w:after="0"/>
              <w:rPr>
                <w:sz w:val="1"/>
                <w:szCs w:val="1"/>
                <w:color w:val="auto"/>
              </w:rPr>
            </w:pPr>
          </w:p>
        </w:tc>
      </w:tr>
      <w:tr>
        <w:trPr>
          <w:trHeight w:val="20"/>
        </w:trPr>
        <w:tc>
          <w:tcPr>
            <w:tcW w:w="6540" w:type="dxa"/>
            <w:vAlign w:val="bottom"/>
            <w:vMerge w:val="restart"/>
          </w:tcPr>
          <w:p>
            <w:pPr>
              <w:ind w:left="20"/>
              <w:spacing w:after="0"/>
              <w:rPr>
                <w:sz w:val="20"/>
                <w:szCs w:val="20"/>
                <w:color w:val="auto"/>
              </w:rPr>
            </w:pPr>
            <w:r>
              <w:rPr>
                <w:rFonts w:ascii="Arial" w:cs="Arial" w:eastAsia="Arial" w:hAnsi="Arial"/>
                <w:sz w:val="18"/>
                <w:szCs w:val="18"/>
                <w:i w:val="1"/>
                <w:iCs w:val="1"/>
                <w:color w:val="auto"/>
              </w:rPr>
              <w:t>Reconciling items impacting operating income:</w:t>
            </w: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54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Campus consolidation costs including depreciation</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0.07</w:t>
            </w:r>
          </w:p>
        </w:tc>
        <w:tc>
          <w:tcPr>
            <w:tcW w:w="0" w:type="dxa"/>
            <w:vAlign w:val="bottom"/>
          </w:tcPr>
          <w:p>
            <w:pPr>
              <w:spacing w:after="0"/>
              <w:rPr>
                <w:sz w:val="1"/>
                <w:szCs w:val="1"/>
                <w:color w:val="auto"/>
              </w:rPr>
            </w:pPr>
          </w:p>
        </w:tc>
      </w:tr>
      <w:tr>
        <w:trPr>
          <w:trHeight w:val="243"/>
        </w:trPr>
        <w:tc>
          <w:tcPr>
            <w:tcW w:w="6540" w:type="dxa"/>
            <w:vAlign w:val="bottom"/>
          </w:tcPr>
          <w:p>
            <w:pPr>
              <w:ind w:left="260"/>
              <w:spacing w:after="0"/>
              <w:rPr>
                <w:sz w:val="20"/>
                <w:szCs w:val="20"/>
                <w:color w:val="auto"/>
              </w:rPr>
            </w:pPr>
            <w:r>
              <w:rPr>
                <w:rFonts w:ascii="Arial" w:cs="Arial" w:eastAsia="Arial" w:hAnsi="Arial"/>
                <w:sz w:val="18"/>
                <w:szCs w:val="18"/>
                <w:color w:val="auto"/>
              </w:rPr>
              <w:t>Offering and other costs</w:t>
            </w:r>
          </w:p>
        </w:tc>
        <w:tc>
          <w:tcPr>
            <w:tcW w:w="30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Non-recurring refinancing related fees</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43"/>
        </w:trPr>
        <w:tc>
          <w:tcPr>
            <w:tcW w:w="6540" w:type="dxa"/>
            <w:vAlign w:val="bottom"/>
          </w:tcPr>
          <w:p>
            <w:pPr>
              <w:ind w:left="20"/>
              <w:spacing w:after="0"/>
              <w:rPr>
                <w:sz w:val="20"/>
                <w:szCs w:val="20"/>
                <w:color w:val="auto"/>
              </w:rPr>
            </w:pPr>
            <w:r>
              <w:rPr>
                <w:rFonts w:ascii="Arial" w:cs="Arial" w:eastAsia="Arial" w:hAnsi="Arial"/>
                <w:sz w:val="18"/>
                <w:szCs w:val="18"/>
                <w:i w:val="1"/>
                <w:iCs w:val="1"/>
                <w:color w:val="auto"/>
              </w:rPr>
              <w:t>Reconciling items impacting non-operating expenses and income taxes:</w:t>
            </w: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Loss on debt extinguishment and retirement costs</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70"/>
        </w:trPr>
        <w:tc>
          <w:tcPr>
            <w:tcW w:w="6540" w:type="dxa"/>
            <w:vAlign w:val="bottom"/>
          </w:tcPr>
          <w:p>
            <w:pPr>
              <w:ind w:left="260"/>
              <w:spacing w:after="0" w:line="270" w:lineRule="exact"/>
              <w:rPr>
                <w:sz w:val="20"/>
                <w:szCs w:val="20"/>
                <w:color w:val="auto"/>
              </w:rPr>
            </w:pPr>
            <w:r>
              <w:rPr>
                <w:rFonts w:ascii="Arial" w:cs="Arial" w:eastAsia="Arial" w:hAnsi="Arial"/>
                <w:sz w:val="18"/>
                <w:szCs w:val="18"/>
                <w:color w:val="auto"/>
              </w:rPr>
              <w:t>Tax effect of non-GAAP adjustments</w:t>
            </w:r>
            <w:r>
              <w:rPr>
                <w:rFonts w:ascii="Arial" w:cs="Arial" w:eastAsia="Arial" w:hAnsi="Arial"/>
                <w:sz w:val="25"/>
                <w:szCs w:val="25"/>
                <w:color w:val="auto"/>
                <w:vertAlign w:val="superscript"/>
              </w:rPr>
              <w:t>(a) (b)</w:t>
            </w:r>
          </w:p>
        </w:tc>
        <w:tc>
          <w:tcPr>
            <w:tcW w:w="300" w:type="dxa"/>
            <w:vAlign w:val="bottom"/>
          </w:tcPr>
          <w:p>
            <w:pPr>
              <w:spacing w:after="0"/>
              <w:rPr>
                <w:sz w:val="23"/>
                <w:szCs w:val="23"/>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257"/>
        </w:trPr>
        <w:tc>
          <w:tcPr>
            <w:tcW w:w="65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net income per share - diluted</w:t>
            </w:r>
          </w:p>
        </w:tc>
        <w:tc>
          <w:tcPr>
            <w:tcW w:w="30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0.22</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30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0.23</w:t>
            </w: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6540" w:type="dxa"/>
            <w:vAlign w:val="bottom"/>
          </w:tcPr>
          <w:p>
            <w:pPr>
              <w:ind w:left="20"/>
              <w:spacing w:after="0"/>
              <w:rPr>
                <w:sz w:val="20"/>
                <w:szCs w:val="20"/>
                <w:color w:val="auto"/>
              </w:rPr>
            </w:pPr>
            <w:r>
              <w:rPr>
                <w:rFonts w:ascii="Arial" w:cs="Arial" w:eastAsia="Arial" w:hAnsi="Arial"/>
                <w:sz w:val="18"/>
                <w:szCs w:val="18"/>
                <w:color w:val="auto"/>
              </w:rPr>
              <w:t>Weighted-average common shares outstanding - diluted</w:t>
            </w: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39,493</w:t>
            </w:r>
          </w:p>
        </w:tc>
        <w:tc>
          <w:tcPr>
            <w:tcW w:w="10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38,601</w:t>
            </w: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44" w:right="580" w:hanging="644"/>
        <w:spacing w:after="0" w:line="277" w:lineRule="auto"/>
        <w:tabs>
          <w:tab w:leader="none" w:pos="64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income tax effect of the adjustments between GAAP net income and non-GAAP adjusted net income takes into account the tax treatment and related tax rate that apply to each adjustment in the applicable tax jurisdiction.</w:t>
      </w:r>
    </w:p>
    <w:p>
      <w:pPr>
        <w:spacing w:after="0" w:line="278" w:lineRule="exact"/>
        <w:rPr>
          <w:rFonts w:ascii="Arial" w:cs="Arial" w:eastAsia="Arial" w:hAnsi="Arial"/>
          <w:sz w:val="18"/>
          <w:szCs w:val="18"/>
          <w:color w:val="auto"/>
        </w:rPr>
      </w:pPr>
    </w:p>
    <w:p>
      <w:pPr>
        <w:ind w:left="644" w:hanging="644"/>
        <w:spacing w:after="0" w:line="312" w:lineRule="auto"/>
        <w:tabs>
          <w:tab w:leader="none" w:pos="644" w:val="left"/>
        </w:tabs>
        <w:numPr>
          <w:ilvl w:val="0"/>
          <w:numId w:val="4"/>
        </w:numPr>
        <w:rPr>
          <w:rFonts w:ascii="Arial" w:cs="Arial" w:eastAsia="Arial" w:hAnsi="Arial"/>
          <w:sz w:val="16"/>
          <w:szCs w:val="16"/>
          <w:color w:val="auto"/>
        </w:rPr>
      </w:pPr>
      <w:r>
        <w:rPr>
          <w:rFonts w:ascii="Arial" w:cs="Arial" w:eastAsia="Arial" w:hAnsi="Arial"/>
          <w:sz w:val="16"/>
          <w:szCs w:val="16"/>
          <w:color w:val="auto"/>
        </w:rPr>
        <w:t>During the fourth quarter of 2017, we released the valuation allowance previously recorded against our domestic net deferred tax assets. As a result, we included the tax effect of non-GAAP adjustments starting in the fourth quarter of 2017. Presentation of 2017 Adjusted Net Income has been modified to allow better go-forward comparability by including the tax effect of non-GAAP reconciling items.</w:t>
      </w:r>
    </w:p>
    <w:p>
      <w:pPr>
        <w:spacing w:after="0" w:line="390" w:lineRule="exact"/>
        <w:rPr>
          <w:sz w:val="20"/>
          <w:szCs w:val="20"/>
          <w:color w:val="auto"/>
        </w:rPr>
      </w:pPr>
    </w:p>
    <w:p>
      <w:pPr>
        <w:ind w:left="4644"/>
        <w:spacing w:after="0"/>
        <w:rPr>
          <w:sz w:val="20"/>
          <w:szCs w:val="20"/>
          <w:color w:val="auto"/>
        </w:rPr>
      </w:pPr>
      <w:r>
        <w:rPr>
          <w:rFonts w:ascii="Arial" w:cs="Arial" w:eastAsia="Arial" w:hAnsi="Arial"/>
          <w:sz w:val="18"/>
          <w:szCs w:val="18"/>
          <w:color w:val="auto"/>
        </w:rPr>
        <w:t>Page 6 of 9</w:t>
      </w:r>
    </w:p>
    <w:p>
      <w:pPr>
        <w:sectPr>
          <w:pgSz w:w="11900" w:h="16838" w:orient="portrait"/>
          <w:cols w:equalWidth="0" w:num="1">
            <w:col w:w="10704"/>
          </w:cols>
          <w:pgMar w:left="896" w:top="850" w:right="299" w:bottom="1440" w:gutter="0" w:footer="0" w:header="0"/>
        </w:sectPr>
      </w:pPr>
    </w:p>
    <w:bookmarkStart w:id="10" w:name="page11"/>
    <w:bookmarkEnd w:id="10"/>
    <w:p>
      <w:pPr>
        <w:ind w:left="4144"/>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804"/>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376"/>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p>
      <w:pPr>
        <w:ind w:left="6844"/>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ind w:left="7284"/>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3850640</wp:posOffset>
            </wp:positionH>
            <wp:positionV relativeFrom="paragraph">
              <wp:posOffset>22860</wp:posOffset>
            </wp:positionV>
            <wp:extent cx="204089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040890" cy="8890"/>
                    </a:xfrm>
                    <a:prstGeom prst="rect">
                      <a:avLst/>
                    </a:prstGeom>
                    <a:noFill/>
                  </pic:spPr>
                </pic:pic>
              </a:graphicData>
            </a:graphic>
          </wp:anchor>
        </w:drawing>
      </w:r>
    </w:p>
    <w:p>
      <w:pPr>
        <w:spacing w:after="0" w:line="38" w:lineRule="exact"/>
        <w:rPr>
          <w:sz w:val="20"/>
          <w:szCs w:val="20"/>
          <w:color w:val="auto"/>
        </w:rPr>
      </w:pPr>
    </w:p>
    <w:tbl>
      <w:tblPr>
        <w:tblLayout w:type="fixed"/>
        <w:tblInd w:w="844" w:type="dxa"/>
        <w:tblCellMar>
          <w:top w:w="0" w:type="dxa"/>
          <w:left w:w="0" w:type="dxa"/>
          <w:bottom w:w="0" w:type="dxa"/>
          <w:right w:w="0" w:type="dxa"/>
        </w:tblCellMar>
      </w:tblPr>
      <w:tr>
        <w:trPr>
          <w:trHeight w:val="234"/>
        </w:trPr>
        <w:tc>
          <w:tcPr>
            <w:tcW w:w="5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r>
      <w:tr>
        <w:trPr>
          <w:trHeight w:val="27"/>
        </w:trPr>
        <w:tc>
          <w:tcPr>
            <w:tcW w:w="52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5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8,211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4,138</w:t>
            </w:r>
          </w:p>
        </w:tc>
      </w:tr>
      <w:tr>
        <w:trPr>
          <w:trHeight w:val="243"/>
        </w:trPr>
        <w:tc>
          <w:tcPr>
            <w:tcW w:w="5220" w:type="dxa"/>
            <w:vAlign w:val="bottom"/>
          </w:tcPr>
          <w:p>
            <w:pPr>
              <w:ind w:left="260"/>
              <w:spacing w:after="0"/>
              <w:rPr>
                <w:sz w:val="20"/>
                <w:szCs w:val="20"/>
                <w:color w:val="auto"/>
              </w:rPr>
            </w:pPr>
            <w:r>
              <w:rPr>
                <w:rFonts w:ascii="Arial" w:cs="Arial" w:eastAsia="Arial" w:hAnsi="Arial"/>
                <w:sz w:val="18"/>
                <w:szCs w:val="18"/>
                <w:color w:val="auto"/>
              </w:rPr>
              <w:t>Interest expense, net</w:t>
            </w:r>
          </w:p>
        </w:tc>
        <w:tc>
          <w:tcPr>
            <w:tcW w:w="360" w:type="dxa"/>
            <w:vAlign w:val="bottom"/>
          </w:tcPr>
          <w:p>
            <w:pPr>
              <w:spacing w:after="0"/>
              <w:rPr>
                <w:sz w:val="21"/>
                <w:szCs w:val="21"/>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color w:val="auto"/>
              </w:rPr>
              <w:t>4,043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0" w:type="dxa"/>
            <w:vAlign w:val="bottom"/>
          </w:tcPr>
          <w:p>
            <w:pPr>
              <w:jc w:val="right"/>
              <w:ind w:right="230"/>
              <w:spacing w:after="0"/>
              <w:rPr>
                <w:sz w:val="20"/>
                <w:szCs w:val="20"/>
                <w:color w:val="auto"/>
              </w:rPr>
            </w:pPr>
            <w:r>
              <w:rPr>
                <w:rFonts w:ascii="Arial" w:cs="Arial" w:eastAsia="Arial" w:hAnsi="Arial"/>
                <w:sz w:val="18"/>
                <w:szCs w:val="18"/>
                <w:color w:val="auto"/>
              </w:rPr>
              <w:t>5,417</w:t>
            </w:r>
          </w:p>
        </w:tc>
      </w:tr>
      <w:tr>
        <w:trPr>
          <w:trHeight w:val="27"/>
        </w:trPr>
        <w:tc>
          <w:tcPr>
            <w:tcW w:w="5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5220" w:type="dxa"/>
            <w:vAlign w:val="bottom"/>
            <w:shd w:val="clear" w:color="auto" w:fill="CCEEFF"/>
          </w:tcPr>
          <w:p>
            <w:pPr>
              <w:ind w:left="260"/>
              <w:spacing w:after="0" w:line="270" w:lineRule="exact"/>
              <w:rPr>
                <w:sz w:val="20"/>
                <w:szCs w:val="20"/>
                <w:color w:val="auto"/>
              </w:rPr>
            </w:pPr>
            <w:r>
              <w:rPr>
                <w:rFonts w:ascii="Arial" w:cs="Arial" w:eastAsia="Arial" w:hAnsi="Arial"/>
                <w:sz w:val="18"/>
                <w:szCs w:val="18"/>
                <w:color w:val="auto"/>
              </w:rPr>
              <w:t>Income tax expense</w:t>
            </w:r>
            <w:r>
              <w:rPr>
                <w:rFonts w:ascii="Arial" w:cs="Arial" w:eastAsia="Arial" w:hAnsi="Arial"/>
                <w:sz w:val="25"/>
                <w:szCs w:val="25"/>
                <w:color w:val="auto"/>
                <w:vertAlign w:val="superscript"/>
              </w:rPr>
              <w:t>(a)</w:t>
            </w:r>
          </w:p>
        </w:tc>
        <w:tc>
          <w:tcPr>
            <w:tcW w:w="3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2,955</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296</w:t>
            </w:r>
          </w:p>
        </w:tc>
      </w:tr>
      <w:tr>
        <w:trPr>
          <w:trHeight w:val="243"/>
        </w:trPr>
        <w:tc>
          <w:tcPr>
            <w:tcW w:w="5220" w:type="dxa"/>
            <w:vAlign w:val="bottom"/>
          </w:tcPr>
          <w:p>
            <w:pPr>
              <w:ind w:left="260"/>
              <w:spacing w:after="0"/>
              <w:rPr>
                <w:sz w:val="20"/>
                <w:szCs w:val="20"/>
                <w:color w:val="auto"/>
              </w:rPr>
            </w:pPr>
            <w:r>
              <w:rPr>
                <w:rFonts w:ascii="Arial" w:cs="Arial" w:eastAsia="Arial" w:hAnsi="Arial"/>
                <w:sz w:val="18"/>
                <w:szCs w:val="18"/>
                <w:color w:val="auto"/>
              </w:rPr>
              <w:t>Depreciation</w:t>
            </w:r>
          </w:p>
        </w:tc>
        <w:tc>
          <w:tcPr>
            <w:tcW w:w="360" w:type="dxa"/>
            <w:vAlign w:val="bottom"/>
          </w:tcPr>
          <w:p>
            <w:pPr>
              <w:spacing w:after="0"/>
              <w:rPr>
                <w:sz w:val="21"/>
                <w:szCs w:val="21"/>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color w:val="auto"/>
              </w:rPr>
              <w:t>1,874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0" w:type="dxa"/>
            <w:vAlign w:val="bottom"/>
          </w:tcPr>
          <w:p>
            <w:pPr>
              <w:jc w:val="right"/>
              <w:ind w:right="230"/>
              <w:spacing w:after="0"/>
              <w:rPr>
                <w:sz w:val="20"/>
                <w:szCs w:val="20"/>
                <w:color w:val="auto"/>
              </w:rPr>
            </w:pPr>
            <w:r>
              <w:rPr>
                <w:rFonts w:ascii="Arial" w:cs="Arial" w:eastAsia="Arial" w:hAnsi="Arial"/>
                <w:sz w:val="18"/>
                <w:szCs w:val="18"/>
                <w:color w:val="auto"/>
              </w:rPr>
              <w:t>4,514</w:t>
            </w:r>
          </w:p>
        </w:tc>
      </w:tr>
      <w:tr>
        <w:trPr>
          <w:trHeight w:val="27"/>
        </w:trPr>
        <w:tc>
          <w:tcPr>
            <w:tcW w:w="5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5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of intangible assets</w:t>
            </w:r>
          </w:p>
        </w:tc>
        <w:tc>
          <w:tcPr>
            <w:tcW w:w="3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1,722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1,646</w:t>
            </w:r>
          </w:p>
        </w:tc>
      </w:tr>
      <w:tr>
        <w:trPr>
          <w:trHeight w:val="237"/>
        </w:trPr>
        <w:tc>
          <w:tcPr>
            <w:tcW w:w="5220" w:type="dxa"/>
            <w:vAlign w:val="bottom"/>
          </w:tcPr>
          <w:p>
            <w:pPr>
              <w:ind w:left="20"/>
              <w:spacing w:after="0"/>
              <w:rPr>
                <w:sz w:val="20"/>
                <w:szCs w:val="20"/>
                <w:color w:val="auto"/>
              </w:rPr>
            </w:pPr>
            <w:r>
              <w:rPr>
                <w:rFonts w:ascii="Arial" w:cs="Arial" w:eastAsia="Arial" w:hAnsi="Arial"/>
                <w:sz w:val="18"/>
                <w:szCs w:val="18"/>
                <w:color w:val="auto"/>
              </w:rPr>
              <w:t>EBITDA</w:t>
            </w:r>
          </w:p>
        </w:tc>
        <w:tc>
          <w:tcPr>
            <w:tcW w:w="3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rPr>
              <w:t>18,805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16,011</w:t>
            </w:r>
          </w:p>
        </w:tc>
      </w:tr>
      <w:tr>
        <w:trPr>
          <w:trHeight w:val="27"/>
        </w:trPr>
        <w:tc>
          <w:tcPr>
            <w:tcW w:w="5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Stock and incentive plan compensation</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1,977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1,292</w:t>
            </w:r>
          </w:p>
        </w:tc>
      </w:tr>
      <w:tr>
        <w:trPr>
          <w:trHeight w:val="270"/>
        </w:trPr>
        <w:tc>
          <w:tcPr>
            <w:tcW w:w="5220" w:type="dxa"/>
            <w:vAlign w:val="bottom"/>
          </w:tcPr>
          <w:p>
            <w:pPr>
              <w:ind w:left="260"/>
              <w:spacing w:after="0" w:line="270" w:lineRule="exact"/>
              <w:rPr>
                <w:sz w:val="20"/>
                <w:szCs w:val="20"/>
                <w:color w:val="auto"/>
              </w:rPr>
            </w:pPr>
            <w:r>
              <w:rPr>
                <w:rFonts w:ascii="Arial" w:cs="Arial" w:eastAsia="Arial" w:hAnsi="Arial"/>
                <w:sz w:val="18"/>
                <w:szCs w:val="18"/>
                <w:color w:val="auto"/>
              </w:rPr>
              <w:t xml:space="preserve">Asset write-off </w:t>
            </w:r>
            <w:r>
              <w:rPr>
                <w:rFonts w:ascii="Arial" w:cs="Arial" w:eastAsia="Arial" w:hAnsi="Arial"/>
                <w:sz w:val="25"/>
                <w:szCs w:val="25"/>
                <w:color w:val="auto"/>
                <w:vertAlign w:val="superscript"/>
              </w:rPr>
              <w:t>(b)</w:t>
            </w:r>
          </w:p>
        </w:tc>
        <w:tc>
          <w:tcPr>
            <w:tcW w:w="360" w:type="dxa"/>
            <w:vAlign w:val="bottom"/>
          </w:tcPr>
          <w:p>
            <w:pPr>
              <w:spacing w:after="0"/>
              <w:rPr>
                <w:sz w:val="23"/>
                <w:szCs w:val="23"/>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color w:val="auto"/>
              </w:rPr>
              <w:t>1,245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00" w:type="dxa"/>
            <w:vAlign w:val="bottom"/>
          </w:tcPr>
          <w:p>
            <w:pPr>
              <w:jc w:val="right"/>
              <w:ind w:right="230"/>
              <w:spacing w:after="0"/>
              <w:rPr>
                <w:sz w:val="20"/>
                <w:szCs w:val="20"/>
                <w:color w:val="auto"/>
              </w:rPr>
            </w:pPr>
            <w:r>
              <w:rPr>
                <w:rFonts w:ascii="Arial" w:cs="Arial" w:eastAsia="Arial" w:hAnsi="Arial"/>
                <w:sz w:val="18"/>
                <w:szCs w:val="18"/>
                <w:color w:val="auto"/>
              </w:rPr>
              <w:t>312</w:t>
            </w:r>
          </w:p>
        </w:tc>
      </w:tr>
      <w:tr>
        <w:trPr>
          <w:trHeight w:val="270"/>
        </w:trPr>
        <w:tc>
          <w:tcPr>
            <w:tcW w:w="5220" w:type="dxa"/>
            <w:vAlign w:val="bottom"/>
            <w:shd w:val="clear" w:color="auto" w:fill="CCEEFF"/>
          </w:tcPr>
          <w:p>
            <w:pPr>
              <w:ind w:left="260"/>
              <w:spacing w:after="0" w:line="270" w:lineRule="exact"/>
              <w:rPr>
                <w:sz w:val="20"/>
                <w:szCs w:val="20"/>
                <w:color w:val="auto"/>
              </w:rPr>
            </w:pPr>
            <w:r>
              <w:rPr>
                <w:rFonts w:ascii="Arial" w:cs="Arial" w:eastAsia="Arial" w:hAnsi="Arial"/>
                <w:sz w:val="18"/>
                <w:szCs w:val="18"/>
                <w:color w:val="auto"/>
              </w:rPr>
              <w:t xml:space="preserve">Severance and recruiting costs </w:t>
            </w:r>
            <w:r>
              <w:rPr>
                <w:rFonts w:ascii="Arial" w:cs="Arial" w:eastAsia="Arial" w:hAnsi="Arial"/>
                <w:sz w:val="25"/>
                <w:szCs w:val="25"/>
                <w:color w:val="auto"/>
                <w:vertAlign w:val="superscript"/>
              </w:rPr>
              <w:t>(c)</w:t>
            </w:r>
          </w:p>
        </w:tc>
        <w:tc>
          <w:tcPr>
            <w:tcW w:w="3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209</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139</w:t>
            </w:r>
          </w:p>
        </w:tc>
      </w:tr>
      <w:tr>
        <w:trPr>
          <w:trHeight w:val="270"/>
        </w:trPr>
        <w:tc>
          <w:tcPr>
            <w:tcW w:w="5220" w:type="dxa"/>
            <w:vAlign w:val="bottom"/>
          </w:tcPr>
          <w:p>
            <w:pPr>
              <w:ind w:left="260"/>
              <w:spacing w:after="0" w:line="270" w:lineRule="exact"/>
              <w:rPr>
                <w:sz w:val="20"/>
                <w:szCs w:val="20"/>
                <w:color w:val="auto"/>
              </w:rPr>
            </w:pPr>
            <w:r>
              <w:rPr>
                <w:rFonts w:ascii="Arial" w:cs="Arial" w:eastAsia="Arial" w:hAnsi="Arial"/>
                <w:sz w:val="18"/>
                <w:szCs w:val="18"/>
                <w:color w:val="auto"/>
              </w:rPr>
              <w:t xml:space="preserve">Offering and other costs </w:t>
            </w:r>
            <w:r>
              <w:rPr>
                <w:rFonts w:ascii="Arial" w:cs="Arial" w:eastAsia="Arial" w:hAnsi="Arial"/>
                <w:sz w:val="25"/>
                <w:szCs w:val="25"/>
                <w:color w:val="auto"/>
                <w:vertAlign w:val="superscript"/>
              </w:rPr>
              <w:t>(d)</w:t>
            </w:r>
          </w:p>
        </w:tc>
        <w:tc>
          <w:tcPr>
            <w:tcW w:w="360" w:type="dxa"/>
            <w:vAlign w:val="bottom"/>
          </w:tcPr>
          <w:p>
            <w:pPr>
              <w:spacing w:after="0"/>
              <w:rPr>
                <w:sz w:val="23"/>
                <w:szCs w:val="23"/>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3"/>
                <w:szCs w:val="23"/>
                <w:color w:val="auto"/>
              </w:rPr>
            </w:pPr>
          </w:p>
        </w:tc>
        <w:tc>
          <w:tcPr>
            <w:tcW w:w="1200" w:type="dxa"/>
            <w:vAlign w:val="bottom"/>
          </w:tcPr>
          <w:p>
            <w:pPr>
              <w:jc w:val="right"/>
              <w:ind w:right="230"/>
              <w:spacing w:after="0"/>
              <w:rPr>
                <w:sz w:val="20"/>
                <w:szCs w:val="20"/>
                <w:color w:val="auto"/>
              </w:rPr>
            </w:pPr>
            <w:r>
              <w:rPr>
                <w:rFonts w:ascii="Arial" w:cs="Arial" w:eastAsia="Arial" w:hAnsi="Arial"/>
                <w:sz w:val="18"/>
                <w:szCs w:val="18"/>
                <w:color w:val="auto"/>
              </w:rPr>
              <w:t>178</w:t>
            </w:r>
          </w:p>
        </w:tc>
      </w:tr>
      <w:tr>
        <w:trPr>
          <w:trHeight w:val="250"/>
        </w:trPr>
        <w:tc>
          <w:tcPr>
            <w:tcW w:w="5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Campus consolidation costs</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483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27</w:t>
            </w:r>
          </w:p>
        </w:tc>
      </w:tr>
      <w:tr>
        <w:trPr>
          <w:trHeight w:val="243"/>
        </w:trPr>
        <w:tc>
          <w:tcPr>
            <w:tcW w:w="5220" w:type="dxa"/>
            <w:vAlign w:val="bottom"/>
          </w:tcPr>
          <w:p>
            <w:pPr>
              <w:ind w:left="260"/>
              <w:spacing w:after="0"/>
              <w:rPr>
                <w:sz w:val="20"/>
                <w:szCs w:val="20"/>
                <w:color w:val="auto"/>
              </w:rPr>
            </w:pPr>
            <w:r>
              <w:rPr>
                <w:rFonts w:ascii="Arial" w:cs="Arial" w:eastAsia="Arial" w:hAnsi="Arial"/>
                <w:sz w:val="18"/>
                <w:szCs w:val="18"/>
                <w:color w:val="auto"/>
              </w:rPr>
              <w:t>Debt refinancing costs</w:t>
            </w:r>
          </w:p>
        </w:tc>
        <w:tc>
          <w:tcPr>
            <w:tcW w:w="360" w:type="dxa"/>
            <w:vAlign w:val="bottom"/>
          </w:tcPr>
          <w:p>
            <w:pPr>
              <w:spacing w:after="0"/>
              <w:rPr>
                <w:sz w:val="21"/>
                <w:szCs w:val="21"/>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200" w:type="dxa"/>
            <w:vAlign w:val="bottom"/>
          </w:tcPr>
          <w:p>
            <w:pPr>
              <w:jc w:val="right"/>
              <w:ind w:right="230"/>
              <w:spacing w:after="0"/>
              <w:rPr>
                <w:sz w:val="20"/>
                <w:szCs w:val="20"/>
                <w:color w:val="auto"/>
              </w:rPr>
            </w:pPr>
            <w:r>
              <w:rPr>
                <w:rFonts w:ascii="Arial" w:cs="Arial" w:eastAsia="Arial" w:hAnsi="Arial"/>
                <w:sz w:val="18"/>
                <w:szCs w:val="18"/>
                <w:color w:val="auto"/>
              </w:rPr>
              <w:t>1,695</w:t>
            </w:r>
          </w:p>
        </w:tc>
      </w:tr>
      <w:tr>
        <w:trPr>
          <w:trHeight w:val="27"/>
        </w:trPr>
        <w:tc>
          <w:tcPr>
            <w:tcW w:w="5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2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Extinguishment of debt and debt retirement costs</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2,161</w:t>
            </w:r>
          </w:p>
        </w:tc>
      </w:tr>
      <w:tr>
        <w:trPr>
          <w:trHeight w:val="270"/>
        </w:trPr>
        <w:tc>
          <w:tcPr>
            <w:tcW w:w="522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 xml:space="preserve">New manufacturer costs </w:t>
            </w:r>
            <w:r>
              <w:rPr>
                <w:rFonts w:ascii="Arial" w:cs="Arial" w:eastAsia="Arial" w:hAnsi="Arial"/>
                <w:sz w:val="25"/>
                <w:szCs w:val="25"/>
                <w:color w:val="auto"/>
                <w:vertAlign w:val="superscript"/>
              </w:rPr>
              <w:t>(e)</w:t>
            </w:r>
          </w:p>
        </w:tc>
        <w:tc>
          <w:tcPr>
            <w:tcW w:w="3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368</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836</w:t>
            </w:r>
          </w:p>
        </w:tc>
      </w:tr>
      <w:tr>
        <w:trPr>
          <w:trHeight w:val="257"/>
        </w:trPr>
        <w:tc>
          <w:tcPr>
            <w:tcW w:w="5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23,087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22,651</w:t>
            </w:r>
          </w:p>
        </w:tc>
      </w:tr>
      <w:tr>
        <w:trPr>
          <w:trHeight w:val="20"/>
        </w:trPr>
        <w:tc>
          <w:tcPr>
            <w:tcW w:w="5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251"/>
        </w:trPr>
        <w:tc>
          <w:tcPr>
            <w:tcW w:w="5220" w:type="dxa"/>
            <w:vAlign w:val="bottom"/>
          </w:tcPr>
          <w:p>
            <w:pPr>
              <w:ind w:left="20"/>
              <w:spacing w:after="0"/>
              <w:rPr>
                <w:sz w:val="20"/>
                <w:szCs w:val="20"/>
                <w:color w:val="auto"/>
              </w:rPr>
            </w:pPr>
            <w:r>
              <w:rPr>
                <w:rFonts w:ascii="Arial" w:cs="Arial" w:eastAsia="Arial" w:hAnsi="Arial"/>
                <w:sz w:val="18"/>
                <w:szCs w:val="18"/>
                <w:color w:val="auto"/>
              </w:rPr>
              <w:t>Adjusted EBITDA, as a percentage of revenues</w:t>
            </w:r>
          </w:p>
        </w:tc>
        <w:tc>
          <w:tcPr>
            <w:tcW w:w="36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27.9%</w:t>
            </w:r>
          </w:p>
        </w:tc>
        <w:tc>
          <w:tcPr>
            <w:tcW w:w="10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27.8%</w:t>
            </w:r>
          </w:p>
        </w:tc>
      </w:tr>
      <w:tr>
        <w:trPr>
          <w:trHeight w:val="20"/>
        </w:trPr>
        <w:tc>
          <w:tcPr>
            <w:tcW w:w="5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income tax expense, less tax indemnification income associated with BMS.</w:t>
      </w:r>
    </w:p>
    <w:p>
      <w:pPr>
        <w:spacing w:after="0" w:line="225" w:lineRule="exact"/>
        <w:rPr>
          <w:rFonts w:ascii="Arial" w:cs="Arial" w:eastAsia="Arial" w:hAnsi="Arial"/>
          <w:sz w:val="18"/>
          <w:szCs w:val="18"/>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non-cash losses incurred associated with inventory and other write-offs of long-lived assets.</w:t>
      </w:r>
    </w:p>
    <w:p>
      <w:pPr>
        <w:spacing w:after="0" w:line="225" w:lineRule="exact"/>
        <w:rPr>
          <w:rFonts w:ascii="Arial" w:cs="Arial" w:eastAsia="Arial" w:hAnsi="Arial"/>
          <w:sz w:val="18"/>
          <w:szCs w:val="18"/>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amounts consist of severance and recruitment costs related to employees, executives and directors.</w:t>
      </w:r>
    </w:p>
    <w:p>
      <w:pPr>
        <w:spacing w:after="0" w:line="225" w:lineRule="exact"/>
        <w:rPr>
          <w:rFonts w:ascii="Arial" w:cs="Arial" w:eastAsia="Arial" w:hAnsi="Arial"/>
          <w:sz w:val="18"/>
          <w:szCs w:val="18"/>
          <w:color w:val="auto"/>
        </w:rPr>
      </w:pPr>
    </w:p>
    <w:p>
      <w:pPr>
        <w:ind w:left="644" w:right="140" w:hanging="644"/>
        <w:spacing w:after="0" w:line="277" w:lineRule="auto"/>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offering costs incurred on behalf of certain shareholders pursuant to a registration rights agreement and other non-recurring costs.</w:t>
      </w:r>
    </w:p>
    <w:p>
      <w:pPr>
        <w:spacing w:after="0" w:line="170"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internal and external costs associated with establishing new manufacturing sources for our commercial and clinical candidate products.</w:t>
      </w:r>
    </w:p>
    <w:p>
      <w:pPr>
        <w:spacing w:after="0" w:line="200" w:lineRule="exact"/>
        <w:rPr>
          <w:sz w:val="20"/>
          <w:szCs w:val="20"/>
          <w:color w:val="auto"/>
        </w:rPr>
      </w:pPr>
    </w:p>
    <w:p>
      <w:pPr>
        <w:spacing w:after="0" w:line="322" w:lineRule="exact"/>
        <w:rPr>
          <w:sz w:val="20"/>
          <w:szCs w:val="20"/>
          <w:color w:val="auto"/>
        </w:rPr>
      </w:pPr>
    </w:p>
    <w:p>
      <w:pPr>
        <w:jc w:val="center"/>
        <w:ind w:right="376"/>
        <w:spacing w:after="0"/>
        <w:rPr>
          <w:sz w:val="20"/>
          <w:szCs w:val="20"/>
          <w:color w:val="auto"/>
        </w:rPr>
      </w:pPr>
      <w:r>
        <w:rPr>
          <w:rFonts w:ascii="Arial" w:cs="Arial" w:eastAsia="Arial" w:hAnsi="Arial"/>
          <w:sz w:val="18"/>
          <w:szCs w:val="18"/>
          <w:color w:val="auto"/>
        </w:rPr>
        <w:t>Page 7 of 9</w:t>
      </w:r>
    </w:p>
    <w:p>
      <w:pPr>
        <w:sectPr>
          <w:pgSz w:w="11900" w:h="16838" w:orient="portrait"/>
          <w:cols w:equalWidth="0" w:num="1">
            <w:col w:w="10504"/>
          </w:cols>
          <w:pgMar w:left="896" w:top="850" w:right="499" w:bottom="1440" w:gutter="0" w:footer="0" w:header="0"/>
        </w:sectPr>
      </w:pPr>
    </w:p>
    <w:bookmarkStart w:id="11" w:name="page12"/>
    <w:bookmarkEnd w:id="11"/>
    <w:p>
      <w:pPr>
        <w:ind w:left="36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240"/>
        <w:spacing w:after="0"/>
        <w:rPr>
          <w:sz w:val="20"/>
          <w:szCs w:val="20"/>
          <w:color w:val="auto"/>
        </w:rPr>
      </w:pPr>
      <w:r>
        <w:rPr>
          <w:rFonts w:ascii="Arial" w:cs="Arial" w:eastAsia="Arial" w:hAnsi="Arial"/>
          <w:sz w:val="18"/>
          <w:szCs w:val="18"/>
          <w:b w:val="1"/>
          <w:bCs w:val="1"/>
          <w:color w:val="auto"/>
        </w:rPr>
        <w:t>Reconciliation of Free Cash Flow</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p>
      <w:pPr>
        <w:ind w:left="6080"/>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ind w:left="6520"/>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3445510</wp:posOffset>
            </wp:positionH>
            <wp:positionV relativeFrom="paragraph">
              <wp:posOffset>22860</wp:posOffset>
            </wp:positionV>
            <wp:extent cx="188658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886585" cy="8890"/>
                    </a:xfrm>
                    <a:prstGeom prst="rect">
                      <a:avLst/>
                    </a:prstGeom>
                    <a:noFill/>
                  </pic:spPr>
                </pic:pic>
              </a:graphicData>
            </a:graphic>
          </wp:anchor>
        </w:drawing>
      </w:r>
    </w:p>
    <w:p>
      <w:pPr>
        <w:spacing w:after="0" w:line="38" w:lineRule="exact"/>
        <w:rPr>
          <w:sz w:val="20"/>
          <w:szCs w:val="20"/>
          <w:color w:val="auto"/>
        </w:rPr>
      </w:pPr>
    </w:p>
    <w:tbl>
      <w:tblPr>
        <w:tblLayout w:type="fixed"/>
        <w:tblInd w:w="640" w:type="dxa"/>
        <w:tblCellMar>
          <w:top w:w="0" w:type="dxa"/>
          <w:left w:w="0" w:type="dxa"/>
          <w:bottom w:w="0" w:type="dxa"/>
          <w:right w:w="0" w:type="dxa"/>
        </w:tblCellMar>
      </w:tblPr>
      <w:tr>
        <w:trPr>
          <w:trHeight w:val="234"/>
        </w:trPr>
        <w:tc>
          <w:tcPr>
            <w:tcW w:w="4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2017</w:t>
            </w:r>
          </w:p>
        </w:tc>
      </w:tr>
      <w:tr>
        <w:trPr>
          <w:trHeight w:val="27"/>
        </w:trPr>
        <w:tc>
          <w:tcPr>
            <w:tcW w:w="47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4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(used in) provided by operating activities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5,524</w:t>
            </w:r>
          </w:p>
        </w:tc>
      </w:tr>
      <w:tr>
        <w:trPr>
          <w:trHeight w:val="243"/>
        </w:trPr>
        <w:tc>
          <w:tcPr>
            <w:tcW w:w="4780" w:type="dxa"/>
            <w:vAlign w:val="bottom"/>
          </w:tcPr>
          <w:p>
            <w:pPr>
              <w:ind w:left="20"/>
              <w:spacing w:after="0"/>
              <w:rPr>
                <w:sz w:val="20"/>
                <w:szCs w:val="20"/>
                <w:color w:val="auto"/>
              </w:rPr>
            </w:pPr>
            <w:r>
              <w:rPr>
                <w:rFonts w:ascii="Arial" w:cs="Arial" w:eastAsia="Arial" w:hAnsi="Arial"/>
                <w:sz w:val="18"/>
                <w:szCs w:val="18"/>
                <w:color w:val="auto"/>
              </w:rPr>
              <w:t>Capital expenditures</w:t>
            </w: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(2,135)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(4,899)</w:t>
            </w:r>
          </w:p>
        </w:tc>
      </w:tr>
      <w:tr>
        <w:trPr>
          <w:trHeight w:val="27"/>
        </w:trPr>
        <w:tc>
          <w:tcPr>
            <w:tcW w:w="47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47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Free cash flow</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(2,801)</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625</w:t>
            </w:r>
          </w:p>
        </w:tc>
      </w:tr>
      <w:tr>
        <w:trPr>
          <w:trHeight w:val="20"/>
        </w:trPr>
        <w:tc>
          <w:tcPr>
            <w:tcW w:w="47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8 of 9</w:t>
      </w:r>
    </w:p>
    <w:p>
      <w:pPr>
        <w:sectPr>
          <w:pgSz w:w="11900" w:h="16838" w:orient="portrait"/>
          <w:cols w:equalWidth="0" w:num="1">
            <w:col w:w="9019"/>
          </w:cols>
          <w:pgMar w:left="1440" w:top="850" w:right="1440" w:bottom="1440" w:gutter="0" w:footer="0" w:header="0"/>
        </w:sectPr>
      </w:pPr>
    </w:p>
    <w:bookmarkStart w:id="12" w:name="page13"/>
    <w:bookmarkEnd w:id="12"/>
    <w:p>
      <w:pPr>
        <w:ind w:left="40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36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ind w:left="120"/>
              <w:spacing w:after="0"/>
              <w:rPr>
                <w:sz w:val="20"/>
                <w:szCs w:val="20"/>
                <w:color w:val="auto"/>
              </w:rPr>
            </w:pPr>
            <w:r>
              <w:rPr>
                <w:rFonts w:ascii="Arial" w:cs="Arial" w:eastAsia="Arial" w:hAnsi="Arial"/>
                <w:sz w:val="18"/>
                <w:szCs w:val="18"/>
                <w:b w:val="1"/>
                <w:bCs w:val="1"/>
                <w:color w:val="auto"/>
              </w:rPr>
              <w:t>March 31,</w:t>
            </w:r>
          </w:p>
        </w:tc>
        <w:tc>
          <w:tcPr>
            <w:tcW w:w="160" w:type="dxa"/>
            <w:vAlign w:val="bottom"/>
          </w:tcPr>
          <w:p>
            <w:pPr>
              <w:spacing w:after="0"/>
              <w:rPr>
                <w:sz w:val="18"/>
                <w:szCs w:val="18"/>
                <w:color w:val="auto"/>
              </w:rPr>
            </w:pPr>
          </w:p>
        </w:tc>
        <w:tc>
          <w:tcPr>
            <w:tcW w:w="132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December 31,</w:t>
            </w:r>
          </w:p>
        </w:tc>
        <w:tc>
          <w:tcPr>
            <w:tcW w:w="0" w:type="dxa"/>
            <w:vAlign w:val="bottom"/>
          </w:tcPr>
          <w:p>
            <w:pPr>
              <w:spacing w:after="0"/>
              <w:rPr>
                <w:sz w:val="1"/>
                <w:szCs w:val="1"/>
                <w:color w:val="auto"/>
              </w:rPr>
            </w:pPr>
          </w:p>
        </w:tc>
      </w:tr>
      <w:tr>
        <w:trPr>
          <w:trHeight w:val="234"/>
        </w:trPr>
        <w:tc>
          <w:tcPr>
            <w:tcW w:w="6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73,739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76,290</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Accounts receivable, net</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47,834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40,259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32,086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26,080</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Other current assets</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5,598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5,221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b w:val="1"/>
                <w:bCs w:val="1"/>
                <w:color w:val="auto"/>
              </w:rPr>
              <w:t>Total current assets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159,257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147,850</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Property, plant &amp; equipment, net</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93,777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92,999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Intangibles, net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11,106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11,798</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Goodwill</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15,714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83,655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87,010</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long-term assets</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29,080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28,487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Total assets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392,589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7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Current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2,750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Revolving line of credit</w:t>
            </w: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21,012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17,464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21,634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26,536</w:t>
            </w:r>
          </w:p>
        </w:tc>
        <w:tc>
          <w:tcPr>
            <w:tcW w:w="0" w:type="dxa"/>
            <w:vAlign w:val="bottom"/>
          </w:tcPr>
          <w:p>
            <w:pPr>
              <w:spacing w:after="0"/>
              <w:rPr>
                <w:sz w:val="1"/>
                <w:szCs w:val="1"/>
                <w:color w:val="auto"/>
              </w:rPr>
            </w:pPr>
          </w:p>
        </w:tc>
      </w:tr>
      <w:tr>
        <w:trPr>
          <w:trHeight w:val="237"/>
        </w:trPr>
        <w:tc>
          <w:tcPr>
            <w:tcW w:w="6740" w:type="dxa"/>
            <w:vAlign w:val="bottom"/>
          </w:tcPr>
          <w:p>
            <w:pPr>
              <w:ind w:left="500"/>
              <w:spacing w:after="0"/>
              <w:rPr>
                <w:sz w:val="20"/>
                <w:szCs w:val="20"/>
                <w:color w:val="auto"/>
              </w:rPr>
            </w:pPr>
            <w:r>
              <w:rPr>
                <w:rFonts w:ascii="Arial" w:cs="Arial" w:eastAsia="Arial" w:hAnsi="Arial"/>
                <w:sz w:val="18"/>
                <w:szCs w:val="18"/>
                <w:b w:val="1"/>
                <w:bCs w:val="1"/>
                <w:color w:val="auto"/>
              </w:rPr>
              <w:t>Total current liabilities</w:t>
            </w: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45,396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46,750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retirement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10,702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10,412</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Long-term debt, net</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264,972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265,393</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37,855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38,012</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b w:val="1"/>
                <w:bCs w:val="1"/>
                <w:color w:val="auto"/>
              </w:rPr>
              <w:t>Total liabilities</w:t>
            </w: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358,925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360,567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stockholders’ equity</w:t>
            </w:r>
          </w:p>
        </w:tc>
        <w:tc>
          <w:tcPr>
            <w:tcW w:w="2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33,664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23,291</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b w:val="1"/>
                <w:bCs w:val="1"/>
                <w:color w:val="auto"/>
              </w:rPr>
              <w:t>Total liabilities and stockholders’ equity</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392,589</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9 of 9</w:t>
      </w:r>
    </w:p>
    <w:sectPr>
      <w:pgSz w:w="11900" w:h="16838" w:orient="portrait"/>
      <w:cols w:equalWidth="0" w:num="1">
        <w:col w:w="9820"/>
      </w:cols>
      <w:pgMar w:left="1040" w:top="850" w:right="10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2019-12-07T22:48:53Z</dcterms:created>
  <dcterms:modified xsi:type="dcterms:W3CDTF">2019-12-07T22:48:53Z</dcterms:modified>
</cp:coreProperties>
</file>