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us5165441032_012919.txt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2)</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LANTHEUS HOLDINGS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516544103</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2018</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407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9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7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4" w:lineRule="exact"/>
        <w:rPr>
          <w:sz w:val="24"/>
          <w:szCs w:val="24"/>
          <w:color w:val="auto"/>
        </w:rPr>
      </w:pPr>
    </w:p>
    <w:p>
      <w:pPr>
        <w:ind w:right="427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line="233"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9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516544103</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8079" w:hanging="112"/>
        <w:spacing w:after="0" w:line="469"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5464971</w:t>
      </w:r>
    </w:p>
    <w:p>
      <w:pPr>
        <w:spacing w:after="0" w:line="7"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299"/>
          </w:cols>
          <w:pgMar w:left="160" w:top="164" w:right="1440" w:bottom="0" w:gutter="0" w:footer="0" w:header="0"/>
        </w:sectPr>
      </w:pPr>
    </w:p>
    <w:bookmarkStart w:id="1" w:name="page2"/>
    <w:bookmarkEnd w:id="1"/>
    <w:p>
      <w:pPr>
        <w:spacing w:after="0" w:line="24"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5540296</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559" w:hanging="112"/>
        <w:spacing w:after="0" w:line="469"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5540296</w:t>
      </w:r>
    </w:p>
    <w:p>
      <w:pPr>
        <w:spacing w:after="0" w:line="7"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14.4%</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LANTHEUS HOLDINGS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331 TREBLE COVE ROAD</w:t>
      </w:r>
    </w:p>
    <w:p>
      <w:pPr>
        <w:spacing w:after="0" w:line="238" w:lineRule="auto"/>
        <w:rPr>
          <w:sz w:val="20"/>
          <w:szCs w:val="20"/>
          <w:color w:val="auto"/>
        </w:rPr>
      </w:pPr>
      <w:r>
        <w:rPr>
          <w:rFonts w:ascii="Courier New" w:cs="Courier New" w:eastAsia="Courier New" w:hAnsi="Courier New"/>
          <w:sz w:val="18"/>
          <w:szCs w:val="18"/>
          <w:color w:val="auto"/>
        </w:rPr>
        <w:t>NORTH BILLERICA KS 01862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line="237"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line="238" w:lineRule="auto"/>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9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9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w:t>
      </w:r>
    </w:p>
    <w:p>
      <w:pPr>
        <w:sectPr>
          <w:pgSz w:w="11900" w:h="16863" w:orient="portrait"/>
          <w:cols w:equalWidth="0" w:num="1">
            <w:col w:w="10299"/>
          </w:cols>
          <w:pgMar w:left="160" w:top="56" w:right="1440" w:bottom="0" w:gutter="0" w:footer="0" w:header="0"/>
        </w:sectPr>
      </w:pPr>
    </w:p>
    <w:bookmarkStart w:id="2" w:name="page3"/>
    <w:bookmarkEnd w:id="2"/>
    <w:p>
      <w:pPr>
        <w:spacing w:after="0" w:line="25" w:lineRule="exact"/>
        <w:rPr>
          <w:sz w:val="20"/>
          <w:szCs w:val="20"/>
          <w:color w:val="auto"/>
        </w:rPr>
      </w:pPr>
    </w:p>
    <w:p>
      <w:pPr>
        <w:ind w:left="1280"/>
        <w:spacing w:after="0"/>
        <w:rPr>
          <w:sz w:val="20"/>
          <w:szCs w:val="20"/>
          <w:color w:val="auto"/>
        </w:rPr>
      </w:pPr>
      <w:r>
        <w:rPr>
          <w:rFonts w:ascii="Courier New" w:cs="Courier New" w:eastAsia="Courier New" w:hAnsi="Courier New"/>
          <w:sz w:val="18"/>
          <w:szCs w:val="18"/>
          <w:color w:val="auto"/>
        </w:rPr>
        <w:t>Rule 13d-1(b)(1)(ii)(F);</w:t>
      </w:r>
    </w:p>
    <w:p>
      <w:pPr>
        <w:spacing w:after="0" w:line="4" w:lineRule="exact"/>
        <w:rPr>
          <w:sz w:val="20"/>
          <w:szCs w:val="20"/>
          <w:color w:val="auto"/>
        </w:rPr>
      </w:pPr>
    </w:p>
    <w:p>
      <w:pPr>
        <w:ind w:left="1280" w:right="3439" w:hanging="1272"/>
        <w:spacing w:after="0" w:line="235" w:lineRule="auto"/>
        <w:tabs>
          <w:tab w:leader="none" w:pos="438"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139" w:hanging="1272"/>
        <w:spacing w:after="0" w:line="235" w:lineRule="auto"/>
        <w:tabs>
          <w:tab w:leader="none" w:pos="22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9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55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13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23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5540296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14.4%</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5464971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5540296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7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27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The interest of 1 such person, iShares Core S&amp;P Small-Cap ETF, in the common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stock of LANTHEUS HOLDINGS INC</w:t>
      </w:r>
    </w:p>
    <w:p>
      <w:pPr>
        <w:ind w:left="420"/>
        <w:spacing w:after="0" w:line="238" w:lineRule="auto"/>
        <w:rPr>
          <w:sz w:val="20"/>
          <w:szCs w:val="20"/>
          <w:color w:val="auto"/>
        </w:rPr>
      </w:pPr>
      <w:r>
        <w:rPr>
          <w:rFonts w:ascii="Courier New" w:cs="Courier New" w:eastAsia="Courier New" w:hAnsi="Courier New"/>
          <w:sz w:val="18"/>
          <w:szCs w:val="18"/>
          <w:color w:val="auto"/>
        </w:rPr>
        <w:t>is more than five percent of the total</w:t>
      </w:r>
    </w:p>
    <w:p>
      <w:pPr>
        <w:spacing w:after="0" w:line="238" w:lineRule="auto"/>
        <w:rPr>
          <w:sz w:val="20"/>
          <w:szCs w:val="20"/>
          <w:color w:val="auto"/>
        </w:rPr>
      </w:pPr>
      <w:r>
        <w:rPr>
          <w:rFonts w:ascii="Courier New" w:cs="Courier New" w:eastAsia="Courier New" w:hAnsi="Courier New"/>
          <w:sz w:val="18"/>
          <w:szCs w:val="18"/>
          <w:color w:val="auto"/>
        </w:rPr>
        <w:t>outstanding common stock.</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7. Identification and Classification of the Subsidiary Which</w:t>
      </w:r>
    </w:p>
    <w:p>
      <w:pPr>
        <w:sectPr>
          <w:pgSz w:w="11900" w:h="16863" w:orient="portrait"/>
          <w:cols w:equalWidth="0" w:num="1">
            <w:col w:w="10299"/>
          </w:cols>
          <w:pgMar w:left="160" w:top="56" w:right="1440" w:bottom="0" w:gutter="0" w:footer="0" w:header="0"/>
        </w:sectPr>
      </w:pPr>
    </w:p>
    <w:bookmarkStart w:id="3" w:name="page4"/>
    <w:bookmarkEnd w:id="3"/>
    <w:p>
      <w:pPr>
        <w:spacing w:after="0" w:line="24" w:lineRule="exact"/>
        <w:rPr>
          <w:sz w:val="20"/>
          <w:szCs w:val="20"/>
          <w:color w:val="auto"/>
        </w:rPr>
      </w:pPr>
    </w:p>
    <w:p>
      <w:pPr>
        <w:ind w:right="3859"/>
        <w:spacing w:after="0" w:line="235" w:lineRule="auto"/>
        <w:rPr>
          <w:sz w:val="20"/>
          <w:szCs w:val="20"/>
          <w:color w:val="auto"/>
        </w:rPr>
      </w:pPr>
      <w:r>
        <w:rPr>
          <w:rFonts w:ascii="Courier New" w:cs="Courier New" w:eastAsia="Courier New" w:hAnsi="Courier New"/>
          <w:sz w:val="18"/>
          <w:szCs w:val="18"/>
          <w:color w:val="auto"/>
        </w:rPr>
        <w:t>Acquired the Security Being Reported on by the Parent Holding Company or Control Person.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line="203" w:lineRule="exact"/>
              <w:rPr>
                <w:sz w:val="20"/>
                <w:szCs w:val="20"/>
                <w:color w:val="auto"/>
              </w:rPr>
            </w:pPr>
            <w:r>
              <w:rPr>
                <w:rFonts w:ascii="Courier New" w:cs="Courier New" w:eastAsia="Courier New" w:hAnsi="Courier New"/>
                <w:sz w:val="18"/>
                <w:szCs w:val="18"/>
                <w:color w:val="auto"/>
              </w:rPr>
              <w:t>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301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55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31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33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29, 2019</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659"/>
        <w:spacing w:after="0" w:line="268"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23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234" w:lineRule="auto"/>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1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Subsidiary</w:t>
      </w:r>
    </w:p>
    <w:p>
      <w:pPr>
        <w:spacing w:after="0" w:line="200" w:lineRule="exact"/>
        <w:rPr>
          <w:sz w:val="20"/>
          <w:szCs w:val="20"/>
          <w:color w:val="auto"/>
        </w:rPr>
      </w:pPr>
    </w:p>
    <w:p>
      <w:pPr>
        <w:spacing w:after="0" w:line="204"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BlackRock Advisors, LLC</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(Netherlands) B.V.</w:t>
      </w:r>
    </w:p>
    <w:p>
      <w:pPr>
        <w:sectPr>
          <w:pgSz w:w="11900" w:h="16862" w:orient="portrait"/>
          <w:cols w:equalWidth="0" w:num="1">
            <w:col w:w="10299"/>
          </w:cols>
          <w:pgMar w:left="160" w:top="62" w:right="1440" w:bottom="0" w:gutter="0" w:footer="0" w:header="0"/>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Fund Advisors*</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line="238"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Schweiz AG</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LLC</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301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17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71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313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31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09" w:lineRule="exact"/>
        <w:rPr>
          <w:sz w:val="20"/>
          <w:szCs w:val="20"/>
          <w:color w:val="auto"/>
        </w:rPr>
      </w:pPr>
    </w:p>
    <w:p>
      <w:pPr>
        <w:ind w:right="27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97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line="238" w:lineRule="auto"/>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299"/>
      </w:cols>
      <w:pgMar w:left="160" w:top="5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1]"/>
      <w:numFmt w:val="upperLetter"/>
      <w:start w:val="24"/>
    </w:lvl>
  </w:abstractNum>
  <w:abstractNum w:abstractNumId="7">
    <w:nsid w:val="5BD062C2"/>
    <w:multiLevelType w:val="hybridMultilevel"/>
    <w:lvl w:ilvl="0">
      <w:lvlJc w:val="left"/>
      <w:lvlText w:val="["/>
      <w:numFmt w:val="bullet"/>
      <w:start w:val="1"/>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2019-12-15T17:33:03Z</dcterms:created>
  <dcterms:modified xsi:type="dcterms:W3CDTF">2019-12-15T17:33:03Z</dcterms:modified>
</cp:coreProperties>
</file>