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229870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July 25,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217170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120" w:type="dxa"/>
        <w:tblCellMar>
          <w:top w:w="0" w:type="dxa"/>
          <w:left w:w="0" w:type="dxa"/>
          <w:bottom w:w="0" w:type="dxa"/>
          <w:right w:w="0" w:type="dxa"/>
        </w:tblCellMar>
      </w:tblPr>
      <w:tr>
        <w:trPr>
          <w:trHeight w:val="212"/>
        </w:trPr>
        <w:tc>
          <w:tcPr>
            <w:tcW w:w="4120" w:type="dxa"/>
            <w:vAlign w:val="bottom"/>
          </w:tcPr>
          <w:p>
            <w:pPr>
              <w:jc w:val="center"/>
              <w:ind w:right="2401"/>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220"/>
              <w:spacing w:after="0"/>
              <w:rPr>
                <w:sz w:val="20"/>
                <w:szCs w:val="20"/>
                <w:color w:val="auto"/>
              </w:rPr>
            </w:pPr>
            <w:r>
              <w:rPr>
                <w:rFonts w:ascii="Arial" w:cs="Arial" w:eastAsia="Arial" w:hAnsi="Arial"/>
                <w:sz w:val="18"/>
                <w:szCs w:val="18"/>
                <w:b w:val="1"/>
                <w:bCs w:val="1"/>
                <w:color w:val="auto"/>
              </w:rPr>
              <w:t>001-36569</w:t>
            </w:r>
          </w:p>
        </w:tc>
        <w:tc>
          <w:tcPr>
            <w:tcW w:w="2520" w:type="dxa"/>
            <w:vAlign w:val="bottom"/>
          </w:tcPr>
          <w:p>
            <w:pPr>
              <w:jc w:val="center"/>
              <w:ind w:left="1321"/>
              <w:spacing w:after="0"/>
              <w:rPr>
                <w:sz w:val="20"/>
                <w:szCs w:val="20"/>
                <w:color w:val="auto"/>
              </w:rPr>
            </w:pPr>
            <w:r>
              <w:rPr>
                <w:rFonts w:ascii="Arial" w:cs="Arial" w:eastAsia="Arial" w:hAnsi="Arial"/>
                <w:sz w:val="18"/>
                <w:szCs w:val="18"/>
                <w:b w:val="1"/>
                <w:bCs w:val="1"/>
                <w:color w:val="auto"/>
                <w:w w:val="91"/>
              </w:rPr>
              <w:t>35-2318913</w:t>
            </w:r>
          </w:p>
        </w:tc>
      </w:tr>
      <w:tr>
        <w:trPr>
          <w:trHeight w:val="149"/>
        </w:trPr>
        <w:tc>
          <w:tcPr>
            <w:tcW w:w="4120" w:type="dxa"/>
            <w:vAlign w:val="bottom"/>
          </w:tcPr>
          <w:p>
            <w:pPr>
              <w:jc w:val="center"/>
              <w:ind w:right="2401"/>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0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81"/>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18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6520" w:type="dxa"/>
            <w:vAlign w:val="bottom"/>
            <w:gridSpan w:val="2"/>
          </w:tcPr>
          <w:p>
            <w:pPr>
              <w:jc w:val="center"/>
              <w:ind w:right="982"/>
              <w:spacing w:after="0"/>
              <w:rPr>
                <w:sz w:val="20"/>
                <w:szCs w:val="20"/>
                <w:color w:val="auto"/>
              </w:rPr>
            </w:pPr>
            <w:r>
              <w:rPr>
                <w:rFonts w:ascii="Arial" w:cs="Arial" w:eastAsia="Arial" w:hAnsi="Arial"/>
                <w:sz w:val="18"/>
                <w:szCs w:val="18"/>
                <w:b w:val="1"/>
                <w:bCs w:val="1"/>
                <w:color w:val="auto"/>
                <w:w w:val="92"/>
              </w:rPr>
              <w:t>331 Treble Cove Road, North Billerica, MA</w:t>
            </w:r>
          </w:p>
        </w:tc>
        <w:tc>
          <w:tcPr>
            <w:tcW w:w="2520" w:type="dxa"/>
            <w:vAlign w:val="bottom"/>
          </w:tcPr>
          <w:p>
            <w:pPr>
              <w:jc w:val="center"/>
              <w:ind w:left="1341"/>
              <w:spacing w:after="0"/>
              <w:rPr>
                <w:sz w:val="20"/>
                <w:szCs w:val="20"/>
                <w:color w:val="auto"/>
              </w:rPr>
            </w:pPr>
            <w:r>
              <w:rPr>
                <w:rFonts w:ascii="Arial" w:cs="Arial" w:eastAsia="Arial" w:hAnsi="Arial"/>
                <w:sz w:val="18"/>
                <w:szCs w:val="18"/>
                <w:b w:val="1"/>
                <w:bCs w:val="1"/>
                <w:color w:val="auto"/>
                <w:w w:val="91"/>
              </w:rPr>
              <w:t>01862</w:t>
            </w:r>
          </w:p>
        </w:tc>
      </w:tr>
      <w:tr>
        <w:trPr>
          <w:trHeight w:val="186"/>
        </w:trPr>
        <w:tc>
          <w:tcPr>
            <w:tcW w:w="4120" w:type="dxa"/>
            <w:vAlign w:val="bottom"/>
          </w:tcPr>
          <w:p>
            <w:pPr>
              <w:jc w:val="center"/>
              <w:ind w:left="126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400" w:type="dxa"/>
            <w:vAlign w:val="bottom"/>
          </w:tcPr>
          <w:p>
            <w:pPr>
              <w:spacing w:after="0"/>
              <w:rPr>
                <w:sz w:val="16"/>
                <w:szCs w:val="16"/>
                <w:color w:val="auto"/>
              </w:rPr>
            </w:pPr>
          </w:p>
        </w:tc>
        <w:tc>
          <w:tcPr>
            <w:tcW w:w="2520" w:type="dxa"/>
            <w:vAlign w:val="bottom"/>
          </w:tcPr>
          <w:p>
            <w:pPr>
              <w:jc w:val="center"/>
              <w:ind w:left="1341"/>
              <w:spacing w:after="0"/>
              <w:rPr>
                <w:sz w:val="20"/>
                <w:szCs w:val="20"/>
                <w:color w:val="auto"/>
              </w:rPr>
            </w:pPr>
            <w:r>
              <w:rPr>
                <w:rFonts w:ascii="Arial" w:cs="Arial" w:eastAsia="Arial" w:hAnsi="Arial"/>
                <w:sz w:val="14"/>
                <w:szCs w:val="14"/>
                <w:b w:val="1"/>
                <w:bCs w:val="1"/>
                <w:color w:val="auto"/>
                <w:w w:val="95"/>
              </w:rPr>
              <w:t>(Zip Code)</w:t>
            </w:r>
          </w:p>
        </w:tc>
      </w:tr>
    </w:tbl>
    <w:p>
      <w:pPr>
        <w:spacing w:after="0" w:line="14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87" w:lineRule="exact"/>
        <w:rPr>
          <w:sz w:val="24"/>
          <w:szCs w:val="24"/>
          <w:color w:val="auto"/>
        </w:rPr>
      </w:pPr>
    </w:p>
    <w:p>
      <w:pPr>
        <w:ind w:right="400" w:firstLine="456"/>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920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1" w:name="page2"/>
    <w:bookmarkEnd w:id="1"/>
    <w:p>
      <w:pPr>
        <w:ind w:left="1140" w:hanging="1133"/>
        <w:spacing w:after="0" w:line="282" w:lineRule="auto"/>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ind w:right="360"/>
        <w:spacing w:after="0" w:line="308" w:lineRule="auto"/>
        <w:rPr>
          <w:sz w:val="20"/>
          <w:szCs w:val="20"/>
          <w:color w:val="auto"/>
        </w:rPr>
      </w:pPr>
      <w:r>
        <w:rPr>
          <w:rFonts w:ascii="Arial" w:cs="Arial" w:eastAsia="Arial" w:hAnsi="Arial"/>
          <w:sz w:val="17"/>
          <w:szCs w:val="17"/>
          <w:color w:val="auto"/>
        </w:rPr>
        <w:t>Effective as of July 25, 2018, Lantheus Medical Imaging, Inc. (the “Company”), the operating subsidiary of Lantheus Holdings, Inc., is separating from Timothy Healey, its Senior Vice President, Commercial. A search process is underway for the Company’s next commercial leader.</w:t>
      </w:r>
    </w:p>
    <w:p>
      <w:pPr>
        <w:sectPr>
          <w:pgSz w:w="11900" w:h="16838" w:orient="portrait"/>
          <w:cols w:equalWidth="0" w:num="1">
            <w:col w:w="11300"/>
          </w:cols>
          <w:pgMar w:left="240" w:top="270"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LANTHEUS HOLDINGS,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M. Niedzwiecki</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Daniel M. Niedzwiecki</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w w:val="94"/>
              </w:rPr>
              <w:t>Vice President, Deputy General Counsel &amp; Assistant</w:t>
            </w:r>
          </w:p>
        </w:tc>
      </w:tr>
      <w:tr>
        <w:trPr>
          <w:trHeight w:val="230"/>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Secretary</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July 26, 2018</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2019-12-07T23:39:09Z</dcterms:created>
  <dcterms:modified xsi:type="dcterms:W3CDTF">2019-12-07T23:39:09Z</dcterms:modified>
</cp:coreProperties>
</file>