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286385</wp:posOffset>
            </wp:positionH>
            <wp:positionV relativeFrom="page">
              <wp:posOffset>166370</wp:posOffset>
            </wp:positionV>
            <wp:extent cx="69977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page">
              <wp:posOffset>286385</wp:posOffset>
            </wp:positionH>
            <wp:positionV relativeFrom="page">
              <wp:posOffset>208915</wp:posOffset>
            </wp:positionV>
            <wp:extent cx="69977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7700" cy="8890"/>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227330</wp:posOffset>
            </wp:positionV>
            <wp:extent cx="14662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247015</wp:posOffset>
            </wp:positionV>
            <wp:extent cx="14662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w:t>
      </w:r>
    </w:p>
    <w:p>
      <w:pPr>
        <w:jc w:val="center"/>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21"/>
          <w:szCs w:val="21"/>
          <w:b w:val="1"/>
          <w:bCs w:val="1"/>
          <w:color w:val="auto"/>
        </w:rPr>
        <w:t>Date of Report (Date of earliest event reported): September 20,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241300</wp:posOffset>
            </wp:positionV>
            <wp:extent cx="14662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46"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LANTHEUS HOLDINGS,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236220</wp:posOffset>
            </wp:positionV>
            <wp:extent cx="146621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ectPr>
          <w:pgSz w:w="11900" w:h="16838" w:orient="portrait"/>
          <w:cols w:equalWidth="0" w:num="1">
            <w:col w:w="11020"/>
          </w:cols>
          <w:pgMar w:left="440" w:top="368" w:right="43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2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080"/>
        <w:spacing w:after="0"/>
        <w:rPr>
          <w:sz w:val="20"/>
          <w:szCs w:val="20"/>
          <w:color w:val="auto"/>
        </w:rPr>
      </w:pPr>
      <w:r>
        <w:rPr>
          <w:rFonts w:ascii="Arial" w:cs="Arial" w:eastAsia="Arial" w:hAnsi="Arial"/>
          <w:sz w:val="16"/>
          <w:szCs w:val="16"/>
          <w:b w:val="1"/>
          <w:bCs w:val="1"/>
          <w:color w:val="auto"/>
        </w:rPr>
        <w:t>001-36569</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35-2318913</w:t>
      </w:r>
    </w:p>
    <w:p>
      <w:pPr>
        <w:spacing w:after="0" w:line="31" w:lineRule="exact"/>
        <w:rPr>
          <w:sz w:val="24"/>
          <w:szCs w:val="24"/>
          <w:color w:val="auto"/>
        </w:rPr>
      </w:pPr>
    </w:p>
    <w:p>
      <w:pPr>
        <w:sectPr>
          <w:pgSz w:w="11900" w:h="16838" w:orient="portrait"/>
          <w:cols w:equalWidth="0" w:num="3">
            <w:col w:w="4520" w:space="720"/>
            <w:col w:w="2860" w:space="720"/>
            <w:col w:w="2200"/>
          </w:cols>
          <w:pgMar w:left="440" w:top="368" w:right="439" w:bottom="1440" w:gutter="0" w:footer="0" w:header="0"/>
          <w:type w:val="continuous"/>
        </w:sectPr>
      </w:pPr>
    </w:p>
    <w:p>
      <w:pPr>
        <w:spacing w:after="0" w:line="12" w:lineRule="exact"/>
        <w:rPr>
          <w:sz w:val="24"/>
          <w:szCs w:val="24"/>
          <w:color w:val="auto"/>
        </w:rPr>
      </w:pPr>
    </w:p>
    <w:p>
      <w:pPr>
        <w:jc w:val="center"/>
        <w:ind w:right="740"/>
        <w:spacing w:after="0"/>
        <w:rPr>
          <w:sz w:val="20"/>
          <w:szCs w:val="20"/>
          <w:color w:val="auto"/>
        </w:rPr>
      </w:pPr>
      <w:r>
        <w:rPr>
          <w:rFonts w:ascii="Arial" w:cs="Arial" w:eastAsia="Arial" w:hAnsi="Arial"/>
          <w:sz w:val="13"/>
          <w:szCs w:val="13"/>
          <w:b w:val="1"/>
          <w:bCs w:val="1"/>
          <w:color w:val="auto"/>
        </w:rPr>
        <w:t>(State or other jurisdiction</w:t>
      </w:r>
    </w:p>
    <w:p>
      <w:pPr>
        <w:jc w:val="center"/>
        <w:ind w:right="74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00"/>
        <w:spacing w:after="0"/>
        <w:rPr>
          <w:sz w:val="20"/>
          <w:szCs w:val="20"/>
          <w:color w:val="auto"/>
        </w:rPr>
      </w:pPr>
      <w:r>
        <w:rPr>
          <w:rFonts w:ascii="Arial" w:cs="Arial" w:eastAsia="Arial" w:hAnsi="Arial"/>
          <w:sz w:val="14"/>
          <w:szCs w:val="14"/>
          <w:b w:val="1"/>
          <w:bCs w:val="1"/>
          <w:color w:val="auto"/>
        </w:rPr>
        <w:t>(IRS Employer</w:t>
      </w:r>
    </w:p>
    <w:p>
      <w:pPr>
        <w:jc w:val="center"/>
        <w:ind w:right="1200"/>
        <w:spacing w:after="0"/>
        <w:rPr>
          <w:sz w:val="20"/>
          <w:szCs w:val="20"/>
          <w:color w:val="auto"/>
        </w:rPr>
      </w:pPr>
      <w:r>
        <w:rPr>
          <w:rFonts w:ascii="Arial" w:cs="Arial" w:eastAsia="Arial" w:hAnsi="Arial"/>
          <w:sz w:val="13"/>
          <w:szCs w:val="13"/>
          <w:b w:val="1"/>
          <w:bCs w:val="1"/>
          <w:color w:val="auto"/>
        </w:rPr>
        <w:t>Identification No.)</w:t>
      </w:r>
    </w:p>
    <w:p>
      <w:pPr>
        <w:spacing w:after="0" w:line="211" w:lineRule="exact"/>
        <w:rPr>
          <w:sz w:val="24"/>
          <w:szCs w:val="24"/>
          <w:color w:val="auto"/>
        </w:rPr>
      </w:pPr>
    </w:p>
    <w:p>
      <w:pPr>
        <w:sectPr>
          <w:pgSz w:w="11900" w:h="16838" w:orient="portrait"/>
          <w:cols w:equalWidth="0" w:num="3">
            <w:col w:w="4500" w:space="720"/>
            <w:col w:w="2760" w:space="720"/>
            <w:col w:w="2320"/>
          </w:cols>
          <w:pgMar w:left="440" w:top="368" w:right="439" w:bottom="1440" w:gutter="0" w:footer="0" w:header="0"/>
          <w:type w:val="continuous"/>
        </w:sectPr>
      </w:pPr>
    </w:p>
    <w:p>
      <w:pPr>
        <w:spacing w:after="0" w:line="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331 Treble Cove Road, North Billerica, MA 01862</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(Address of principal executive offices) (Zip code)</w:t>
      </w:r>
    </w:p>
    <w:p>
      <w:pPr>
        <w:spacing w:after="0" w:line="192"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Registrant’s telephone number, including area code: (978) 671-8001</w:t>
      </w:r>
    </w:p>
    <w:p>
      <w:pPr>
        <w:spacing w:after="0" w:line="24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227965</wp:posOffset>
            </wp:positionV>
            <wp:extent cx="14662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ectPr>
          <w:pgSz w:w="11900" w:h="16838" w:orient="portrait"/>
          <w:cols w:equalWidth="0" w:num="1">
            <w:col w:w="11020"/>
          </w:cols>
          <w:pgMar w:left="440" w:top="368" w:right="439" w:bottom="1440" w:gutter="0" w:footer="0" w:header="0"/>
          <w:type w:val="continuous"/>
        </w:sectPr>
      </w:pPr>
    </w:p>
    <w:p>
      <w:pPr>
        <w:spacing w:after="0" w:line="200" w:lineRule="exact"/>
        <w:rPr>
          <w:sz w:val="24"/>
          <w:szCs w:val="24"/>
          <w:color w:val="auto"/>
        </w:rPr>
      </w:pPr>
    </w:p>
    <w:p>
      <w:pPr>
        <w:spacing w:after="0" w:line="374" w:lineRule="exact"/>
        <w:rPr>
          <w:sz w:val="24"/>
          <w:szCs w:val="24"/>
          <w:color w:val="auto"/>
        </w:rPr>
      </w:pPr>
    </w:p>
    <w:p>
      <w:pPr>
        <w:ind w:right="46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76" w:lineRule="exact"/>
        <w:rPr>
          <w:sz w:val="24"/>
          <w:szCs w:val="24"/>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right="3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ind w:left="880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81" w:lineRule="exact"/>
        <w:rPr>
          <w:sz w:val="24"/>
          <w:szCs w:val="24"/>
          <w:color w:val="auto"/>
        </w:rPr>
      </w:pPr>
    </w:p>
    <w:p>
      <w:pPr>
        <w:ind w:right="28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133350</wp:posOffset>
            </wp:positionV>
            <wp:extent cx="6997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176530</wp:posOffset>
            </wp:positionV>
            <wp:extent cx="6997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ectPr>
          <w:pgSz w:w="11900" w:h="16838" w:orient="portrait"/>
          <w:cols w:equalWidth="0" w:num="1">
            <w:col w:w="11020"/>
          </w:cols>
          <w:pgMar w:left="440" w:top="368" w:right="439" w:bottom="1440" w:gutter="0" w:footer="0" w:header="0"/>
          <w:type w:val="continuous"/>
        </w:sectPr>
      </w:pPr>
    </w:p>
    <w:bookmarkStart w:id="1" w:name="page2"/>
    <w:bookmarkEnd w:id="1"/>
    <w:p>
      <w:pPr>
        <w:ind w:left="1320" w:right="880" w:hanging="1309"/>
        <w:spacing w:after="0" w:line="282" w:lineRule="auto"/>
        <w:tabs>
          <w:tab w:leader="none" w:pos="130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58" w:lineRule="exact"/>
        <w:rPr>
          <w:sz w:val="20"/>
          <w:szCs w:val="20"/>
          <w:color w:val="auto"/>
        </w:rPr>
      </w:pPr>
    </w:p>
    <w:p>
      <w:pPr>
        <w:ind w:left="440"/>
        <w:spacing w:after="0"/>
        <w:rPr>
          <w:sz w:val="20"/>
          <w:szCs w:val="20"/>
          <w:color w:val="auto"/>
        </w:rPr>
      </w:pPr>
      <w:r>
        <w:rPr>
          <w:rFonts w:ascii="Arial" w:cs="Arial" w:eastAsia="Arial" w:hAnsi="Arial"/>
          <w:sz w:val="16"/>
          <w:szCs w:val="16"/>
          <w:color w:val="auto"/>
        </w:rPr>
        <w:t>As previously announced, on July 25, 2018 (the “</w:t>
      </w:r>
      <w:r>
        <w:rPr>
          <w:rFonts w:ascii="Arial" w:cs="Arial" w:eastAsia="Arial" w:hAnsi="Arial"/>
          <w:sz w:val="16"/>
          <w:szCs w:val="16"/>
          <w:u w:val="single" w:color="auto"/>
          <w:color w:val="auto"/>
        </w:rPr>
        <w:t>Separation Date</w:t>
      </w:r>
      <w:r>
        <w:rPr>
          <w:rFonts w:ascii="Arial" w:cs="Arial" w:eastAsia="Arial" w:hAnsi="Arial"/>
          <w:sz w:val="16"/>
          <w:szCs w:val="16"/>
          <w:color w:val="auto"/>
        </w:rPr>
        <w:t>”), Lantheus Medical Imaging, Inc., the operating subsidiary of the Company</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LMI</w:t>
      </w:r>
      <w:r>
        <w:rPr>
          <w:rFonts w:ascii="Arial" w:cs="Arial" w:eastAsia="Arial" w:hAnsi="Arial"/>
          <w:sz w:val="16"/>
          <w:szCs w:val="16"/>
          <w:color w:val="auto"/>
        </w:rPr>
        <w:t>”), separated from Timothy Healey, its Senior Vice President, Commercial. In connection with his termination of employment, Mr. Healey entered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into a separation agreement, effective September 20, 2018, with LMI (the “</w:t>
      </w:r>
      <w:r>
        <w:rPr>
          <w:rFonts w:ascii="Arial" w:cs="Arial" w:eastAsia="Arial" w:hAnsi="Arial"/>
          <w:sz w:val="18"/>
          <w:szCs w:val="18"/>
          <w:u w:val="single" w:color="auto"/>
          <w:color w:val="auto"/>
        </w:rPr>
        <w:t>Separation Agreement</w:t>
      </w:r>
      <w:r>
        <w:rPr>
          <w:rFonts w:ascii="Arial" w:cs="Arial" w:eastAsia="Arial" w:hAnsi="Arial"/>
          <w:sz w:val="18"/>
          <w:szCs w:val="18"/>
          <w:color w:val="auto"/>
        </w:rPr>
        <w:t>”).</w:t>
      </w:r>
    </w:p>
    <w:p>
      <w:pPr>
        <w:spacing w:after="0" w:line="211" w:lineRule="exact"/>
        <w:rPr>
          <w:sz w:val="20"/>
          <w:szCs w:val="20"/>
          <w:color w:val="auto"/>
        </w:rPr>
      </w:pPr>
    </w:p>
    <w:p>
      <w:pPr>
        <w:ind w:right="60" w:firstLine="441"/>
        <w:spacing w:after="0" w:line="255" w:lineRule="auto"/>
        <w:rPr>
          <w:sz w:val="20"/>
          <w:szCs w:val="20"/>
          <w:color w:val="auto"/>
        </w:rPr>
      </w:pPr>
      <w:r>
        <w:rPr>
          <w:rFonts w:ascii="Arial" w:cs="Arial" w:eastAsia="Arial" w:hAnsi="Arial"/>
          <w:sz w:val="18"/>
          <w:szCs w:val="18"/>
          <w:color w:val="auto"/>
        </w:rPr>
        <w:t>Pursuant to the Separation Agreement, subject to his satisfaction of certain obligations, Mr. Healey will receive (i) a cash severance payment of $635,589.04, representing his annual base salary and pro rata amount of his target annual bonus and (ii) reimbursement for COBRA premiums for up to twelve months following the Separation Date, in addition to any amounts required by law or the terms of LMI’s policies and benefit plans. The Separation Agreement includes a confirmation of the restrictive covenants to which Mr. Healey is currently subject, including confidentiality, non-competition, non-solicitation, no-hire, and invention assignment covenants, and a release of claims in favor of LMI, its affiliates and certain other persons.</w:t>
      </w:r>
    </w:p>
    <w:p>
      <w:pPr>
        <w:spacing w:after="0" w:line="193" w:lineRule="exact"/>
        <w:rPr>
          <w:sz w:val="20"/>
          <w:szCs w:val="20"/>
          <w:color w:val="auto"/>
        </w:rPr>
      </w:pPr>
    </w:p>
    <w:p>
      <w:pPr>
        <w:ind w:right="40" w:firstLine="441"/>
        <w:spacing w:after="0" w:line="264" w:lineRule="auto"/>
        <w:rPr>
          <w:sz w:val="20"/>
          <w:szCs w:val="20"/>
          <w:color w:val="auto"/>
        </w:rPr>
      </w:pPr>
      <w:r>
        <w:rPr>
          <w:rFonts w:ascii="Arial" w:cs="Arial" w:eastAsia="Arial" w:hAnsi="Arial"/>
          <w:sz w:val="18"/>
          <w:szCs w:val="18"/>
          <w:color w:val="auto"/>
        </w:rPr>
        <w:t>The foregoing description of the Separation Agreement is qualified in its entirety by reference to the Separation Agreement, which will be filed as an exhibit to a future filing by the Company with the Securities and Exchange Commission pursuant to the Securities Exchange Act of 1934, as amended.</w:t>
      </w:r>
    </w:p>
    <w:p>
      <w:pPr>
        <w:sectPr>
          <w:pgSz w:w="11900" w:h="16838" w:orient="portrait"/>
          <w:cols w:equalWidth="0" w:num="1">
            <w:col w:w="11000"/>
          </w:cols>
          <w:pgMar w:left="440" w:top="270" w:right="459" w:bottom="1440" w:gutter="0" w:footer="0" w:header="0"/>
        </w:sectPr>
      </w:pPr>
    </w:p>
    <w:bookmarkStart w:id="2" w:name="page3"/>
    <w:bookmarkEnd w:id="2"/>
    <w:p>
      <w:pPr>
        <w:ind w:left="49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5"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7"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LANTHEUS HOLDINGS, INC.</w:t>
      </w:r>
    </w:p>
    <w:p>
      <w:pPr>
        <w:spacing w:after="0" w:line="225" w:lineRule="exact"/>
        <w:rPr>
          <w:sz w:val="20"/>
          <w:szCs w:val="20"/>
          <w:color w:val="auto"/>
        </w:rPr>
      </w:pPr>
    </w:p>
    <w:p>
      <w:pPr>
        <w:ind w:left="6620"/>
        <w:spacing w:after="0"/>
        <w:tabs>
          <w:tab w:leader="none" w:pos="71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Michael P. Duffy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4577715</wp:posOffset>
            </wp:positionH>
            <wp:positionV relativeFrom="paragraph">
              <wp:posOffset>14605</wp:posOffset>
            </wp:positionV>
            <wp:extent cx="242697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426970" cy="8890"/>
                    </a:xfrm>
                    <a:prstGeom prst="rect">
                      <a:avLst/>
                    </a:prstGeom>
                    <a:noFill/>
                  </pic:spPr>
                </pic:pic>
              </a:graphicData>
            </a:graphic>
          </wp:anchor>
        </w:drawing>
      </w:r>
    </w:p>
    <w:p>
      <w:pPr>
        <w:spacing w:after="0" w:line="16"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Name: Michael P. Duffy</w:t>
      </w:r>
    </w:p>
    <w:p>
      <w:pPr>
        <w:spacing w:after="0" w:line="23" w:lineRule="exact"/>
        <w:rPr>
          <w:sz w:val="20"/>
          <w:szCs w:val="20"/>
          <w:color w:val="auto"/>
        </w:rPr>
      </w:pPr>
    </w:p>
    <w:p>
      <w:pPr>
        <w:jc w:val="both"/>
        <w:ind w:left="6620"/>
        <w:spacing w:after="0"/>
        <w:tabs>
          <w:tab w:leader="none" w:pos="7180" w:val="left"/>
        </w:tabs>
        <w:rPr>
          <w:sz w:val="20"/>
          <w:szCs w:val="20"/>
          <w:color w:val="auto"/>
        </w:rPr>
      </w:pPr>
      <w:r>
        <w:rPr>
          <w:rFonts w:ascii="Arial" w:cs="Arial" w:eastAsia="Arial" w:hAnsi="Arial"/>
          <w:sz w:val="18"/>
          <w:szCs w:val="18"/>
          <w:color w:val="auto"/>
        </w:rPr>
        <w:t>Title:</w:t>
        <w:tab/>
        <w:t>Senior Vice President, Law and Public Policy,</w:t>
      </w:r>
    </w:p>
    <w:p>
      <w:pPr>
        <w:spacing w:after="0" w:line="9" w:lineRule="exact"/>
        <w:rPr>
          <w:sz w:val="20"/>
          <w:szCs w:val="20"/>
          <w:color w:val="auto"/>
        </w:rPr>
      </w:pPr>
    </w:p>
    <w:p>
      <w:pPr>
        <w:ind w:left="7200"/>
        <w:spacing w:after="0"/>
        <w:rPr>
          <w:sz w:val="20"/>
          <w:szCs w:val="20"/>
          <w:color w:val="auto"/>
        </w:rPr>
      </w:pPr>
      <w:r>
        <w:rPr>
          <w:rFonts w:ascii="Arial" w:cs="Arial" w:eastAsia="Arial" w:hAnsi="Arial"/>
          <w:sz w:val="18"/>
          <w:szCs w:val="18"/>
          <w:color w:val="auto"/>
        </w:rPr>
        <w:t>General Counsel &amp; Secretary</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 September 21, 2018</w:t>
      </w:r>
    </w:p>
    <w:sectPr>
      <w:pgSz w:w="11900" w:h="16838" w:orient="portrait"/>
      <w:cols w:equalWidth="0" w:num="1">
        <w:col w:w="10520"/>
      </w:cols>
      <w:pgMar w:left="440" w:top="274" w:right="9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2019-12-07T23:23:50Z</dcterms:created>
  <dcterms:modified xsi:type="dcterms:W3CDTF">2019-12-07T23:23:50Z</dcterms:modified>
</cp:coreProperties>
</file>