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5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629285</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534670</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46" w:lineRule="exact"/>
        <w:rPr>
          <w:sz w:val="24"/>
          <w:szCs w:val="24"/>
          <w:color w:val="auto"/>
        </w:rPr>
      </w:pPr>
    </w:p>
    <w:p>
      <w:pPr>
        <w:jc w:val="center"/>
        <w:ind w:right="-59"/>
        <w:spacing w:after="0"/>
        <w:rPr>
          <w:sz w:val="20"/>
          <w:szCs w:val="20"/>
          <w:color w:val="auto"/>
        </w:rPr>
      </w:pPr>
      <w:r>
        <w:rPr>
          <w:rFonts w:ascii="Arial" w:cs="Arial" w:eastAsia="Arial" w:hAnsi="Arial"/>
          <w:sz w:val="32"/>
          <w:szCs w:val="32"/>
          <w:b w:val="1"/>
          <w:bCs w:val="1"/>
          <w:color w:val="auto"/>
        </w:rPr>
        <w:t>SECURITIES AND EXCHANGE COMMISSION</w:t>
      </w:r>
    </w:p>
    <w:p>
      <w:pPr>
        <w:spacing w:after="0" w:line="12" w:lineRule="exact"/>
        <w:rPr>
          <w:sz w:val="24"/>
          <w:szCs w:val="24"/>
          <w:color w:val="auto"/>
        </w:rPr>
      </w:pPr>
    </w:p>
    <w:p>
      <w:pPr>
        <w:jc w:val="center"/>
        <w:ind w:right="-59"/>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2826385</wp:posOffset>
            </wp:positionH>
            <wp:positionV relativeFrom="paragraph">
              <wp:posOffset>219075</wp:posOffset>
            </wp:positionV>
            <wp:extent cx="160337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603375"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48" w:lineRule="exact"/>
        <w:rPr>
          <w:sz w:val="24"/>
          <w:szCs w:val="24"/>
          <w:color w:val="auto"/>
        </w:rPr>
      </w:pPr>
    </w:p>
    <w:p>
      <w:pPr>
        <w:jc w:val="center"/>
        <w:ind w:right="-59"/>
        <w:spacing w:after="0"/>
        <w:rPr>
          <w:sz w:val="20"/>
          <w:szCs w:val="20"/>
          <w:color w:val="auto"/>
        </w:rPr>
      </w:pPr>
      <w:r>
        <w:rPr>
          <w:rFonts w:ascii="Arial" w:cs="Arial" w:eastAsia="Arial" w:hAnsi="Arial"/>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2826385</wp:posOffset>
            </wp:positionH>
            <wp:positionV relativeFrom="paragraph">
              <wp:posOffset>247015</wp:posOffset>
            </wp:positionV>
            <wp:extent cx="160337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603375"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306" w:lineRule="exact"/>
        <w:rPr>
          <w:sz w:val="24"/>
          <w:szCs w:val="24"/>
          <w:color w:val="auto"/>
        </w:rPr>
      </w:pPr>
    </w:p>
    <w:p>
      <w:pPr>
        <w:jc w:val="center"/>
        <w:ind w:right="-59"/>
        <w:spacing w:after="0"/>
        <w:rPr>
          <w:sz w:val="20"/>
          <w:szCs w:val="20"/>
          <w:color w:val="auto"/>
        </w:rPr>
      </w:pPr>
      <w:r>
        <w:rPr>
          <w:rFonts w:ascii="Arial" w:cs="Arial" w:eastAsia="Arial" w:hAnsi="Arial"/>
          <w:sz w:val="22"/>
          <w:szCs w:val="22"/>
          <w:b w:val="1"/>
          <w:bCs w:val="1"/>
          <w:color w:val="auto"/>
        </w:rPr>
        <w:t>CURRENT REPORT</w:t>
      </w:r>
    </w:p>
    <w:p>
      <w:pPr>
        <w:spacing w:after="0" w:line="28" w:lineRule="exact"/>
        <w:rPr>
          <w:sz w:val="24"/>
          <w:szCs w:val="24"/>
          <w:color w:val="auto"/>
        </w:rPr>
      </w:pPr>
    </w:p>
    <w:p>
      <w:pPr>
        <w:jc w:val="center"/>
        <w:ind w:right="-59"/>
        <w:spacing w:after="0"/>
        <w:rPr>
          <w:sz w:val="20"/>
          <w:szCs w:val="20"/>
          <w:color w:val="auto"/>
        </w:rPr>
      </w:pPr>
      <w:r>
        <w:rPr>
          <w:rFonts w:ascii="Arial" w:cs="Arial" w:eastAsia="Arial" w:hAnsi="Arial"/>
          <w:sz w:val="19"/>
          <w:szCs w:val="19"/>
          <w:b w:val="1"/>
          <w:bCs w:val="1"/>
          <w:color w:val="auto"/>
        </w:rPr>
        <w:t>Pursuant to Section 13 or 15(d) of the Securities Exchange Act of 1934</w:t>
      </w:r>
    </w:p>
    <w:p>
      <w:pPr>
        <w:spacing w:after="0" w:line="230" w:lineRule="exact"/>
        <w:rPr>
          <w:sz w:val="24"/>
          <w:szCs w:val="24"/>
          <w:color w:val="auto"/>
        </w:rPr>
      </w:pPr>
    </w:p>
    <w:p>
      <w:pPr>
        <w:jc w:val="center"/>
        <w:ind w:right="-59"/>
        <w:spacing w:after="0"/>
        <w:rPr>
          <w:sz w:val="20"/>
          <w:szCs w:val="20"/>
          <w:color w:val="auto"/>
        </w:rPr>
      </w:pPr>
      <w:r>
        <w:rPr>
          <w:rFonts w:ascii="Arial" w:cs="Arial" w:eastAsia="Arial" w:hAnsi="Arial"/>
          <w:sz w:val="22"/>
          <w:szCs w:val="22"/>
          <w:b w:val="1"/>
          <w:bCs w:val="1"/>
          <w:color w:val="auto"/>
        </w:rPr>
        <w:t>Date of Report (Date of earliest event reported): August 1, 2018</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2826385</wp:posOffset>
            </wp:positionH>
            <wp:positionV relativeFrom="paragraph">
              <wp:posOffset>234315</wp:posOffset>
            </wp:positionV>
            <wp:extent cx="160337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603375" cy="8890"/>
                    </a:xfrm>
                    <a:prstGeom prst="rect">
                      <a:avLst/>
                    </a:prstGeom>
                    <a:noFill/>
                  </pic:spPr>
                </pic:pic>
              </a:graphicData>
            </a:graphic>
          </wp:anchor>
        </w:drawing>
      </w:r>
    </w:p>
    <w:p>
      <w:pPr>
        <w:spacing w:after="0" w:line="200" w:lineRule="exact"/>
        <w:rPr>
          <w:sz w:val="24"/>
          <w:szCs w:val="24"/>
          <w:color w:val="auto"/>
        </w:rPr>
      </w:pPr>
    </w:p>
    <w:p>
      <w:pPr>
        <w:spacing w:after="0" w:line="254" w:lineRule="exact"/>
        <w:rPr>
          <w:sz w:val="24"/>
          <w:szCs w:val="24"/>
          <w:color w:val="auto"/>
        </w:rPr>
      </w:pPr>
    </w:p>
    <w:p>
      <w:pPr>
        <w:jc w:val="center"/>
        <w:ind w:right="-59"/>
        <w:spacing w:after="0"/>
        <w:rPr>
          <w:sz w:val="20"/>
          <w:szCs w:val="20"/>
          <w:color w:val="auto"/>
        </w:rPr>
      </w:pPr>
      <w:r>
        <w:rPr>
          <w:rFonts w:ascii="Arial" w:cs="Arial" w:eastAsia="Arial" w:hAnsi="Arial"/>
          <w:sz w:val="43"/>
          <w:szCs w:val="43"/>
          <w:b w:val="1"/>
          <w:bCs w:val="1"/>
          <w:color w:val="auto"/>
        </w:rPr>
        <w:t>LANTHEUS HOLDINGS, INC.</w:t>
      </w:r>
    </w:p>
    <w:p>
      <w:pPr>
        <w:spacing w:after="0" w:line="50" w:lineRule="exact"/>
        <w:rPr>
          <w:sz w:val="24"/>
          <w:szCs w:val="24"/>
          <w:color w:val="auto"/>
        </w:rPr>
      </w:pPr>
    </w:p>
    <w:p>
      <w:pPr>
        <w:jc w:val="center"/>
        <w:ind w:right="-59"/>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2826385</wp:posOffset>
            </wp:positionH>
            <wp:positionV relativeFrom="paragraph">
              <wp:posOffset>227965</wp:posOffset>
            </wp:positionV>
            <wp:extent cx="1603375"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603375" cy="8890"/>
                    </a:xfrm>
                    <a:prstGeom prst="rect">
                      <a:avLst/>
                    </a:prstGeom>
                    <a:noFill/>
                  </pic:spPr>
                </pic:pic>
              </a:graphicData>
            </a:graphic>
          </wp:anchor>
        </w:drawing>
      </w:r>
    </w:p>
    <w:p>
      <w:pPr>
        <w:sectPr>
          <w:pgSz w:w="11900" w:h="16838" w:orient="portrait"/>
          <w:cols w:equalWidth="0" w:num="1">
            <w:col w:w="11360"/>
          </w:cols>
          <w:pgMar w:left="240" w:top="1125" w:right="299" w:bottom="1440"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37" w:lineRule="exact"/>
        <w:rPr>
          <w:sz w:val="24"/>
          <w:szCs w:val="24"/>
          <w:color w:val="auto"/>
        </w:rPr>
      </w:pPr>
    </w:p>
    <w:p>
      <w:pPr>
        <w:ind w:left="1580"/>
        <w:spacing w:after="0"/>
        <w:rPr>
          <w:sz w:val="20"/>
          <w:szCs w:val="20"/>
          <w:color w:val="auto"/>
        </w:rPr>
      </w:pPr>
      <w:r>
        <w:rPr>
          <w:rFonts w:ascii="Arial" w:cs="Arial" w:eastAsia="Arial" w:hAnsi="Arial"/>
          <w:sz w:val="16"/>
          <w:szCs w:val="16"/>
          <w:b w:val="1"/>
          <w:bCs w:val="1"/>
          <w:color w:val="auto"/>
        </w:rPr>
        <w:t>Delaware</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17" w:lineRule="exact"/>
        <w:rPr>
          <w:sz w:val="24"/>
          <w:szCs w:val="24"/>
          <w:color w:val="auto"/>
        </w:rPr>
      </w:pPr>
    </w:p>
    <w:p>
      <w:pPr>
        <w:jc w:val="center"/>
        <w:ind w:right="2200"/>
        <w:spacing w:after="0"/>
        <w:rPr>
          <w:sz w:val="20"/>
          <w:szCs w:val="20"/>
          <w:color w:val="auto"/>
        </w:rPr>
      </w:pPr>
      <w:r>
        <w:rPr>
          <w:rFonts w:ascii="Arial" w:cs="Arial" w:eastAsia="Arial" w:hAnsi="Arial"/>
          <w:sz w:val="16"/>
          <w:szCs w:val="16"/>
          <w:b w:val="1"/>
          <w:bCs w:val="1"/>
          <w:color w:val="auto"/>
        </w:rPr>
        <w:t>001-36569</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17" w:lineRule="exact"/>
        <w:rPr>
          <w:sz w:val="24"/>
          <w:szCs w:val="24"/>
          <w:color w:val="auto"/>
        </w:rPr>
      </w:pPr>
    </w:p>
    <w:p>
      <w:pPr>
        <w:spacing w:after="0"/>
        <w:rPr>
          <w:sz w:val="20"/>
          <w:szCs w:val="20"/>
          <w:color w:val="auto"/>
        </w:rPr>
      </w:pPr>
      <w:r>
        <w:rPr>
          <w:rFonts w:ascii="Arial" w:cs="Arial" w:eastAsia="Arial" w:hAnsi="Arial"/>
          <w:sz w:val="16"/>
          <w:szCs w:val="16"/>
          <w:b w:val="1"/>
          <w:bCs w:val="1"/>
          <w:color w:val="auto"/>
        </w:rPr>
        <w:t>35-2318913</w:t>
      </w:r>
    </w:p>
    <w:p>
      <w:pPr>
        <w:spacing w:after="0" w:line="82" w:lineRule="exact"/>
        <w:rPr>
          <w:sz w:val="24"/>
          <w:szCs w:val="24"/>
          <w:color w:val="auto"/>
        </w:rPr>
      </w:pPr>
    </w:p>
    <w:p>
      <w:pPr>
        <w:sectPr>
          <w:pgSz w:w="11900" w:h="16838" w:orient="portrait"/>
          <w:cols w:equalWidth="0" w:num="3">
            <w:col w:w="4680" w:space="720"/>
            <w:col w:w="2980" w:space="720"/>
            <w:col w:w="2260"/>
          </w:cols>
          <w:pgMar w:left="240" w:top="1125" w:right="299" w:bottom="1440" w:gutter="0" w:footer="0" w:header="0"/>
          <w:type w:val="continuous"/>
        </w:sectPr>
      </w:pPr>
    </w:p>
    <w:p>
      <w:pPr>
        <w:jc w:val="center"/>
        <w:ind w:right="720"/>
        <w:spacing w:after="0"/>
        <w:rPr>
          <w:sz w:val="20"/>
          <w:szCs w:val="20"/>
          <w:color w:val="auto"/>
        </w:rPr>
      </w:pPr>
      <w:r>
        <w:rPr>
          <w:rFonts w:ascii="Arial" w:cs="Arial" w:eastAsia="Arial" w:hAnsi="Arial"/>
          <w:sz w:val="13"/>
          <w:szCs w:val="13"/>
          <w:b w:val="1"/>
          <w:bCs w:val="1"/>
          <w:color w:val="auto"/>
        </w:rPr>
        <w:t>(State or other jurisdiction</w:t>
      </w:r>
    </w:p>
    <w:p>
      <w:pPr>
        <w:spacing w:after="0" w:line="15" w:lineRule="exact"/>
        <w:rPr>
          <w:sz w:val="24"/>
          <w:szCs w:val="24"/>
          <w:color w:val="auto"/>
        </w:rPr>
      </w:pPr>
    </w:p>
    <w:p>
      <w:pPr>
        <w:jc w:val="center"/>
        <w:ind w:right="720"/>
        <w:spacing w:after="0"/>
        <w:rPr>
          <w:sz w:val="20"/>
          <w:szCs w:val="20"/>
          <w:color w:val="auto"/>
        </w:rPr>
      </w:pPr>
      <w:r>
        <w:rPr>
          <w:rFonts w:ascii="Arial" w:cs="Arial" w:eastAsia="Arial" w:hAnsi="Arial"/>
          <w:sz w:val="14"/>
          <w:szCs w:val="14"/>
          <w:b w:val="1"/>
          <w:bCs w:val="1"/>
          <w:color w:val="auto"/>
        </w:rPr>
        <w:t>of incorporation)</w:t>
      </w:r>
    </w:p>
    <w:p>
      <w:pPr>
        <w:spacing w:after="0" w:line="20" w:lineRule="exact"/>
        <w:rPr>
          <w:sz w:val="24"/>
          <w:szCs w:val="24"/>
          <w:color w:val="auto"/>
        </w:rPr>
      </w:pPr>
      <w:r>
        <w:rPr>
          <w:sz w:val="24"/>
          <w:szCs w:val="24"/>
          <w:color w:val="auto"/>
        </w:rPr>
        <w:br w:type="column"/>
      </w:r>
    </w:p>
    <w:p>
      <w:pPr>
        <w:ind w:left="20"/>
        <w:spacing w:after="0"/>
        <w:rPr>
          <w:sz w:val="20"/>
          <w:szCs w:val="20"/>
          <w:color w:val="auto"/>
        </w:rPr>
      </w:pPr>
      <w:r>
        <w:rPr>
          <w:rFonts w:ascii="Arial" w:cs="Arial" w:eastAsia="Arial" w:hAnsi="Arial"/>
          <w:sz w:val="12"/>
          <w:szCs w:val="12"/>
          <w:b w:val="1"/>
          <w:bCs w:val="1"/>
          <w:color w:val="auto"/>
        </w:rPr>
        <w:t>(Commission</w:t>
      </w:r>
    </w:p>
    <w:p>
      <w:pPr>
        <w:spacing w:after="0" w:line="27" w:lineRule="exact"/>
        <w:rPr>
          <w:sz w:val="24"/>
          <w:szCs w:val="24"/>
          <w:color w:val="auto"/>
        </w:rPr>
      </w:pPr>
    </w:p>
    <w:p>
      <w:pPr>
        <w:spacing w:after="0"/>
        <w:rPr>
          <w:sz w:val="20"/>
          <w:szCs w:val="20"/>
          <w:color w:val="auto"/>
        </w:rPr>
      </w:pPr>
      <w:r>
        <w:rPr>
          <w:rFonts w:ascii="Arial" w:cs="Arial" w:eastAsia="Arial" w:hAnsi="Arial"/>
          <w:sz w:val="13"/>
          <w:szCs w:val="13"/>
          <w:b w:val="1"/>
          <w:bCs w:val="1"/>
          <w:color w:val="auto"/>
        </w:rPr>
        <w:t>File Number)</w:t>
      </w:r>
    </w:p>
    <w:p>
      <w:pPr>
        <w:spacing w:after="0" w:line="20" w:lineRule="exact"/>
        <w:rPr>
          <w:sz w:val="24"/>
          <w:szCs w:val="24"/>
          <w:color w:val="auto"/>
        </w:rPr>
      </w:pPr>
      <w:r>
        <w:rPr>
          <w:sz w:val="24"/>
          <w:szCs w:val="24"/>
          <w:color w:val="auto"/>
        </w:rPr>
        <w:br w:type="column"/>
      </w:r>
    </w:p>
    <w:p>
      <w:pPr>
        <w:jc w:val="center"/>
        <w:ind w:right="1260"/>
        <w:spacing w:after="0"/>
        <w:rPr>
          <w:sz w:val="20"/>
          <w:szCs w:val="20"/>
          <w:color w:val="auto"/>
        </w:rPr>
      </w:pPr>
      <w:r>
        <w:rPr>
          <w:rFonts w:ascii="Arial" w:cs="Arial" w:eastAsia="Arial" w:hAnsi="Arial"/>
          <w:sz w:val="14"/>
          <w:szCs w:val="14"/>
          <w:b w:val="1"/>
          <w:bCs w:val="1"/>
          <w:color w:val="auto"/>
        </w:rPr>
        <w:t>(IRS Employer</w:t>
      </w:r>
    </w:p>
    <w:p>
      <w:pPr>
        <w:spacing w:after="0" w:line="4" w:lineRule="exact"/>
        <w:rPr>
          <w:sz w:val="24"/>
          <w:szCs w:val="24"/>
          <w:color w:val="auto"/>
        </w:rPr>
      </w:pPr>
    </w:p>
    <w:p>
      <w:pPr>
        <w:jc w:val="center"/>
        <w:ind w:right="1260"/>
        <w:spacing w:after="0"/>
        <w:rPr>
          <w:sz w:val="20"/>
          <w:szCs w:val="20"/>
          <w:color w:val="auto"/>
        </w:rPr>
      </w:pPr>
      <w:r>
        <w:rPr>
          <w:rFonts w:ascii="Arial" w:cs="Arial" w:eastAsia="Arial" w:hAnsi="Arial"/>
          <w:sz w:val="13"/>
          <w:szCs w:val="13"/>
          <w:b w:val="1"/>
          <w:bCs w:val="1"/>
          <w:color w:val="auto"/>
        </w:rPr>
        <w:t>Identification No.)</w:t>
      </w:r>
    </w:p>
    <w:p>
      <w:pPr>
        <w:spacing w:after="0" w:line="190" w:lineRule="exact"/>
        <w:rPr>
          <w:sz w:val="24"/>
          <w:szCs w:val="24"/>
          <w:color w:val="auto"/>
        </w:rPr>
      </w:pPr>
    </w:p>
    <w:p>
      <w:pPr>
        <w:sectPr>
          <w:pgSz w:w="11900" w:h="16838" w:orient="portrait"/>
          <w:cols w:equalWidth="0" w:num="3">
            <w:col w:w="4640" w:space="720"/>
            <w:col w:w="2900" w:space="720"/>
            <w:col w:w="2380"/>
          </w:cols>
          <w:pgMar w:left="240" w:top="1125" w:right="299" w:bottom="1440" w:gutter="0" w:footer="0" w:header="0"/>
          <w:type w:val="continuous"/>
        </w:sectPr>
      </w:pPr>
    </w:p>
    <w:p>
      <w:pPr>
        <w:ind w:left="1600"/>
        <w:spacing w:after="0"/>
        <w:rPr>
          <w:sz w:val="20"/>
          <w:szCs w:val="20"/>
          <w:color w:val="auto"/>
        </w:rPr>
      </w:pPr>
      <w:r>
        <w:rPr>
          <w:rFonts w:ascii="Arial" w:cs="Arial" w:eastAsia="Arial" w:hAnsi="Arial"/>
          <w:sz w:val="16"/>
          <w:szCs w:val="16"/>
          <w:b w:val="1"/>
          <w:bCs w:val="1"/>
          <w:color w:val="auto"/>
        </w:rPr>
        <w:t>331 Treble Cove Road, North Billerica, MA</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5"/>
          <w:szCs w:val="15"/>
          <w:b w:val="1"/>
          <w:bCs w:val="1"/>
          <w:color w:val="auto"/>
        </w:rPr>
        <w:t>01862</w:t>
      </w:r>
    </w:p>
    <w:p>
      <w:pPr>
        <w:spacing w:after="0" w:line="93" w:lineRule="exact"/>
        <w:rPr>
          <w:sz w:val="24"/>
          <w:szCs w:val="24"/>
          <w:color w:val="auto"/>
        </w:rPr>
      </w:pPr>
    </w:p>
    <w:p>
      <w:pPr>
        <w:sectPr>
          <w:pgSz w:w="11900" w:h="16838" w:orient="portrait"/>
          <w:cols w:equalWidth="0" w:num="2">
            <w:col w:w="7520" w:space="720"/>
            <w:col w:w="3120"/>
          </w:cols>
          <w:pgMar w:left="240" w:top="1125" w:right="299" w:bottom="1440" w:gutter="0" w:footer="0" w:header="0"/>
          <w:type w:val="continuous"/>
        </w:sectPr>
      </w:pPr>
    </w:p>
    <w:p>
      <w:pPr>
        <w:ind w:left="2080"/>
        <w:spacing w:after="0"/>
        <w:rPr>
          <w:sz w:val="20"/>
          <w:szCs w:val="20"/>
          <w:color w:val="auto"/>
        </w:rPr>
      </w:pPr>
      <w:r>
        <w:rPr>
          <w:rFonts w:ascii="Arial" w:cs="Arial" w:eastAsia="Arial" w:hAnsi="Arial"/>
          <w:sz w:val="12"/>
          <w:szCs w:val="12"/>
          <w:b w:val="1"/>
          <w:bCs w:val="1"/>
          <w:color w:val="auto"/>
        </w:rPr>
        <w:t>(Address of principal executive offices)</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b w:val="1"/>
          <w:bCs w:val="1"/>
          <w:color w:val="auto"/>
        </w:rPr>
        <w:t>(Zip Code)</w:t>
      </w:r>
    </w:p>
    <w:p>
      <w:pPr>
        <w:spacing w:after="0" w:line="200" w:lineRule="exact"/>
        <w:rPr>
          <w:sz w:val="24"/>
          <w:szCs w:val="24"/>
          <w:color w:val="auto"/>
        </w:rPr>
      </w:pPr>
    </w:p>
    <w:p>
      <w:pPr>
        <w:sectPr>
          <w:pgSz w:w="11900" w:h="16838" w:orient="portrait"/>
          <w:cols w:equalWidth="0" w:num="2">
            <w:col w:w="7400" w:space="720"/>
            <w:col w:w="3240"/>
          </w:cols>
          <w:pgMar w:left="240" w:top="1125" w:right="299" w:bottom="1440" w:gutter="0" w:footer="0" w:header="0"/>
          <w:type w:val="continuous"/>
        </w:sectPr>
      </w:pPr>
    </w:p>
    <w:p>
      <w:pPr>
        <w:spacing w:after="0" w:line="114" w:lineRule="exact"/>
        <w:rPr>
          <w:sz w:val="24"/>
          <w:szCs w:val="24"/>
          <w:color w:val="auto"/>
        </w:rPr>
      </w:pPr>
    </w:p>
    <w:p>
      <w:pPr>
        <w:jc w:val="center"/>
        <w:ind w:right="-59"/>
        <w:spacing w:after="0"/>
        <w:rPr>
          <w:sz w:val="20"/>
          <w:szCs w:val="20"/>
          <w:color w:val="auto"/>
        </w:rPr>
      </w:pPr>
      <w:r>
        <w:rPr>
          <w:rFonts w:ascii="Arial" w:cs="Arial" w:eastAsia="Arial" w:hAnsi="Arial"/>
          <w:sz w:val="18"/>
          <w:szCs w:val="18"/>
          <w:b w:val="1"/>
          <w:bCs w:val="1"/>
          <w:color w:val="auto"/>
        </w:rPr>
        <w:t>Registrant’s telephone number, including area code: (978) 671-8001</w:t>
      </w:r>
    </w:p>
    <w:p>
      <w:pPr>
        <w:spacing w:after="0" w:line="200" w:lineRule="exact"/>
        <w:rPr>
          <w:sz w:val="24"/>
          <w:szCs w:val="24"/>
          <w:color w:val="auto"/>
        </w:rPr>
      </w:pPr>
    </w:p>
    <w:p>
      <w:pPr>
        <w:spacing w:after="0" w:line="200" w:lineRule="exact"/>
        <w:rPr>
          <w:sz w:val="24"/>
          <w:szCs w:val="24"/>
          <w:color w:val="auto"/>
        </w:rPr>
      </w:pPr>
    </w:p>
    <w:p>
      <w:pPr>
        <w:spacing w:after="0" w:line="203" w:lineRule="exact"/>
        <w:rPr>
          <w:sz w:val="24"/>
          <w:szCs w:val="24"/>
          <w:color w:val="auto"/>
        </w:rPr>
      </w:pPr>
    </w:p>
    <w:p>
      <w:pPr>
        <w:jc w:val="center"/>
        <w:ind w:right="-59"/>
        <w:spacing w:after="0"/>
        <w:rPr>
          <w:sz w:val="20"/>
          <w:szCs w:val="20"/>
          <w:color w:val="auto"/>
        </w:rPr>
      </w:pPr>
      <w:r>
        <w:rPr>
          <w:rFonts w:ascii="Arial" w:cs="Arial" w:eastAsia="Arial" w:hAnsi="Arial"/>
          <w:sz w:val="18"/>
          <w:szCs w:val="18"/>
          <w:b w:val="1"/>
          <w:bCs w:val="1"/>
          <w:color w:val="auto"/>
        </w:rPr>
        <w:t>Not Applicable</w:t>
      </w:r>
    </w:p>
    <w:p>
      <w:pPr>
        <w:spacing w:after="0" w:line="59" w:lineRule="exact"/>
        <w:rPr>
          <w:sz w:val="24"/>
          <w:szCs w:val="24"/>
          <w:color w:val="auto"/>
        </w:rPr>
      </w:pPr>
    </w:p>
    <w:p>
      <w:pPr>
        <w:jc w:val="center"/>
        <w:ind w:right="-59"/>
        <w:spacing w:after="0"/>
        <w:rPr>
          <w:sz w:val="20"/>
          <w:szCs w:val="20"/>
          <w:color w:val="auto"/>
        </w:rPr>
      </w:pPr>
      <w:r>
        <w:rPr>
          <w:rFonts w:ascii="Arial" w:cs="Arial" w:eastAsia="Arial" w:hAnsi="Arial"/>
          <w:sz w:val="14"/>
          <w:szCs w:val="14"/>
          <w:b w:val="1"/>
          <w:bCs w:val="1"/>
          <w:color w:val="auto"/>
        </w:rPr>
        <w:t>(Former name or former address, if changed since last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2826385</wp:posOffset>
            </wp:positionH>
            <wp:positionV relativeFrom="paragraph">
              <wp:posOffset>246380</wp:posOffset>
            </wp:positionV>
            <wp:extent cx="160337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603375"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305" w:lineRule="exact"/>
        <w:rPr>
          <w:sz w:val="24"/>
          <w:szCs w:val="24"/>
          <w:color w:val="auto"/>
        </w:rPr>
      </w:pPr>
    </w:p>
    <w:p>
      <w:pPr>
        <w:ind w:right="160" w:firstLine="648"/>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 (see General Instruction A.2. below):</w:t>
      </w:r>
    </w:p>
    <w:p>
      <w:pPr>
        <w:spacing w:after="0" w:line="62" w:lineRule="exact"/>
        <w:rPr>
          <w:sz w:val="24"/>
          <w:szCs w:val="24"/>
          <w:color w:val="auto"/>
        </w:rPr>
      </w:pPr>
    </w:p>
    <w:p>
      <w:pPr>
        <w:ind w:left="460" w:hanging="438"/>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117" w:lineRule="exact"/>
        <w:rPr>
          <w:rFonts w:ascii="MS PGothic" w:cs="MS PGothic" w:eastAsia="MS PGothic" w:hAnsi="MS PGothic"/>
          <w:sz w:val="18"/>
          <w:szCs w:val="18"/>
          <w:color w:val="auto"/>
        </w:rPr>
      </w:pPr>
    </w:p>
    <w:p>
      <w:pPr>
        <w:ind w:left="460" w:hanging="438"/>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117" w:lineRule="exact"/>
        <w:rPr>
          <w:rFonts w:ascii="MS PGothic" w:cs="MS PGothic" w:eastAsia="MS PGothic" w:hAnsi="MS PGothic"/>
          <w:sz w:val="18"/>
          <w:szCs w:val="18"/>
          <w:color w:val="auto"/>
        </w:rPr>
      </w:pPr>
    </w:p>
    <w:p>
      <w:pPr>
        <w:ind w:left="460" w:hanging="438"/>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117" w:lineRule="exact"/>
        <w:rPr>
          <w:rFonts w:ascii="MS PGothic" w:cs="MS PGothic" w:eastAsia="MS PGothic" w:hAnsi="MS PGothic"/>
          <w:sz w:val="18"/>
          <w:szCs w:val="18"/>
          <w:color w:val="auto"/>
        </w:rPr>
      </w:pPr>
    </w:p>
    <w:p>
      <w:pPr>
        <w:ind w:left="460" w:hanging="438"/>
        <w:spacing w:after="0"/>
        <w:tabs>
          <w:tab w:leader="none" w:pos="46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25" w:lineRule="exact"/>
        <w:rPr>
          <w:sz w:val="24"/>
          <w:szCs w:val="24"/>
          <w:color w:val="auto"/>
        </w:rPr>
      </w:pPr>
    </w:p>
    <w:p>
      <w:pPr>
        <w:spacing w:after="0" w:line="259"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53" w:lineRule="exact"/>
        <w:rPr>
          <w:sz w:val="24"/>
          <w:szCs w:val="24"/>
          <w:color w:val="auto"/>
        </w:rPr>
      </w:pPr>
    </w:p>
    <w:p>
      <w:pPr>
        <w:ind w:left="6980"/>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258" w:lineRule="exact"/>
        <w:rPr>
          <w:sz w:val="24"/>
          <w:szCs w:val="24"/>
          <w:color w:val="auto"/>
        </w:rPr>
      </w:pPr>
    </w:p>
    <w:p>
      <w:pPr>
        <w:ind w:right="80"/>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48260</wp:posOffset>
            </wp:positionH>
            <wp:positionV relativeFrom="paragraph">
              <wp:posOffset>167640</wp:posOffset>
            </wp:positionV>
            <wp:extent cx="7160895"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60895" cy="8890"/>
                    </a:xfrm>
                    <a:prstGeom prst="rect">
                      <a:avLst/>
                    </a:prstGeom>
                    <a:noFill/>
                  </pic:spPr>
                </pic:pic>
              </a:graphicData>
            </a:graphic>
          </wp:anchor>
        </w:drawing>
        <w:drawing>
          <wp:anchor simplePos="0" relativeHeight="251657728" behindDoc="1" locked="0" layoutInCell="0" allowOverlap="1">
            <wp:simplePos x="0" y="0"/>
            <wp:positionH relativeFrom="column">
              <wp:posOffset>48260</wp:posOffset>
            </wp:positionH>
            <wp:positionV relativeFrom="paragraph">
              <wp:posOffset>73660</wp:posOffset>
            </wp:positionV>
            <wp:extent cx="7160895"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60895" cy="8890"/>
                    </a:xfrm>
                    <a:prstGeom prst="rect">
                      <a:avLst/>
                    </a:prstGeom>
                    <a:noFill/>
                  </pic:spPr>
                </pic:pic>
              </a:graphicData>
            </a:graphic>
          </wp:anchor>
        </w:drawing>
      </w:r>
    </w:p>
    <w:p>
      <w:pPr>
        <w:sectPr>
          <w:pgSz w:w="11900" w:h="16838" w:orient="portrait"/>
          <w:cols w:equalWidth="0" w:num="1">
            <w:col w:w="11360"/>
          </w:cols>
          <w:pgMar w:left="240" w:top="1125" w:right="299" w:bottom="1440" w:gutter="0" w:footer="0" w:header="0"/>
          <w:type w:val="continuous"/>
        </w:sectPr>
      </w:pPr>
    </w:p>
    <w:bookmarkStart w:id="1" w:name="page2"/>
    <w:bookmarkEnd w:id="1"/>
    <w:p>
      <w:pPr>
        <w:spacing w:after="0"/>
        <w:tabs>
          <w:tab w:leader="none" w:pos="980" w:val="left"/>
        </w:tabs>
        <w:rPr>
          <w:sz w:val="20"/>
          <w:szCs w:val="20"/>
          <w:color w:val="auto"/>
        </w:rPr>
      </w:pPr>
      <w:r>
        <w:rPr>
          <w:rFonts w:ascii="Arial" w:cs="Arial" w:eastAsia="Arial" w:hAnsi="Arial"/>
          <w:sz w:val="18"/>
          <w:szCs w:val="18"/>
          <w:b w:val="1"/>
          <w:bCs w:val="1"/>
          <w:color w:val="auto"/>
        </w:rPr>
        <w:t>Item 2.02.</w:t>
      </w:r>
      <w:r>
        <w:rPr>
          <w:sz w:val="20"/>
          <w:szCs w:val="20"/>
          <w:color w:val="auto"/>
        </w:rPr>
        <w:tab/>
      </w:r>
      <w:r>
        <w:rPr>
          <w:rFonts w:ascii="Arial" w:cs="Arial" w:eastAsia="Arial" w:hAnsi="Arial"/>
          <w:sz w:val="16"/>
          <w:szCs w:val="16"/>
          <w:b w:val="1"/>
          <w:bCs w:val="1"/>
          <w:color w:val="auto"/>
        </w:rPr>
        <w:t>Results of Operations and Financial Condition.</w:t>
      </w:r>
    </w:p>
    <w:p>
      <w:pPr>
        <w:spacing w:after="0" w:line="121" w:lineRule="exact"/>
        <w:rPr>
          <w:sz w:val="20"/>
          <w:szCs w:val="20"/>
          <w:color w:val="auto"/>
        </w:rPr>
      </w:pPr>
    </w:p>
    <w:p>
      <w:pPr>
        <w:ind w:right="140"/>
        <w:spacing w:after="0" w:line="277" w:lineRule="auto"/>
        <w:rPr>
          <w:sz w:val="20"/>
          <w:szCs w:val="20"/>
          <w:color w:val="auto"/>
        </w:rPr>
      </w:pPr>
      <w:r>
        <w:rPr>
          <w:rFonts w:ascii="Arial" w:cs="Arial" w:eastAsia="Arial" w:hAnsi="Arial"/>
          <w:sz w:val="18"/>
          <w:szCs w:val="18"/>
          <w:color w:val="auto"/>
        </w:rPr>
        <w:t>On August 1, 2018, Lantheus Holdings, Inc. (the “Company”) announced via press release its financial results as of and for the three and six months ended, June 30, 2018. A copy of that press release is being furnished as Exhibit 99.1 and is hereby incorporated by reference.</w:t>
      </w:r>
    </w:p>
    <w:p>
      <w:pPr>
        <w:spacing w:after="0" w:line="170" w:lineRule="exact"/>
        <w:rPr>
          <w:sz w:val="20"/>
          <w:szCs w:val="20"/>
          <w:color w:val="auto"/>
        </w:rPr>
      </w:pPr>
    </w:p>
    <w:p>
      <w:pPr>
        <w:spacing w:after="0" w:line="264" w:lineRule="auto"/>
        <w:rPr>
          <w:sz w:val="20"/>
          <w:szCs w:val="20"/>
          <w:color w:val="auto"/>
        </w:rPr>
      </w:pPr>
      <w:r>
        <w:rPr>
          <w:rFonts w:ascii="Arial" w:cs="Arial" w:eastAsia="Arial" w:hAnsi="Arial"/>
          <w:sz w:val="18"/>
          <w:szCs w:val="18"/>
          <w:color w:val="auto"/>
        </w:rPr>
        <w:t>The information furnished pursuant to this Item 2.02, including Exhibit 99.1, shall not be deemed “filed” for purposes of Section 18 of the Securities Exchange Act of 1934, as amended (the “Exchange Act”), or otherwise subject to the liabilities under that Section and shall not be deemed to be incorporated by reference into any filing of the Company under the Securities Act of 1933, as amended, or the Exchange Act.</w:t>
      </w:r>
    </w:p>
    <w:p>
      <w:pPr>
        <w:spacing w:after="0" w:line="285" w:lineRule="exact"/>
        <w:rPr>
          <w:sz w:val="20"/>
          <w:szCs w:val="20"/>
          <w:color w:val="auto"/>
        </w:rPr>
      </w:pPr>
    </w:p>
    <w:p>
      <w:pPr>
        <w:spacing w:after="0"/>
        <w:tabs>
          <w:tab w:leader="none" w:pos="1080" w:val="left"/>
        </w:tabs>
        <w:rPr>
          <w:sz w:val="20"/>
          <w:szCs w:val="20"/>
          <w:color w:val="auto"/>
        </w:rPr>
      </w:pPr>
      <w:r>
        <w:rPr>
          <w:rFonts w:ascii="Arial" w:cs="Arial" w:eastAsia="Arial" w:hAnsi="Arial"/>
          <w:sz w:val="18"/>
          <w:szCs w:val="18"/>
          <w:b w:val="1"/>
          <w:bCs w:val="1"/>
          <w:color w:val="auto"/>
        </w:rPr>
        <w:t>Item 9.01.</w:t>
      </w:r>
      <w:r>
        <w:rPr>
          <w:sz w:val="20"/>
          <w:szCs w:val="20"/>
          <w:color w:val="auto"/>
        </w:rPr>
        <w:tab/>
      </w:r>
      <w:r>
        <w:rPr>
          <w:rFonts w:ascii="Arial" w:cs="Arial" w:eastAsia="Arial" w:hAnsi="Arial"/>
          <w:sz w:val="16"/>
          <w:szCs w:val="16"/>
          <w:b w:val="1"/>
          <w:bCs w:val="1"/>
          <w:color w:val="auto"/>
        </w:rPr>
        <w:t>Financial Statements and Exhibits.</w:t>
      </w:r>
    </w:p>
    <w:p>
      <w:pPr>
        <w:spacing w:after="0" w:line="12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1220" w:type="dxa"/>
            <w:vAlign w:val="bottom"/>
            <w:gridSpan w:val="2"/>
          </w:tcPr>
          <w:p>
            <w:pPr>
              <w:spacing w:after="0"/>
              <w:rPr>
                <w:sz w:val="20"/>
                <w:szCs w:val="20"/>
                <w:color w:val="auto"/>
              </w:rPr>
            </w:pPr>
            <w:r>
              <w:rPr>
                <w:rFonts w:ascii="Arial" w:cs="Arial" w:eastAsia="Arial" w:hAnsi="Arial"/>
                <w:sz w:val="18"/>
                <w:szCs w:val="18"/>
                <w:color w:val="auto"/>
              </w:rPr>
              <w:t>(d) Exhibits</w:t>
            </w:r>
          </w:p>
        </w:tc>
        <w:tc>
          <w:tcPr>
            <w:tcW w:w="12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8500" w:type="dxa"/>
            <w:vAlign w:val="bottom"/>
          </w:tcPr>
          <w:p>
            <w:pPr>
              <w:spacing w:after="0"/>
              <w:rPr>
                <w:sz w:val="20"/>
                <w:szCs w:val="20"/>
                <w:color w:val="auto"/>
              </w:rPr>
            </w:pPr>
          </w:p>
        </w:tc>
        <w:tc>
          <w:tcPr>
            <w:tcW w:w="340" w:type="dxa"/>
            <w:vAlign w:val="bottom"/>
          </w:tcPr>
          <w:p>
            <w:pPr>
              <w:spacing w:after="0"/>
              <w:rPr>
                <w:sz w:val="20"/>
                <w:szCs w:val="20"/>
                <w:color w:val="auto"/>
              </w:rPr>
            </w:pPr>
          </w:p>
        </w:tc>
      </w:tr>
      <w:tr>
        <w:trPr>
          <w:trHeight w:val="378"/>
        </w:trPr>
        <w:tc>
          <w:tcPr>
            <w:tcW w:w="122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93"/>
              </w:rPr>
              <w:t>Exhibit No.</w:t>
            </w:r>
          </w:p>
        </w:tc>
        <w:tc>
          <w:tcPr>
            <w:tcW w:w="1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8840" w:type="dxa"/>
            <w:vAlign w:val="bottom"/>
            <w:gridSpan w:val="2"/>
          </w:tcPr>
          <w:p>
            <w:pPr>
              <w:ind w:left="3700"/>
              <w:spacing w:after="0"/>
              <w:rPr>
                <w:sz w:val="20"/>
                <w:szCs w:val="20"/>
                <w:color w:val="auto"/>
              </w:rPr>
            </w:pPr>
            <w:r>
              <w:rPr>
                <w:rFonts w:ascii="Arial" w:cs="Arial" w:eastAsia="Arial" w:hAnsi="Arial"/>
                <w:sz w:val="18"/>
                <w:szCs w:val="18"/>
                <w:b w:val="1"/>
                <w:bCs w:val="1"/>
                <w:color w:val="auto"/>
              </w:rPr>
              <w:t>Description</w:t>
            </w:r>
          </w:p>
        </w:tc>
      </w:tr>
      <w:tr>
        <w:trPr>
          <w:trHeight w:val="27"/>
        </w:trPr>
        <w:tc>
          <w:tcPr>
            <w:tcW w:w="110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85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r>
      <w:tr>
        <w:trPr>
          <w:trHeight w:val="196"/>
        </w:trPr>
        <w:tc>
          <w:tcPr>
            <w:tcW w:w="1100" w:type="dxa"/>
            <w:vAlign w:val="bottom"/>
          </w:tcPr>
          <w:p>
            <w:pPr>
              <w:jc w:val="right"/>
              <w:ind w:right="250"/>
              <w:spacing w:after="0" w:line="196" w:lineRule="exact"/>
              <w:rPr>
                <w:sz w:val="20"/>
                <w:szCs w:val="20"/>
                <w:color w:val="auto"/>
              </w:rPr>
            </w:pPr>
            <w:r>
              <w:rPr>
                <w:rFonts w:ascii="Arial" w:cs="Arial" w:eastAsia="Arial" w:hAnsi="Arial"/>
                <w:sz w:val="18"/>
                <w:szCs w:val="18"/>
                <w:color w:val="auto"/>
              </w:rPr>
              <w:t>99.1*</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480" w:type="dxa"/>
            <w:vAlign w:val="bottom"/>
            <w:gridSpan w:val="3"/>
          </w:tcPr>
          <w:p>
            <w:pPr>
              <w:spacing w:after="0" w:line="196" w:lineRule="exact"/>
              <w:rPr>
                <w:rFonts w:ascii="Arial" w:cs="Arial" w:eastAsia="Arial" w:hAnsi="Arial"/>
                <w:sz w:val="18"/>
                <w:szCs w:val="18"/>
                <w:color w:val="0000FF"/>
                <w:w w:val="93"/>
              </w:rPr>
            </w:pPr>
            <w:hyperlink w:anchor="page5">
              <w:r>
                <w:rPr>
                  <w:rFonts w:ascii="Arial" w:cs="Arial" w:eastAsia="Arial" w:hAnsi="Arial"/>
                  <w:sz w:val="18"/>
                  <w:szCs w:val="18"/>
                  <w:color w:val="0000FF"/>
                  <w:w w:val="93"/>
                </w:rPr>
                <w:t>Press release of Lantheus Holdings, Inc. dated August 1, 2018, entitled “Lantheus Holdings, Inc. Reports 2018 Second Quarter</w:t>
              </w:r>
            </w:hyperlink>
          </w:p>
        </w:tc>
      </w:tr>
      <w:tr>
        <w:trPr>
          <w:trHeight w:val="196"/>
        </w:trPr>
        <w:tc>
          <w:tcPr>
            <w:tcW w:w="1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140" w:type="dxa"/>
            <w:vAlign w:val="bottom"/>
            <w:tcBorders>
              <w:top w:val="single" w:sz="8" w:color="0000FF"/>
            </w:tcBorders>
            <w:gridSpan w:val="2"/>
          </w:tcPr>
          <w:p>
            <w:pPr>
              <w:spacing w:after="0" w:line="196" w:lineRule="exact"/>
              <w:rPr>
                <w:rFonts w:ascii="Arial" w:cs="Arial" w:eastAsia="Arial" w:hAnsi="Arial"/>
                <w:sz w:val="18"/>
                <w:szCs w:val="18"/>
                <w:color w:val="0000FF"/>
              </w:rPr>
            </w:pPr>
            <w:hyperlink w:anchor="page5">
              <w:r>
                <w:rPr>
                  <w:rFonts w:ascii="Arial" w:cs="Arial" w:eastAsia="Arial" w:hAnsi="Arial"/>
                  <w:sz w:val="18"/>
                  <w:szCs w:val="18"/>
                  <w:color w:val="0000FF"/>
                </w:rPr>
                <w:t>Results’’</w:t>
              </w:r>
            </w:hyperlink>
          </w:p>
        </w:tc>
        <w:tc>
          <w:tcPr>
            <w:tcW w:w="340" w:type="dxa"/>
            <w:vAlign w:val="bottom"/>
          </w:tcPr>
          <w:p>
            <w:pPr>
              <w:spacing w:after="0"/>
              <w:rPr>
                <w:sz w:val="17"/>
                <w:szCs w:val="17"/>
                <w:color w:val="auto"/>
              </w:rPr>
            </w:pPr>
          </w:p>
        </w:tc>
      </w:tr>
      <w:tr>
        <w:trPr>
          <w:trHeight w:val="20"/>
        </w:trPr>
        <w:tc>
          <w:tcPr>
            <w:tcW w:w="1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40" w:type="dxa"/>
            <w:vAlign w:val="bottom"/>
            <w:shd w:val="clear" w:color="auto" w:fill="0000FF"/>
          </w:tcPr>
          <w:p>
            <w:pPr>
              <w:spacing w:after="0" w:line="20" w:lineRule="exact"/>
              <w:rPr>
                <w:sz w:val="1"/>
                <w:szCs w:val="1"/>
                <w:color w:val="auto"/>
              </w:rPr>
            </w:pPr>
          </w:p>
        </w:tc>
        <w:tc>
          <w:tcPr>
            <w:tcW w:w="850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72" w:lineRule="exact"/>
        <w:rPr>
          <w:sz w:val="20"/>
          <w:szCs w:val="20"/>
          <w:color w:val="auto"/>
        </w:rPr>
      </w:pPr>
    </w:p>
    <w:p>
      <w:pPr>
        <w:jc w:val="both"/>
        <w:ind w:left="460" w:right="140" w:hanging="438"/>
        <w:spacing w:after="0" w:line="286" w:lineRule="auto"/>
        <w:tabs>
          <w:tab w:leader="none" w:pos="460" w:val="left"/>
        </w:tabs>
        <w:numPr>
          <w:ilvl w:val="0"/>
          <w:numId w:val="2"/>
        </w:numPr>
        <w:rPr>
          <w:rFonts w:ascii="Arial" w:cs="Arial" w:eastAsia="Arial" w:hAnsi="Arial"/>
          <w:sz w:val="17"/>
          <w:szCs w:val="17"/>
          <w:b w:val="1"/>
          <w:bCs w:val="1"/>
          <w:color w:val="auto"/>
        </w:rPr>
      </w:pPr>
      <w:r>
        <w:rPr>
          <w:rFonts w:ascii="Arial" w:cs="Arial" w:eastAsia="Arial" w:hAnsi="Arial"/>
          <w:sz w:val="17"/>
          <w:szCs w:val="17"/>
          <w:color w:val="auto"/>
        </w:rPr>
        <w:t>Exhibit 99.1 attached hereto is being furnished and shall not be deemed “filed” for purposes of Section 18 of the Securities Exchange Act of 1934, as amended, or otherwise subject to the liabilities of that section, nor shall such information be deemed incorporated by reference in any filing under the Securities Act of 1933, as amended, except as shall be expressly set forth by specific reference in such filing.</w:t>
      </w:r>
    </w:p>
    <w:p>
      <w:pPr>
        <w:sectPr>
          <w:pgSz w:w="11900" w:h="16838" w:orient="portrait"/>
          <w:cols w:equalWidth="0" w:num="1">
            <w:col w:w="11360"/>
          </w:cols>
          <w:pgMar w:left="240" w:top="580" w:right="299" w:bottom="1440" w:gutter="0" w:footer="0" w:header="0"/>
        </w:sectPr>
      </w:pPr>
    </w:p>
    <w:bookmarkStart w:id="2" w:name="page3"/>
    <w:bookmarkEnd w:id="2"/>
    <w:p>
      <w:pPr>
        <w:jc w:val="center"/>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right="200"/>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112" w:lineRule="exact"/>
        <w:rPr>
          <w:sz w:val="20"/>
          <w:szCs w:val="20"/>
          <w:color w:val="auto"/>
        </w:rPr>
      </w:pPr>
    </w:p>
    <w:p>
      <w:pPr>
        <w:ind w:left="4960"/>
        <w:spacing w:after="0"/>
        <w:rPr>
          <w:sz w:val="20"/>
          <w:szCs w:val="20"/>
          <w:color w:val="auto"/>
        </w:rPr>
      </w:pPr>
      <w:r>
        <w:rPr>
          <w:rFonts w:ascii="Arial" w:cs="Arial" w:eastAsia="Arial" w:hAnsi="Arial"/>
          <w:sz w:val="18"/>
          <w:szCs w:val="18"/>
          <w:b w:val="1"/>
          <w:bCs w:val="1"/>
          <w:color w:val="auto"/>
        </w:rPr>
        <w:t>LANTHEUS HOLDINGS, INC.</w:t>
      </w:r>
    </w:p>
    <w:p>
      <w:pPr>
        <w:spacing w:after="0" w:line="337" w:lineRule="exact"/>
        <w:rPr>
          <w:sz w:val="20"/>
          <w:szCs w:val="20"/>
          <w:color w:val="auto"/>
        </w:rPr>
      </w:pPr>
    </w:p>
    <w:tbl>
      <w:tblPr>
        <w:tblLayout w:type="fixed"/>
        <w:tblInd w:w="4960" w:type="dxa"/>
        <w:tblCellMar>
          <w:top w:w="0" w:type="dxa"/>
          <w:left w:w="0" w:type="dxa"/>
          <w:bottom w:w="0" w:type="dxa"/>
          <w:right w:w="0" w:type="dxa"/>
        </w:tblCellMar>
      </w:tblPr>
      <w:tr>
        <w:trPr>
          <w:trHeight w:val="230"/>
        </w:trPr>
        <w:tc>
          <w:tcPr>
            <w:tcW w:w="740" w:type="dxa"/>
            <w:vAlign w:val="bottom"/>
          </w:tcPr>
          <w:p>
            <w:pPr>
              <w:spacing w:after="0"/>
              <w:rPr>
                <w:sz w:val="20"/>
                <w:szCs w:val="20"/>
                <w:color w:val="auto"/>
              </w:rPr>
            </w:pPr>
            <w:r>
              <w:rPr>
                <w:rFonts w:ascii="Arial" w:cs="Arial" w:eastAsia="Arial" w:hAnsi="Arial"/>
                <w:sz w:val="18"/>
                <w:szCs w:val="18"/>
                <w:color w:val="auto"/>
              </w:rPr>
              <w:t>By:</w:t>
            </w:r>
          </w:p>
        </w:tc>
        <w:tc>
          <w:tcPr>
            <w:tcW w:w="5720" w:type="dxa"/>
            <w:vAlign w:val="bottom"/>
          </w:tcPr>
          <w:p>
            <w:pPr>
              <w:ind w:left="40"/>
              <w:spacing w:after="0"/>
              <w:rPr>
                <w:sz w:val="20"/>
                <w:szCs w:val="20"/>
                <w:color w:val="auto"/>
              </w:rPr>
            </w:pPr>
            <w:r>
              <w:rPr>
                <w:rFonts w:ascii="Arial" w:cs="Arial" w:eastAsia="Arial" w:hAnsi="Arial"/>
                <w:sz w:val="18"/>
                <w:szCs w:val="18"/>
                <w:color w:val="auto"/>
              </w:rPr>
              <w:t>/S/ Michael P. Duffy</w:t>
            </w:r>
          </w:p>
        </w:tc>
        <w:tc>
          <w:tcPr>
            <w:tcW w:w="0" w:type="dxa"/>
            <w:vAlign w:val="bottom"/>
          </w:tcPr>
          <w:p>
            <w:pPr>
              <w:spacing w:after="0"/>
              <w:rPr>
                <w:sz w:val="1"/>
                <w:szCs w:val="1"/>
                <w:color w:val="auto"/>
              </w:rPr>
            </w:pPr>
          </w:p>
        </w:tc>
      </w:tr>
      <w:tr>
        <w:trPr>
          <w:trHeight w:val="102"/>
        </w:trPr>
        <w:tc>
          <w:tcPr>
            <w:tcW w:w="740" w:type="dxa"/>
            <w:vAlign w:val="bottom"/>
            <w:vMerge w:val="restart"/>
          </w:tcPr>
          <w:p>
            <w:pPr>
              <w:spacing w:after="0"/>
              <w:rPr>
                <w:sz w:val="20"/>
                <w:szCs w:val="20"/>
                <w:color w:val="auto"/>
              </w:rPr>
            </w:pPr>
            <w:r>
              <w:rPr>
                <w:rFonts w:ascii="Arial" w:cs="Arial" w:eastAsia="Arial" w:hAnsi="Arial"/>
                <w:sz w:val="18"/>
                <w:szCs w:val="18"/>
                <w:color w:val="auto"/>
              </w:rPr>
              <w:t>Name:</w:t>
            </w:r>
          </w:p>
        </w:tc>
        <w:tc>
          <w:tcPr>
            <w:tcW w:w="5720" w:type="dxa"/>
            <w:vAlign w:val="bottom"/>
            <w:tcBorders>
              <w:bottom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43"/>
        </w:trPr>
        <w:tc>
          <w:tcPr>
            <w:tcW w:w="740" w:type="dxa"/>
            <w:vAlign w:val="bottom"/>
            <w:vMerge w:val="continue"/>
          </w:tcPr>
          <w:p>
            <w:pPr>
              <w:spacing w:after="0"/>
              <w:rPr>
                <w:sz w:val="21"/>
                <w:szCs w:val="21"/>
                <w:color w:val="auto"/>
              </w:rPr>
            </w:pPr>
          </w:p>
        </w:tc>
        <w:tc>
          <w:tcPr>
            <w:tcW w:w="5720" w:type="dxa"/>
            <w:vAlign w:val="bottom"/>
          </w:tcPr>
          <w:p>
            <w:pPr>
              <w:ind w:left="40"/>
              <w:spacing w:after="0"/>
              <w:rPr>
                <w:sz w:val="20"/>
                <w:szCs w:val="20"/>
                <w:color w:val="auto"/>
              </w:rPr>
            </w:pPr>
            <w:r>
              <w:rPr>
                <w:rFonts w:ascii="Arial" w:cs="Arial" w:eastAsia="Arial" w:hAnsi="Arial"/>
                <w:sz w:val="18"/>
                <w:szCs w:val="18"/>
                <w:color w:val="auto"/>
              </w:rPr>
              <w:t>Michael P. Duffy</w:t>
            </w:r>
          </w:p>
        </w:tc>
        <w:tc>
          <w:tcPr>
            <w:tcW w:w="0" w:type="dxa"/>
            <w:vAlign w:val="bottom"/>
          </w:tcPr>
          <w:p>
            <w:pPr>
              <w:spacing w:after="0"/>
              <w:rPr>
                <w:sz w:val="1"/>
                <w:szCs w:val="1"/>
                <w:color w:val="auto"/>
              </w:rPr>
            </w:pPr>
          </w:p>
        </w:tc>
      </w:tr>
      <w:tr>
        <w:trPr>
          <w:trHeight w:val="338"/>
        </w:trPr>
        <w:tc>
          <w:tcPr>
            <w:tcW w:w="740" w:type="dxa"/>
            <w:vAlign w:val="bottom"/>
          </w:tcPr>
          <w:p>
            <w:pPr>
              <w:spacing w:after="0"/>
              <w:rPr>
                <w:sz w:val="20"/>
                <w:szCs w:val="20"/>
                <w:color w:val="auto"/>
              </w:rPr>
            </w:pPr>
            <w:r>
              <w:rPr>
                <w:rFonts w:ascii="Arial" w:cs="Arial" w:eastAsia="Arial" w:hAnsi="Arial"/>
                <w:sz w:val="18"/>
                <w:szCs w:val="18"/>
                <w:color w:val="auto"/>
              </w:rPr>
              <w:t>Title:</w:t>
            </w:r>
          </w:p>
        </w:tc>
        <w:tc>
          <w:tcPr>
            <w:tcW w:w="5720" w:type="dxa"/>
            <w:vAlign w:val="bottom"/>
          </w:tcPr>
          <w:p>
            <w:pPr>
              <w:ind w:left="40"/>
              <w:spacing w:after="0"/>
              <w:rPr>
                <w:sz w:val="20"/>
                <w:szCs w:val="20"/>
                <w:color w:val="auto"/>
              </w:rPr>
            </w:pPr>
            <w:r>
              <w:rPr>
                <w:rFonts w:ascii="Arial" w:cs="Arial" w:eastAsia="Arial" w:hAnsi="Arial"/>
                <w:sz w:val="18"/>
                <w:szCs w:val="18"/>
                <w:color w:val="auto"/>
                <w:w w:val="90"/>
              </w:rPr>
              <w:t>General Counsel, Senior Vice President, Law and Public Policy, and Secretary</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spacing w:after="0"/>
        <w:rPr>
          <w:sz w:val="20"/>
          <w:szCs w:val="20"/>
          <w:color w:val="auto"/>
        </w:rPr>
      </w:pPr>
      <w:r>
        <w:rPr>
          <w:rFonts w:ascii="Arial" w:cs="Arial" w:eastAsia="Arial" w:hAnsi="Arial"/>
          <w:sz w:val="18"/>
          <w:szCs w:val="18"/>
          <w:color w:val="auto"/>
        </w:rPr>
        <w:t>Date: August 1, 2018</w:t>
      </w:r>
    </w:p>
    <w:p>
      <w:pPr>
        <w:sectPr>
          <w:pgSz w:w="11900" w:h="16838" w:orient="portrait"/>
          <w:cols w:equalWidth="0" w:num="1">
            <w:col w:w="11420"/>
          </w:cols>
          <w:pgMar w:left="240" w:top="580" w:right="239" w:bottom="1440" w:gutter="0" w:footer="0" w:header="0"/>
        </w:sectPr>
      </w:pPr>
    </w:p>
    <w:bookmarkStart w:id="3" w:name="page4"/>
    <w:bookmarkEnd w:id="3"/>
    <w:p>
      <w:pPr>
        <w:jc w:val="center"/>
        <w:ind w:right="-197"/>
        <w:spacing w:after="0"/>
        <w:rPr>
          <w:sz w:val="20"/>
          <w:szCs w:val="20"/>
          <w:color w:val="auto"/>
        </w:rPr>
      </w:pPr>
      <w:r>
        <w:rPr>
          <w:rFonts w:ascii="Arial" w:cs="Arial" w:eastAsia="Arial" w:hAnsi="Arial"/>
          <w:sz w:val="18"/>
          <w:szCs w:val="18"/>
          <w:b w:val="1"/>
          <w:bCs w:val="1"/>
          <w:color w:val="auto"/>
        </w:rPr>
        <w:t>EXHIBIT INDEX</w:t>
      </w:r>
    </w:p>
    <w:p>
      <w:pPr>
        <w:spacing w:after="0" w:line="200" w:lineRule="exact"/>
        <w:rPr>
          <w:sz w:val="20"/>
          <w:szCs w:val="20"/>
          <w:color w:val="auto"/>
        </w:rPr>
      </w:pPr>
    </w:p>
    <w:p>
      <w:pPr>
        <w:spacing w:after="0" w:line="228" w:lineRule="exact"/>
        <w:rPr>
          <w:sz w:val="20"/>
          <w:szCs w:val="20"/>
          <w:color w:val="auto"/>
        </w:rPr>
      </w:pPr>
    </w:p>
    <w:p>
      <w:pPr>
        <w:ind w:left="38"/>
        <w:spacing w:after="0"/>
        <w:tabs>
          <w:tab w:leader="none" w:pos="5578" w:val="left"/>
        </w:tabs>
        <w:rPr>
          <w:sz w:val="20"/>
          <w:szCs w:val="20"/>
          <w:color w:val="auto"/>
        </w:rPr>
      </w:pPr>
      <w:r>
        <w:rPr>
          <w:rFonts w:ascii="Arial" w:cs="Arial" w:eastAsia="Arial" w:hAnsi="Arial"/>
          <w:sz w:val="18"/>
          <w:szCs w:val="18"/>
          <w:b w:val="1"/>
          <w:bCs w:val="1"/>
          <w:color w:val="auto"/>
        </w:rPr>
        <w:t>Exhibit No.</w:t>
      </w:r>
      <w:r>
        <w:rPr>
          <w:sz w:val="20"/>
          <w:szCs w:val="20"/>
          <w:color w:val="auto"/>
        </w:rPr>
        <w:tab/>
      </w:r>
      <w:r>
        <w:rPr>
          <w:rFonts w:ascii="Arial" w:cs="Arial" w:eastAsia="Arial" w:hAnsi="Arial"/>
          <w:sz w:val="16"/>
          <w:szCs w:val="16"/>
          <w:b w:val="1"/>
          <w:bCs w:val="1"/>
          <w:color w:val="auto"/>
        </w:rPr>
        <w:t>Description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wp:posOffset>
            </wp:positionH>
            <wp:positionV relativeFrom="paragraph">
              <wp:posOffset>34290</wp:posOffset>
            </wp:positionV>
            <wp:extent cx="686943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6869430" cy="8890"/>
                    </a:xfrm>
                    <a:prstGeom prst="rect">
                      <a:avLst/>
                    </a:prstGeom>
                    <a:noFill/>
                  </pic:spPr>
                </pic:pic>
              </a:graphicData>
            </a:graphic>
          </wp:anchor>
        </w:drawing>
      </w:r>
    </w:p>
    <w:p>
      <w:pPr>
        <w:spacing w:after="0" w:line="61" w:lineRule="exact"/>
        <w:rPr>
          <w:sz w:val="20"/>
          <w:szCs w:val="20"/>
          <w:color w:val="auto"/>
        </w:rPr>
      </w:pPr>
    </w:p>
    <w:p>
      <w:pPr>
        <w:ind w:left="1218" w:right="840" w:hanging="938"/>
        <w:spacing w:after="0" w:line="277" w:lineRule="auto"/>
        <w:tabs>
          <w:tab w:leader="none" w:pos="1198" w:val="left"/>
        </w:tabs>
        <w:rPr>
          <w:rFonts w:ascii="Arial" w:cs="Arial" w:eastAsia="Arial" w:hAnsi="Arial"/>
          <w:sz w:val="18"/>
          <w:szCs w:val="18"/>
          <w:u w:val="single" w:color="auto"/>
          <w:color w:val="0000FF"/>
        </w:rPr>
      </w:pPr>
      <w:r>
        <w:rPr>
          <w:rFonts w:ascii="Arial" w:cs="Arial" w:eastAsia="Arial" w:hAnsi="Arial"/>
          <w:sz w:val="18"/>
          <w:szCs w:val="18"/>
          <w:color w:val="auto"/>
        </w:rPr>
        <w:t>99.1*</w:t>
      </w:r>
      <w:r>
        <w:rPr>
          <w:sz w:val="20"/>
          <w:szCs w:val="20"/>
          <w:color w:val="auto"/>
        </w:rPr>
        <w:tab/>
      </w:r>
      <w:hyperlink w:anchor="page5">
        <w:r>
          <w:rPr>
            <w:rFonts w:ascii="Arial" w:cs="Arial" w:eastAsia="Arial" w:hAnsi="Arial"/>
            <w:sz w:val="18"/>
            <w:szCs w:val="18"/>
            <w:u w:val="single" w:color="auto"/>
            <w:color w:val="0000FF"/>
          </w:rPr>
          <w:t>Press release of Lantheus Holdings, Inc. dated August 1, 2018, entitled “Lantheus Holdings, Inc. Reports 2018 Second Quarter</w:t>
        </w:r>
      </w:hyperlink>
      <w:r>
        <w:rPr>
          <w:rFonts w:ascii="Arial" w:cs="Arial" w:eastAsia="Arial" w:hAnsi="Arial"/>
          <w:sz w:val="18"/>
          <w:szCs w:val="18"/>
          <w:u w:val="single" w:color="auto"/>
          <w:color w:val="0000FF"/>
        </w:rPr>
        <w:t xml:space="preserve"> </w:t>
      </w:r>
      <w:hyperlink w:anchor="page5">
        <w:r>
          <w:rPr>
            <w:rFonts w:ascii="Arial" w:cs="Arial" w:eastAsia="Arial" w:hAnsi="Arial"/>
            <w:sz w:val="18"/>
            <w:szCs w:val="18"/>
            <w:u w:val="single" w:color="auto"/>
            <w:color w:val="0000FF"/>
          </w:rPr>
          <w:t>Results’’</w:t>
        </w:r>
      </w:hyperlink>
    </w:p>
    <w:p>
      <w:pPr>
        <w:spacing w:after="0" w:line="197" w:lineRule="exact"/>
        <w:rPr>
          <w:sz w:val="20"/>
          <w:szCs w:val="20"/>
          <w:color w:val="auto"/>
        </w:rPr>
      </w:pPr>
    </w:p>
    <w:p>
      <w:pPr>
        <w:jc w:val="both"/>
        <w:ind w:left="438" w:hanging="438"/>
        <w:spacing w:after="0" w:line="286" w:lineRule="auto"/>
        <w:tabs>
          <w:tab w:leader="none" w:pos="438" w:val="left"/>
        </w:tabs>
        <w:numPr>
          <w:ilvl w:val="0"/>
          <w:numId w:val="3"/>
        </w:numPr>
        <w:rPr>
          <w:rFonts w:ascii="Arial" w:cs="Arial" w:eastAsia="Arial" w:hAnsi="Arial"/>
          <w:sz w:val="17"/>
          <w:szCs w:val="17"/>
          <w:b w:val="1"/>
          <w:bCs w:val="1"/>
          <w:color w:val="auto"/>
        </w:rPr>
      </w:pPr>
      <w:r>
        <w:rPr>
          <w:rFonts w:ascii="Arial" w:cs="Arial" w:eastAsia="Arial" w:hAnsi="Arial"/>
          <w:sz w:val="17"/>
          <w:szCs w:val="17"/>
          <w:color w:val="auto"/>
        </w:rPr>
        <w:t>Exhibit 99.1 attached hereto is being furnished and shall not be deemed “filed” for purposes of Section 18 of the Securities Exchange Act of 1934, as amended, or otherwise subject to the liabilities of that section, nor shall such information be deemed incorporated by reference in any filing under the Securities Act of 1933, as amended, except as shall be expressly set forth by specific reference in such filing.</w:t>
      </w:r>
    </w:p>
    <w:p>
      <w:pPr>
        <w:sectPr>
          <w:pgSz w:w="11900" w:h="16838" w:orient="portrait"/>
          <w:cols w:equalWidth="0" w:num="1">
            <w:col w:w="11198"/>
          </w:cols>
          <w:pgMar w:left="262" w:top="580" w:right="439" w:bottom="1440" w:gutter="0" w:footer="0" w:header="0"/>
        </w:sectPr>
      </w:pPr>
    </w:p>
    <w:bookmarkStart w:id="4" w:name="page5"/>
    <w:bookmarkEnd w:id="4"/>
    <w:p>
      <w:pPr>
        <w:jc w:val="right"/>
        <w:spacing w:after="0"/>
        <w:rPr>
          <w:sz w:val="20"/>
          <w:szCs w:val="20"/>
          <w:color w:val="auto"/>
        </w:rPr>
      </w:pPr>
      <w:r>
        <w:rPr>
          <w:rFonts w:ascii="Arial" w:cs="Arial" w:eastAsia="Arial" w:hAnsi="Arial"/>
          <w:sz w:val="18"/>
          <w:szCs w:val="18"/>
          <w:b w:val="1"/>
          <w:bCs w:val="1"/>
          <w:color w:val="auto"/>
        </w:rPr>
        <w:t>Exhibit 99.1</w:t>
      </w:r>
    </w:p>
    <w:p>
      <w:pPr>
        <w:spacing w:after="0" w:line="391" w:lineRule="exact"/>
        <w:rPr>
          <w:sz w:val="20"/>
          <w:szCs w:val="20"/>
          <w:color w:val="auto"/>
        </w:rPr>
      </w:pPr>
    </w:p>
    <w:p>
      <w:pPr>
        <w:ind w:left="7120"/>
        <w:spacing w:after="0"/>
        <w:tabs>
          <w:tab w:leader="none" w:pos="9720" w:val="left"/>
        </w:tabs>
        <w:rPr>
          <w:sz w:val="20"/>
          <w:szCs w:val="20"/>
          <w:color w:val="auto"/>
        </w:rPr>
      </w:pPr>
      <w:r>
        <w:rPr>
          <w:rFonts w:ascii="Arial" w:cs="Arial" w:eastAsia="Arial" w:hAnsi="Arial"/>
          <w:sz w:val="18"/>
          <w:szCs w:val="18"/>
          <w:color w:val="auto"/>
        </w:rPr>
        <w:t>331 Treble Cove Road</w:t>
      </w:r>
      <w:r>
        <w:rPr>
          <w:sz w:val="20"/>
          <w:szCs w:val="20"/>
          <w:color w:val="auto"/>
        </w:rPr>
        <w:tab/>
      </w:r>
      <w:r>
        <w:rPr>
          <w:rFonts w:ascii="Arial" w:cs="Arial" w:eastAsia="Arial" w:hAnsi="Arial"/>
          <w:sz w:val="16"/>
          <w:szCs w:val="16"/>
          <w:color w:val="auto"/>
        </w:rPr>
        <w:t>800.362.2668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-121920</wp:posOffset>
            </wp:positionV>
            <wp:extent cx="1749425" cy="4889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1749425" cy="488950"/>
                    </a:xfrm>
                    <a:prstGeom prst="rect">
                      <a:avLst/>
                    </a:prstGeom>
                    <a:noFill/>
                  </pic:spPr>
                </pic:pic>
              </a:graphicData>
            </a:graphic>
          </wp:anchor>
        </w:drawing>
      </w:r>
    </w:p>
    <w:p>
      <w:pPr>
        <w:spacing w:after="0" w:line="3" w:lineRule="exact"/>
        <w:rPr>
          <w:sz w:val="20"/>
          <w:szCs w:val="20"/>
          <w:color w:val="auto"/>
        </w:rPr>
      </w:pPr>
    </w:p>
    <w:p>
      <w:pPr>
        <w:ind w:left="7120"/>
        <w:spacing w:after="0"/>
        <w:tabs>
          <w:tab w:leader="none" w:pos="9720" w:val="left"/>
        </w:tabs>
        <w:rPr>
          <w:sz w:val="20"/>
          <w:szCs w:val="20"/>
          <w:color w:val="auto"/>
        </w:rPr>
      </w:pPr>
      <w:r>
        <w:rPr>
          <w:rFonts w:ascii="Arial" w:cs="Arial" w:eastAsia="Arial" w:hAnsi="Arial"/>
          <w:sz w:val="18"/>
          <w:szCs w:val="18"/>
          <w:color w:val="auto"/>
        </w:rPr>
        <w:t>North Billerica, MA 01862</w:t>
      </w:r>
      <w:r>
        <w:rPr>
          <w:sz w:val="20"/>
          <w:szCs w:val="20"/>
          <w:color w:val="auto"/>
        </w:rPr>
        <w:tab/>
      </w:r>
      <w:r>
        <w:rPr>
          <w:rFonts w:ascii="Arial" w:cs="Arial" w:eastAsia="Arial" w:hAnsi="Arial"/>
          <w:sz w:val="16"/>
          <w:szCs w:val="16"/>
          <w:color w:val="auto"/>
        </w:rPr>
        <w:t>www.lantheus.com</w:t>
      </w:r>
    </w:p>
    <w:p>
      <w:pPr>
        <w:spacing w:after="0" w:line="200" w:lineRule="exact"/>
        <w:rPr>
          <w:sz w:val="20"/>
          <w:szCs w:val="20"/>
          <w:color w:val="auto"/>
        </w:rPr>
      </w:pPr>
    </w:p>
    <w:p>
      <w:pPr>
        <w:spacing w:after="0" w:line="37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Lantheus Holdings, Inc. Reports 2018 Second Quarter Results</w:t>
      </w:r>
    </w:p>
    <w:p>
      <w:pPr>
        <w:spacing w:after="0" w:line="229"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DEFINITY® worldwide revenues increase 14.9% year over year</w:t>
      </w:r>
    </w:p>
    <w:p>
      <w:pPr>
        <w:spacing w:after="0" w:line="225" w:lineRule="exact"/>
        <w:rPr>
          <w:sz w:val="20"/>
          <w:szCs w:val="20"/>
          <w:color w:val="auto"/>
        </w:rPr>
      </w:pPr>
    </w:p>
    <w:p>
      <w:pPr>
        <w:ind w:right="160"/>
        <w:spacing w:after="0" w:line="264" w:lineRule="auto"/>
        <w:rPr>
          <w:sz w:val="20"/>
          <w:szCs w:val="20"/>
          <w:color w:val="auto"/>
        </w:rPr>
      </w:pPr>
      <w:r>
        <w:rPr>
          <w:rFonts w:ascii="Arial" w:cs="Arial" w:eastAsia="Arial" w:hAnsi="Arial"/>
          <w:sz w:val="18"/>
          <w:szCs w:val="18"/>
          <w:color w:val="auto"/>
        </w:rPr>
        <w:t>NORTH BILLERICA, Mass., August 1, 2018 - Lantheus Holdings, Inc. (the “Company”) (NASDAQ: LNTH), parent company of Lantheus Medical Imaging, Inc. (“LMI”), a global leader in the development, manufacture and commercialization of innovative diagnostic imaging agents and products, today reported financial results for its second quarter ended June 30, 2018.</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Management Comments</w:t>
      </w:r>
    </w:p>
    <w:p>
      <w:pPr>
        <w:spacing w:after="0" w:line="27" w:lineRule="exact"/>
        <w:rPr>
          <w:sz w:val="20"/>
          <w:szCs w:val="20"/>
          <w:color w:val="auto"/>
        </w:rPr>
      </w:pPr>
    </w:p>
    <w:p>
      <w:pPr>
        <w:ind w:right="40"/>
        <w:spacing w:after="0" w:line="302" w:lineRule="auto"/>
        <w:rPr>
          <w:sz w:val="20"/>
          <w:szCs w:val="20"/>
          <w:color w:val="auto"/>
        </w:rPr>
      </w:pPr>
      <w:r>
        <w:rPr>
          <w:rFonts w:ascii="Arial" w:cs="Arial" w:eastAsia="Arial" w:hAnsi="Arial"/>
          <w:sz w:val="16"/>
          <w:szCs w:val="16"/>
          <w:color w:val="auto"/>
        </w:rPr>
        <w:t>“We posted solid results in the second quarter, with revenue that was in line with expectations and Adjusted EBITDA that exceeded our guidance,” said Mary Anne Heino, President and CEO. “This year continues to be a period of strategic investment in our business as we follow our three-pronged strategy of growing our microbubble franchise, investing in our product pipeline, and pursuing external opportunities that fit our growth and profitability objectives.”</w:t>
      </w:r>
    </w:p>
    <w:p>
      <w:pPr>
        <w:spacing w:after="0" w:line="264" w:lineRule="exact"/>
        <w:rPr>
          <w:sz w:val="20"/>
          <w:szCs w:val="20"/>
          <w:color w:val="auto"/>
        </w:rPr>
      </w:pPr>
    </w:p>
    <w:p>
      <w:pPr>
        <w:ind w:right="60"/>
        <w:spacing w:after="0" w:line="259" w:lineRule="auto"/>
        <w:rPr>
          <w:sz w:val="20"/>
          <w:szCs w:val="20"/>
          <w:color w:val="auto"/>
        </w:rPr>
      </w:pPr>
      <w:r>
        <w:rPr>
          <w:rFonts w:ascii="Arial" w:cs="Arial" w:eastAsia="Arial" w:hAnsi="Arial"/>
          <w:sz w:val="18"/>
          <w:szCs w:val="18"/>
          <w:color w:val="auto"/>
        </w:rPr>
        <w:t>Ms. Heino continued, “Our flagship product DEFINITY is the cornerstone of our microbubble franchise and remains the leading echo contrast agent worldwide. It is also a strong growth business for us, with worldwide sales that grew 14.9% year on year. Amid increased interest in the use of microbubbles in therapeutic and additional diagnostic applications, our research and development efforts are focused on identifying new applications and enhancing current applications to deliver future growth opportunities.”</w:t>
      </w:r>
    </w:p>
    <w:p>
      <w:pPr>
        <w:spacing w:after="0" w:line="187" w:lineRule="exact"/>
        <w:rPr>
          <w:sz w:val="20"/>
          <w:szCs w:val="20"/>
          <w:color w:val="auto"/>
        </w:rPr>
      </w:pPr>
    </w:p>
    <w:p>
      <w:pPr>
        <w:ind w:right="80"/>
        <w:spacing w:after="0" w:line="259" w:lineRule="auto"/>
        <w:rPr>
          <w:sz w:val="20"/>
          <w:szCs w:val="20"/>
          <w:color w:val="auto"/>
        </w:rPr>
      </w:pPr>
      <w:r>
        <w:rPr>
          <w:rFonts w:ascii="Arial" w:cs="Arial" w:eastAsia="Arial" w:hAnsi="Arial"/>
          <w:sz w:val="18"/>
          <w:szCs w:val="18"/>
          <w:color w:val="auto"/>
        </w:rPr>
        <w:t>“Highlights from our busy second quarter include being granted a composition of matter patent for an alternative formulation for DEFINITY that will run through 2035. Also, we are on track to initiate our Phase 3 clinical program for a Left Ventricular Ejection Fraction, or LVEF, indication for DEFINITY by the end of this year. At the same time, our DEFINITY China program completed patient enrollment for its cardiac, kidney, liver and pharmacokinetic studies, and we expect the application to be submitted to the China FDA by the end of this year,” added Ms. Heino.</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Supplier Update</w:t>
      </w:r>
    </w:p>
    <w:p>
      <w:pPr>
        <w:spacing w:after="0" w:line="27" w:lineRule="exact"/>
        <w:rPr>
          <w:sz w:val="20"/>
          <w:szCs w:val="20"/>
          <w:color w:val="auto"/>
        </w:rPr>
      </w:pPr>
    </w:p>
    <w:p>
      <w:pPr>
        <w:ind w:right="280"/>
        <w:spacing w:after="0" w:line="254" w:lineRule="auto"/>
        <w:rPr>
          <w:sz w:val="20"/>
          <w:szCs w:val="20"/>
          <w:color w:val="auto"/>
        </w:rPr>
      </w:pPr>
      <w:r>
        <w:rPr>
          <w:rFonts w:ascii="Arial" w:cs="Arial" w:eastAsia="Arial" w:hAnsi="Arial"/>
          <w:sz w:val="18"/>
          <w:szCs w:val="18"/>
          <w:color w:val="auto"/>
        </w:rPr>
        <w:t>As previously disclosed, one of the Company’s nuclear product suppliers, NTP, has been offline since early June, resulting in a temporary disruption in the supply of molybdenum-99, the medical isotope used in the Company’s TechneLite® generators. NTP is working with its regulatory authority to resume operations and in the meantime the Company is focused on mitigating the supply disruption through sourcing additional molybdenum-99 from its other suppliers.</w:t>
      </w:r>
    </w:p>
    <w:p>
      <w:pPr>
        <w:spacing w:after="0" w:line="29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Financial Highlights</w:t>
      </w:r>
    </w:p>
    <w:p>
      <w:pPr>
        <w:spacing w:after="0" w:line="27" w:lineRule="exact"/>
        <w:rPr>
          <w:sz w:val="20"/>
          <w:szCs w:val="20"/>
          <w:color w:val="auto"/>
        </w:rPr>
      </w:pPr>
    </w:p>
    <w:p>
      <w:pPr>
        <w:ind w:right="60"/>
        <w:spacing w:after="0" w:line="255" w:lineRule="auto"/>
        <w:rPr>
          <w:sz w:val="20"/>
          <w:szCs w:val="20"/>
          <w:color w:val="auto"/>
        </w:rPr>
      </w:pPr>
      <w:r>
        <w:rPr>
          <w:rFonts w:ascii="Arial" w:cs="Arial" w:eastAsia="Arial" w:hAnsi="Arial"/>
          <w:sz w:val="18"/>
          <w:szCs w:val="18"/>
          <w:color w:val="auto"/>
        </w:rPr>
        <w:t>The Company’s worldwide revenues for the second quarter of 2018 totaled $85.6 million, compared with $88.8 million for the second quarter of 2017, which included a $5.0 million up-front payment received from GE Healthcare. DEFINITY had worldwide revenues of $46.1 million for the second quarter, an increase of 14.9% from the year-ago period.</w:t>
      </w:r>
    </w:p>
    <w:p>
      <w:pPr>
        <w:spacing w:after="0" w:line="298" w:lineRule="exact"/>
        <w:rPr>
          <w:sz w:val="20"/>
          <w:szCs w:val="20"/>
          <w:color w:val="auto"/>
        </w:rPr>
      </w:pPr>
    </w:p>
    <w:p>
      <w:pPr>
        <w:ind w:right="100"/>
        <w:spacing w:after="0" w:line="286" w:lineRule="auto"/>
        <w:rPr>
          <w:sz w:val="20"/>
          <w:szCs w:val="20"/>
          <w:color w:val="auto"/>
        </w:rPr>
      </w:pPr>
      <w:r>
        <w:rPr>
          <w:rFonts w:ascii="Arial" w:cs="Arial" w:eastAsia="Arial" w:hAnsi="Arial"/>
          <w:sz w:val="17"/>
          <w:szCs w:val="17"/>
          <w:color w:val="auto"/>
        </w:rPr>
        <w:t>Net income for the second quarter of 2018 totaled $9.7 million, or $0.25 per diluted share, compared with $13.6 million, or $0.35 per diluted share, for the second quarter of 2017. The Company’s second quarter 2018 Adjusted EBITDA (as outlined in the GAAP to non-GAAP reconciliation provided below) was $23.7 million, or 27.6% of revenues, compared with $27.9 million, or 31.5% of revenues, for the second quarter of 2017.</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Outlook</w:t>
      </w:r>
    </w:p>
    <w:p>
      <w:pPr>
        <w:spacing w:after="0" w:line="27" w:lineRule="exact"/>
        <w:rPr>
          <w:sz w:val="20"/>
          <w:szCs w:val="20"/>
          <w:color w:val="auto"/>
        </w:rPr>
      </w:pPr>
    </w:p>
    <w:p>
      <w:pPr>
        <w:ind w:right="40"/>
        <w:spacing w:after="0" w:line="255" w:lineRule="auto"/>
        <w:rPr>
          <w:sz w:val="20"/>
          <w:szCs w:val="20"/>
          <w:color w:val="auto"/>
        </w:rPr>
      </w:pPr>
      <w:r>
        <w:rPr>
          <w:rFonts w:ascii="Arial" w:cs="Arial" w:eastAsia="Arial" w:hAnsi="Arial"/>
          <w:sz w:val="18"/>
          <w:szCs w:val="18"/>
          <w:color w:val="auto"/>
        </w:rPr>
        <w:t>For the third quarter of 2018, the Company expects worldwide revenues in the range of $82 million to $86 million. The Company expects Adjusted EBITDA, as described in the GAAP to non-GAAP reconciliation provided later in this release, of $18 million to $21 million, representing 20.9% to 25.6% of anticipated worldwide revenues.</w:t>
      </w:r>
    </w:p>
    <w:p>
      <w:pPr>
        <w:spacing w:after="0" w:line="298" w:lineRule="exact"/>
        <w:rPr>
          <w:sz w:val="20"/>
          <w:szCs w:val="20"/>
          <w:color w:val="auto"/>
        </w:rPr>
      </w:pPr>
    </w:p>
    <w:p>
      <w:pPr>
        <w:jc w:val="both"/>
        <w:ind w:right="60"/>
        <w:spacing w:after="0" w:line="264" w:lineRule="auto"/>
        <w:rPr>
          <w:sz w:val="20"/>
          <w:szCs w:val="20"/>
          <w:color w:val="auto"/>
        </w:rPr>
      </w:pPr>
      <w:r>
        <w:rPr>
          <w:rFonts w:ascii="Arial" w:cs="Arial" w:eastAsia="Arial" w:hAnsi="Arial"/>
          <w:sz w:val="18"/>
          <w:szCs w:val="18"/>
          <w:color w:val="auto"/>
        </w:rPr>
        <w:t>The Company maintains its guidance for full year 2018 worldwide revenues of approximately $337 million to $342 million, compared with $326.4 million in 2017 (which excludes the aforementioned $5.0 million payment from GE Healthcare). The Company also maintains its guidance for full year 2018 Adjusted EBITDA of $85 million to $90 million, representing 24.9% to 26.7% of anticipated worldwide revenues.</w:t>
      </w:r>
    </w:p>
    <w:p>
      <w:pPr>
        <w:sectPr>
          <w:pgSz w:w="11900" w:h="16838" w:orient="portrait"/>
          <w:cols w:equalWidth="0" w:num="1">
            <w:col w:w="11420"/>
          </w:cols>
          <w:pgMar w:left="240" w:top="1013" w:right="239" w:bottom="1440" w:gutter="0" w:footer="0" w:header="0"/>
        </w:sectPr>
      </w:pPr>
    </w:p>
    <w:p>
      <w:pPr>
        <w:spacing w:after="0" w:line="200" w:lineRule="exact"/>
        <w:rPr>
          <w:sz w:val="20"/>
          <w:szCs w:val="20"/>
          <w:color w:val="auto"/>
        </w:rPr>
      </w:pPr>
    </w:p>
    <w:p>
      <w:pPr>
        <w:spacing w:after="0" w:line="224" w:lineRule="exact"/>
        <w:rPr>
          <w:sz w:val="20"/>
          <w:szCs w:val="20"/>
          <w:color w:val="auto"/>
        </w:rPr>
      </w:pPr>
    </w:p>
    <w:p>
      <w:pPr>
        <w:jc w:val="center"/>
        <w:spacing w:after="0"/>
        <w:rPr>
          <w:sz w:val="20"/>
          <w:szCs w:val="20"/>
          <w:color w:val="auto"/>
        </w:rPr>
      </w:pPr>
      <w:r>
        <w:rPr>
          <w:rFonts w:ascii="Arial" w:cs="Arial" w:eastAsia="Arial" w:hAnsi="Arial"/>
          <w:sz w:val="15"/>
          <w:szCs w:val="15"/>
          <w:color w:val="auto"/>
        </w:rPr>
        <w:t>Page 1 of 10</w:t>
      </w:r>
    </w:p>
    <w:p>
      <w:pPr>
        <w:sectPr>
          <w:pgSz w:w="11900" w:h="16838" w:orient="portrait"/>
          <w:cols w:equalWidth="0" w:num="1">
            <w:col w:w="11420"/>
          </w:cols>
          <w:pgMar w:left="240" w:top="1013" w:right="239" w:bottom="1440" w:gutter="0" w:footer="0" w:header="0"/>
          <w:type w:val="continuous"/>
        </w:sectPr>
      </w:pPr>
    </w:p>
    <w:bookmarkStart w:id="5" w:name="page6"/>
    <w:bookmarkEnd w:id="5"/>
    <w:p>
      <w:pPr>
        <w:ind w:right="120"/>
        <w:spacing w:after="0" w:line="312" w:lineRule="auto"/>
        <w:rPr>
          <w:sz w:val="20"/>
          <w:szCs w:val="20"/>
          <w:color w:val="auto"/>
        </w:rPr>
      </w:pPr>
      <w:r>
        <w:rPr>
          <w:rFonts w:ascii="Arial" w:cs="Arial" w:eastAsia="Arial" w:hAnsi="Arial"/>
          <w:sz w:val="16"/>
          <w:szCs w:val="16"/>
          <w:color w:val="auto"/>
        </w:rPr>
        <w:t>The Company’s guidance for worldwide revenues and Adjusted EBITDA are forward-looking statements. They are subject to various risks and uncertainties that could cause the Company’s actual results to differ materially from guidance. Forward-looking statements are not predictions of the Company’s actual performance. See the cautionary information about forward-looking statements in the “Safe-Harbor Statement” section of this press release.</w:t>
      </w:r>
    </w:p>
    <w:p>
      <w:pPr>
        <w:spacing w:after="0" w:line="14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Internet Posting of Information</w:t>
      </w:r>
    </w:p>
    <w:p>
      <w:pPr>
        <w:spacing w:after="0" w:line="27" w:lineRule="exact"/>
        <w:rPr>
          <w:sz w:val="20"/>
          <w:szCs w:val="20"/>
          <w:color w:val="auto"/>
        </w:rPr>
      </w:pPr>
    </w:p>
    <w:p>
      <w:pPr>
        <w:ind w:right="560"/>
        <w:spacing w:after="0" w:line="290" w:lineRule="auto"/>
        <w:rPr>
          <w:sz w:val="20"/>
          <w:szCs w:val="20"/>
          <w:color w:val="auto"/>
        </w:rPr>
      </w:pPr>
      <w:r>
        <w:rPr>
          <w:rFonts w:ascii="Arial" w:cs="Arial" w:eastAsia="Arial" w:hAnsi="Arial"/>
          <w:sz w:val="17"/>
          <w:szCs w:val="17"/>
          <w:color w:val="auto"/>
        </w:rPr>
        <w:t>The Company routinely posts information that may be important to investors in the “Investors” section of its website at http://www.lantheus.com/. The Company encourages investors and potential investors to consult its website regularly for important information about the Company.</w:t>
      </w:r>
    </w:p>
    <w:p>
      <w:pPr>
        <w:spacing w:after="0" w:line="2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Conference Call and Webcast</w:t>
      </w:r>
    </w:p>
    <w:p>
      <w:pPr>
        <w:spacing w:after="0" w:line="27" w:lineRule="exact"/>
        <w:rPr>
          <w:sz w:val="20"/>
          <w:szCs w:val="20"/>
          <w:color w:val="auto"/>
        </w:rPr>
      </w:pPr>
    </w:p>
    <w:p>
      <w:pPr>
        <w:jc w:val="both"/>
        <w:ind w:right="120"/>
        <w:spacing w:after="0" w:line="255" w:lineRule="auto"/>
        <w:rPr>
          <w:sz w:val="20"/>
          <w:szCs w:val="20"/>
          <w:color w:val="auto"/>
        </w:rPr>
      </w:pPr>
      <w:r>
        <w:rPr>
          <w:rFonts w:ascii="Arial" w:cs="Arial" w:eastAsia="Arial" w:hAnsi="Arial"/>
          <w:sz w:val="18"/>
          <w:szCs w:val="18"/>
          <w:color w:val="auto"/>
        </w:rPr>
        <w:t>As previously announced, the Company will host a conference call starting at 4:30 p.m. Eastern Time today. To access the live conference call via telephone, please dial 1-866-498-8390 (U.S. callers) or 1-678-509-7599 (international callers) and provide passcode 8685099. A live audio webcast of the call also will be available in the Investors section of the Company’s website at www.lantheus.com.</w:t>
      </w:r>
    </w:p>
    <w:p>
      <w:pPr>
        <w:spacing w:after="0" w:line="298" w:lineRule="exact"/>
        <w:rPr>
          <w:sz w:val="20"/>
          <w:szCs w:val="20"/>
          <w:color w:val="auto"/>
        </w:rPr>
      </w:pPr>
    </w:p>
    <w:p>
      <w:pPr>
        <w:jc w:val="both"/>
        <w:ind w:right="100"/>
        <w:spacing w:after="0" w:line="277" w:lineRule="auto"/>
        <w:rPr>
          <w:sz w:val="20"/>
          <w:szCs w:val="20"/>
          <w:color w:val="auto"/>
        </w:rPr>
      </w:pPr>
      <w:r>
        <w:rPr>
          <w:rFonts w:ascii="Arial" w:cs="Arial" w:eastAsia="Arial" w:hAnsi="Arial"/>
          <w:sz w:val="18"/>
          <w:szCs w:val="18"/>
          <w:color w:val="auto"/>
        </w:rPr>
        <w:t>A replay of the audio webcast will be available in the Investors section of our website at www.lantheus.com approximately two hours after completion of the call and will be archived for 30 days.</w:t>
      </w:r>
    </w:p>
    <w:p>
      <w:pPr>
        <w:spacing w:after="0" w:line="170" w:lineRule="exact"/>
        <w:rPr>
          <w:sz w:val="20"/>
          <w:szCs w:val="20"/>
          <w:color w:val="auto"/>
        </w:rPr>
      </w:pPr>
    </w:p>
    <w:p>
      <w:pPr>
        <w:ind w:right="20"/>
        <w:spacing w:after="0" w:line="286" w:lineRule="auto"/>
        <w:rPr>
          <w:sz w:val="20"/>
          <w:szCs w:val="20"/>
          <w:color w:val="auto"/>
        </w:rPr>
      </w:pPr>
      <w:r>
        <w:rPr>
          <w:rFonts w:ascii="Arial" w:cs="Arial" w:eastAsia="Arial" w:hAnsi="Arial"/>
          <w:sz w:val="17"/>
          <w:szCs w:val="17"/>
          <w:color w:val="auto"/>
        </w:rPr>
        <w:t>The conference call will include a discussion of non-GAAP financial measures. Reference is made to the most directly comparable GAAP financial measures, the reconciliation of the differences between the two financial measures, and the other information included in this press release, our Form 8-K filed with the SEC today, or otherwise available in the Investor Relations section of our website located at www.lantheus.com.</w:t>
      </w:r>
    </w:p>
    <w:p>
      <w:pPr>
        <w:spacing w:after="0" w:line="166" w:lineRule="exact"/>
        <w:rPr>
          <w:sz w:val="20"/>
          <w:szCs w:val="20"/>
          <w:color w:val="auto"/>
        </w:rPr>
      </w:pPr>
    </w:p>
    <w:p>
      <w:pPr>
        <w:ind w:right="180"/>
        <w:spacing w:after="0" w:line="277" w:lineRule="auto"/>
        <w:rPr>
          <w:sz w:val="20"/>
          <w:szCs w:val="20"/>
          <w:color w:val="auto"/>
        </w:rPr>
      </w:pPr>
      <w:r>
        <w:rPr>
          <w:rFonts w:ascii="Arial" w:cs="Arial" w:eastAsia="Arial" w:hAnsi="Arial"/>
          <w:sz w:val="18"/>
          <w:szCs w:val="18"/>
          <w:color w:val="auto"/>
        </w:rPr>
        <w:t>The conference call may include forward-looking statements. See the cautionary information about forward-looking statements in the safe-harbor section of this press release.</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Lantheus Holdings, Inc. and Lantheus Medical Imaging, Inc.</w:t>
      </w:r>
    </w:p>
    <w:p>
      <w:pPr>
        <w:spacing w:after="0" w:line="27" w:lineRule="exact"/>
        <w:rPr>
          <w:sz w:val="20"/>
          <w:szCs w:val="20"/>
          <w:color w:val="auto"/>
        </w:rPr>
      </w:pPr>
    </w:p>
    <w:p>
      <w:pPr>
        <w:ind w:right="300"/>
        <w:spacing w:after="0" w:line="252" w:lineRule="auto"/>
        <w:rPr>
          <w:sz w:val="20"/>
          <w:szCs w:val="20"/>
          <w:color w:val="auto"/>
        </w:rPr>
      </w:pPr>
      <w:r>
        <w:rPr>
          <w:rFonts w:ascii="Arial" w:cs="Arial" w:eastAsia="Arial" w:hAnsi="Arial"/>
          <w:sz w:val="18"/>
          <w:szCs w:val="18"/>
          <w:color w:val="auto"/>
        </w:rPr>
        <w:t>Lantheus Holdings, Inc. is the parent company of LMI, a global leader in the development, manufacture and commercialization of innovative diagnostic imaging agents and products. LMI provides a broad portfolio of products, including the echocardiography contrast agent DEFINITY® Vial for (Perflutren Lipid Microsphere) Injectable Suspension; TechneLite® (Technetium Tc99m Generator), a technetium-based generator that provides the essential medical isotope used in nuclear medicine procedures; and Xenon (Xenon Xe 133 Gas), an inhaled radiopharmaceutical imaging agent used to evaluate pulmonary function and for imaging the lungs. The Company is headquartered in North Billerica, Massachusetts with offices in Puerto Rico and Canada. For more information, visit www.lantheus.com.</w:t>
      </w:r>
    </w:p>
    <w:p>
      <w:pPr>
        <w:spacing w:after="0" w:line="2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Non-GAAP Financial Measures</w:t>
      </w:r>
    </w:p>
    <w:p>
      <w:pPr>
        <w:spacing w:after="0" w:line="27" w:lineRule="exact"/>
        <w:rPr>
          <w:sz w:val="20"/>
          <w:szCs w:val="20"/>
          <w:color w:val="auto"/>
        </w:rPr>
      </w:pPr>
    </w:p>
    <w:p>
      <w:pPr>
        <w:ind w:right="200"/>
        <w:spacing w:after="0" w:line="252" w:lineRule="auto"/>
        <w:rPr>
          <w:sz w:val="20"/>
          <w:szCs w:val="20"/>
          <w:color w:val="auto"/>
        </w:rPr>
      </w:pPr>
      <w:r>
        <w:rPr>
          <w:rFonts w:ascii="Arial" w:cs="Arial" w:eastAsia="Arial" w:hAnsi="Arial"/>
          <w:sz w:val="18"/>
          <w:szCs w:val="18"/>
          <w:color w:val="auto"/>
        </w:rPr>
        <w:t>The Company uses non-GAAP financial measures, such as revenues excluding the impact of foreign currency; adjusted operating income; adjusted net income and its line components; Adjusted EBITDA; adjusted net income per share - diluted; and free cash flow. The Company’s management believes that the presentation of these measures provides useful information to investors. These measures may assist investors in evaluating the Company’s operations, period over period. The measures may exclude such items which may be highly variable, difficult to predict and of a size that could have substantial impact on the Company’s reported results of operations for a period. Management uses these and other non-GAAP measures internally for evaluation of the performance of the business, including the allocation of resources and the evaluation of results relative to employee performance compensation targets. Investors should consider these non-GAAP measures only as a supplement to, not as a substitute for or as superior to, measures of financial performance prepared in accordance with GAAP.</w:t>
      </w:r>
    </w:p>
    <w:p>
      <w:pPr>
        <w:spacing w:after="0" w:line="29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Safe Harbor for Forward-Looking and Cautionary Statements</w:t>
      </w:r>
    </w:p>
    <w:p>
      <w:pPr>
        <w:spacing w:after="0" w:line="27" w:lineRule="exact"/>
        <w:rPr>
          <w:sz w:val="20"/>
          <w:szCs w:val="20"/>
          <w:color w:val="auto"/>
        </w:rPr>
      </w:pPr>
    </w:p>
    <w:p>
      <w:pPr>
        <w:spacing w:after="0" w:line="267" w:lineRule="auto"/>
        <w:rPr>
          <w:sz w:val="20"/>
          <w:szCs w:val="20"/>
          <w:color w:val="auto"/>
        </w:rPr>
      </w:pPr>
      <w:r>
        <w:rPr>
          <w:rFonts w:ascii="Arial" w:cs="Arial" w:eastAsia="Arial" w:hAnsi="Arial"/>
          <w:sz w:val="17"/>
          <w:szCs w:val="17"/>
          <w:color w:val="auto"/>
        </w:rPr>
        <w:t>This press release contains “forward-looking statements” as defined under U.S. federal securities laws, including statements about our 2018 outlook. Forward-looking statements may be identified by their use of terms such as anticipate, believe, confident, could, estimate, expect, intend, may, plan, predict, project, target, will and other similar terms. Such forward-looking statements are subject to risks and uncertainties that could cause actual results to materially differ from those described in the forward- looking statements. Readers are cautioned not to place undue reliance on the forward-looking statements contained herein, which speak only as of the date hereof. The Company undertakes no obligation to publicly update any forward-looking statement, whether as a result of new information, future developments or otherwise, except as may be required by law. Risks and uncertainties that could cause our actual results to materially differ from those described in the forward-looking statements are discussed in our filings with the Securities and Exchange Commission (including those described in the Risk Factors section in our Annual Reports on Form 10-K and our Quarterly Reports on Form 10-Q). This press release includes forward-looking non-GAAP guidance for 2018 Adjusted EBITDA. No reconciliation of this forward-looking non-GAAP guidance was included in this press release because, due to the high variability and difficulty in making accurate forecasts and projections of some of the excluded information and the fact that some of the excluded</w:t>
      </w:r>
    </w:p>
    <w:p>
      <w:pPr>
        <w:sectPr>
          <w:pgSz w:w="11900" w:h="16838" w:orient="portrait"/>
          <w:cols w:equalWidth="0" w:num="1">
            <w:col w:w="11420"/>
          </w:cols>
          <w:pgMar w:left="240" w:top="1017" w:right="239" w:bottom="1440" w:gutter="0" w:footer="0" w:header="0"/>
        </w:sectPr>
      </w:pPr>
    </w:p>
    <w:p>
      <w:pPr>
        <w:spacing w:after="0" w:line="200" w:lineRule="exact"/>
        <w:rPr>
          <w:sz w:val="20"/>
          <w:szCs w:val="20"/>
          <w:color w:val="auto"/>
        </w:rPr>
      </w:pPr>
    </w:p>
    <w:p>
      <w:pPr>
        <w:spacing w:after="0" w:line="338" w:lineRule="exact"/>
        <w:rPr>
          <w:sz w:val="20"/>
          <w:szCs w:val="20"/>
          <w:color w:val="auto"/>
        </w:rPr>
      </w:pPr>
    </w:p>
    <w:p>
      <w:pPr>
        <w:jc w:val="center"/>
        <w:spacing w:after="0"/>
        <w:rPr>
          <w:sz w:val="20"/>
          <w:szCs w:val="20"/>
          <w:color w:val="auto"/>
        </w:rPr>
      </w:pPr>
      <w:r>
        <w:rPr>
          <w:rFonts w:ascii="Arial" w:cs="Arial" w:eastAsia="Arial" w:hAnsi="Arial"/>
          <w:sz w:val="15"/>
          <w:szCs w:val="15"/>
          <w:color w:val="auto"/>
        </w:rPr>
        <w:t>Page 2 of 10</w:t>
      </w:r>
    </w:p>
    <w:p>
      <w:pPr>
        <w:sectPr>
          <w:pgSz w:w="11900" w:h="16838" w:orient="portrait"/>
          <w:cols w:equalWidth="0" w:num="1">
            <w:col w:w="11420"/>
          </w:cols>
          <w:pgMar w:left="240" w:top="1017" w:right="239" w:bottom="1440" w:gutter="0" w:footer="0" w:header="0"/>
          <w:type w:val="continuous"/>
        </w:sectPr>
      </w:pPr>
    </w:p>
    <w:bookmarkStart w:id="6" w:name="page7"/>
    <w:bookmarkEnd w:id="6"/>
    <w:p>
      <w:pPr>
        <w:spacing w:after="0" w:line="277" w:lineRule="auto"/>
        <w:rPr>
          <w:sz w:val="20"/>
          <w:szCs w:val="20"/>
          <w:color w:val="auto"/>
        </w:rPr>
      </w:pPr>
      <w:r>
        <w:rPr>
          <w:rFonts w:ascii="Arial" w:cs="Arial" w:eastAsia="Arial" w:hAnsi="Arial"/>
          <w:sz w:val="18"/>
          <w:szCs w:val="18"/>
          <w:color w:val="auto"/>
        </w:rPr>
        <w:t>information is not readily ascertainable or accessible, the Company is unable to quantify certain amounts that would be required to be included in the most directly comparable GAAP financial measure without unreasonable efforts.</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color w:val="auto"/>
        </w:rPr>
        <w:t>Contact</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Meara Murphy</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978-671-8508</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Director, Investor Relations and Corporate Communications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Lantheus Holdings, Inc.</w:t>
      </w:r>
    </w:p>
    <w:p>
      <w:pPr>
        <w:spacing w:after="0" w:line="211" w:lineRule="exact"/>
        <w:rPr>
          <w:sz w:val="20"/>
          <w:szCs w:val="20"/>
          <w:color w:val="auto"/>
        </w:rPr>
      </w:pPr>
    </w:p>
    <w:p>
      <w:pPr>
        <w:jc w:val="center"/>
        <w:ind w:right="-279"/>
        <w:spacing w:after="0"/>
        <w:rPr>
          <w:sz w:val="20"/>
          <w:szCs w:val="20"/>
          <w:color w:val="auto"/>
        </w:rPr>
      </w:pPr>
      <w:r>
        <w:rPr>
          <w:rFonts w:ascii="Arial" w:cs="Arial" w:eastAsia="Arial" w:hAnsi="Arial"/>
          <w:sz w:val="18"/>
          <w:szCs w:val="18"/>
          <w:color w:val="auto"/>
        </w:rPr>
        <w:t>- Tables Follow -</w:t>
      </w:r>
    </w:p>
    <w:p>
      <w:pPr>
        <w:spacing w:after="0" w:line="200" w:lineRule="exact"/>
        <w:rPr>
          <w:sz w:val="20"/>
          <w:szCs w:val="20"/>
          <w:color w:val="auto"/>
        </w:rPr>
      </w:pPr>
    </w:p>
    <w:p>
      <w:pPr>
        <w:spacing w:after="0" w:line="268" w:lineRule="exact"/>
        <w:rPr>
          <w:sz w:val="20"/>
          <w:szCs w:val="20"/>
          <w:color w:val="auto"/>
        </w:rPr>
      </w:pPr>
    </w:p>
    <w:p>
      <w:pPr>
        <w:jc w:val="center"/>
        <w:ind w:right="-279"/>
        <w:spacing w:after="0"/>
        <w:rPr>
          <w:sz w:val="20"/>
          <w:szCs w:val="20"/>
          <w:color w:val="auto"/>
        </w:rPr>
      </w:pPr>
      <w:r>
        <w:rPr>
          <w:rFonts w:ascii="Arial" w:cs="Arial" w:eastAsia="Arial" w:hAnsi="Arial"/>
          <w:sz w:val="18"/>
          <w:szCs w:val="18"/>
          <w:color w:val="auto"/>
        </w:rPr>
        <w:t>Page 3 of 10</w:t>
      </w:r>
    </w:p>
    <w:p>
      <w:pPr>
        <w:sectPr>
          <w:pgSz w:w="11900" w:h="16838" w:orient="portrait"/>
          <w:cols w:equalWidth="0" w:num="1">
            <w:col w:w="11140"/>
          </w:cols>
          <w:pgMar w:left="240" w:top="800" w:right="519" w:bottom="1440" w:gutter="0" w:footer="0" w:header="0"/>
        </w:sectPr>
      </w:pPr>
    </w:p>
    <w:bookmarkStart w:id="7" w:name="page8"/>
    <w:bookmarkEnd w:id="7"/>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ind w:left="20"/>
        <w:spacing w:after="0"/>
        <w:rPr>
          <w:sz w:val="20"/>
          <w:szCs w:val="20"/>
          <w:color w:val="auto"/>
        </w:rPr>
      </w:pPr>
      <w:r>
        <w:rPr>
          <w:rFonts w:ascii="Arial" w:cs="Arial" w:eastAsia="Arial" w:hAnsi="Arial"/>
          <w:sz w:val="18"/>
          <w:szCs w:val="18"/>
          <w:color w:val="auto"/>
        </w:rPr>
        <w:t>Revenues</w:t>
      </w:r>
    </w:p>
    <w:p>
      <w:pPr>
        <w:spacing w:after="0" w:line="77" w:lineRule="exact"/>
        <w:rPr>
          <w:sz w:val="20"/>
          <w:szCs w:val="20"/>
          <w:color w:val="auto"/>
        </w:rPr>
      </w:pPr>
    </w:p>
    <w:p>
      <w:pPr>
        <w:ind w:left="20"/>
        <w:spacing w:after="0"/>
        <w:rPr>
          <w:sz w:val="20"/>
          <w:szCs w:val="20"/>
          <w:color w:val="auto"/>
        </w:rPr>
      </w:pPr>
      <w:r>
        <w:rPr>
          <w:rFonts w:ascii="Arial" w:cs="Arial" w:eastAsia="Arial" w:hAnsi="Arial"/>
          <w:sz w:val="18"/>
          <w:szCs w:val="18"/>
          <w:color w:val="auto"/>
        </w:rPr>
        <w:t>Cost of goods sold</w:t>
      </w:r>
    </w:p>
    <w:p>
      <w:pPr>
        <w:spacing w:after="0" w:line="63" w:lineRule="exact"/>
        <w:rPr>
          <w:sz w:val="20"/>
          <w:szCs w:val="20"/>
          <w:color w:val="auto"/>
        </w:rPr>
      </w:pPr>
    </w:p>
    <w:p>
      <w:pPr>
        <w:ind w:left="260"/>
        <w:spacing w:after="0"/>
        <w:rPr>
          <w:sz w:val="20"/>
          <w:szCs w:val="20"/>
          <w:color w:val="auto"/>
        </w:rPr>
      </w:pPr>
      <w:r>
        <w:rPr>
          <w:rFonts w:ascii="Arial" w:cs="Arial" w:eastAsia="Arial" w:hAnsi="Arial"/>
          <w:sz w:val="18"/>
          <w:szCs w:val="18"/>
          <w:color w:val="auto"/>
        </w:rPr>
        <w:t>Gross profit</w:t>
      </w:r>
    </w:p>
    <w:p>
      <w:pPr>
        <w:spacing w:after="0" w:line="77" w:lineRule="exact"/>
        <w:rPr>
          <w:sz w:val="20"/>
          <w:szCs w:val="20"/>
          <w:color w:val="auto"/>
        </w:rPr>
      </w:pPr>
    </w:p>
    <w:p>
      <w:pPr>
        <w:ind w:left="20"/>
        <w:spacing w:after="0"/>
        <w:rPr>
          <w:sz w:val="20"/>
          <w:szCs w:val="20"/>
          <w:color w:val="auto"/>
        </w:rPr>
      </w:pPr>
      <w:r>
        <w:rPr>
          <w:rFonts w:ascii="Arial" w:cs="Arial" w:eastAsia="Arial" w:hAnsi="Arial"/>
          <w:sz w:val="18"/>
          <w:szCs w:val="18"/>
          <w:color w:val="auto"/>
        </w:rPr>
        <w:t>Operating expenses</w:t>
      </w:r>
    </w:p>
    <w:p>
      <w:pPr>
        <w:spacing w:after="0" w:line="77" w:lineRule="exact"/>
        <w:rPr>
          <w:sz w:val="20"/>
          <w:szCs w:val="20"/>
          <w:color w:val="auto"/>
        </w:rPr>
      </w:pPr>
    </w:p>
    <w:p>
      <w:pPr>
        <w:ind w:left="260"/>
        <w:spacing w:after="0"/>
        <w:rPr>
          <w:sz w:val="20"/>
          <w:szCs w:val="20"/>
          <w:color w:val="auto"/>
        </w:rPr>
      </w:pPr>
      <w:r>
        <w:rPr>
          <w:rFonts w:ascii="Arial" w:cs="Arial" w:eastAsia="Arial" w:hAnsi="Arial"/>
          <w:sz w:val="18"/>
          <w:szCs w:val="18"/>
          <w:color w:val="auto"/>
        </w:rPr>
        <w:t>Sales and marketing</w:t>
      </w:r>
    </w:p>
    <w:p>
      <w:pPr>
        <w:spacing w:after="0" w:line="63" w:lineRule="exact"/>
        <w:rPr>
          <w:sz w:val="20"/>
          <w:szCs w:val="20"/>
          <w:color w:val="auto"/>
        </w:rPr>
      </w:pPr>
    </w:p>
    <w:p>
      <w:pPr>
        <w:ind w:left="260"/>
        <w:spacing w:after="0"/>
        <w:rPr>
          <w:sz w:val="20"/>
          <w:szCs w:val="20"/>
          <w:color w:val="auto"/>
        </w:rPr>
      </w:pPr>
      <w:r>
        <w:rPr>
          <w:rFonts w:ascii="Arial" w:cs="Arial" w:eastAsia="Arial" w:hAnsi="Arial"/>
          <w:sz w:val="17"/>
          <w:szCs w:val="17"/>
          <w:color w:val="auto"/>
        </w:rPr>
        <w:t>General and administrative</w:t>
      </w:r>
    </w:p>
    <w:p>
      <w:pPr>
        <w:spacing w:after="0" w:line="75" w:lineRule="exact"/>
        <w:rPr>
          <w:sz w:val="20"/>
          <w:szCs w:val="20"/>
          <w:color w:val="auto"/>
        </w:rPr>
      </w:pPr>
    </w:p>
    <w:p>
      <w:pPr>
        <w:ind w:left="260"/>
        <w:spacing w:after="0"/>
        <w:rPr>
          <w:sz w:val="20"/>
          <w:szCs w:val="20"/>
          <w:color w:val="auto"/>
        </w:rPr>
      </w:pPr>
      <w:r>
        <w:rPr>
          <w:rFonts w:ascii="Arial" w:cs="Arial" w:eastAsia="Arial" w:hAnsi="Arial"/>
          <w:sz w:val="16"/>
          <w:szCs w:val="16"/>
          <w:color w:val="auto"/>
        </w:rPr>
        <w:t>Research and development</w:t>
      </w:r>
    </w:p>
    <w:p>
      <w:pPr>
        <w:spacing w:after="0" w:line="86" w:lineRule="exact"/>
        <w:rPr>
          <w:sz w:val="20"/>
          <w:szCs w:val="20"/>
          <w:color w:val="auto"/>
        </w:rPr>
      </w:pPr>
    </w:p>
    <w:p>
      <w:pPr>
        <w:ind w:left="700" w:right="360" w:hanging="215"/>
        <w:spacing w:after="0" w:line="385" w:lineRule="auto"/>
        <w:rPr>
          <w:sz w:val="20"/>
          <w:szCs w:val="20"/>
          <w:color w:val="auto"/>
        </w:rPr>
      </w:pPr>
      <w:r>
        <w:rPr>
          <w:rFonts w:ascii="Arial" w:cs="Arial" w:eastAsia="Arial" w:hAnsi="Arial"/>
          <w:sz w:val="15"/>
          <w:szCs w:val="15"/>
          <w:color w:val="auto"/>
        </w:rPr>
        <w:t>Total operating expenses Operating income</w:t>
      </w:r>
    </w:p>
    <w:p>
      <w:pPr>
        <w:ind w:left="20"/>
        <w:spacing w:after="0"/>
        <w:rPr>
          <w:sz w:val="20"/>
          <w:szCs w:val="20"/>
          <w:color w:val="auto"/>
        </w:rPr>
      </w:pPr>
      <w:r>
        <w:rPr>
          <w:rFonts w:ascii="Arial" w:cs="Arial" w:eastAsia="Arial" w:hAnsi="Arial"/>
          <w:sz w:val="18"/>
          <w:szCs w:val="18"/>
          <w:color w:val="auto"/>
        </w:rPr>
        <w:t>Interest expense</w:t>
      </w:r>
    </w:p>
    <w:p>
      <w:pPr>
        <w:spacing w:after="0" w:line="63" w:lineRule="exact"/>
        <w:rPr>
          <w:sz w:val="20"/>
          <w:szCs w:val="20"/>
          <w:color w:val="auto"/>
        </w:rPr>
      </w:pPr>
    </w:p>
    <w:p>
      <w:pPr>
        <w:ind w:left="20" w:right="320"/>
        <w:spacing w:after="0" w:line="305" w:lineRule="auto"/>
        <w:rPr>
          <w:sz w:val="20"/>
          <w:szCs w:val="20"/>
          <w:color w:val="auto"/>
        </w:rPr>
      </w:pPr>
      <w:r>
        <w:rPr>
          <w:rFonts w:ascii="Arial" w:cs="Arial" w:eastAsia="Arial" w:hAnsi="Arial"/>
          <w:sz w:val="18"/>
          <w:szCs w:val="18"/>
          <w:color w:val="auto"/>
        </w:rPr>
        <w:t>Loss on extinguishment of debt Other income</w:t>
      </w:r>
    </w:p>
    <w:p>
      <w:pPr>
        <w:spacing w:after="0" w:line="20" w:lineRule="exact"/>
        <w:rPr>
          <w:sz w:val="20"/>
          <w:szCs w:val="20"/>
          <w:color w:val="auto"/>
        </w:rPr>
      </w:pPr>
      <w:r>
        <w:rPr>
          <w:sz w:val="20"/>
          <w:szCs w:val="20"/>
          <w:color w:val="auto"/>
        </w:rPr>
        <w:br w:type="column"/>
      </w:r>
    </w:p>
    <w:p>
      <w:pPr>
        <w:ind w:left="840"/>
        <w:spacing w:after="0"/>
        <w:rPr>
          <w:sz w:val="20"/>
          <w:szCs w:val="20"/>
          <w:color w:val="auto"/>
        </w:rPr>
      </w:pPr>
      <w:r>
        <w:rPr>
          <w:rFonts w:ascii="Arial" w:cs="Arial" w:eastAsia="Arial" w:hAnsi="Arial"/>
          <w:sz w:val="18"/>
          <w:szCs w:val="18"/>
          <w:b w:val="1"/>
          <w:bCs w:val="1"/>
          <w:color w:val="auto"/>
        </w:rPr>
        <w:t>Lantheus Holdings, Inc.</w:t>
      </w:r>
    </w:p>
    <w:p>
      <w:pPr>
        <w:spacing w:after="0" w:line="117" w:lineRule="exact"/>
        <w:rPr>
          <w:sz w:val="20"/>
          <w:szCs w:val="20"/>
          <w:color w:val="auto"/>
        </w:rPr>
      </w:pPr>
    </w:p>
    <w:p>
      <w:pPr>
        <w:ind w:left="260"/>
        <w:spacing w:after="0"/>
        <w:rPr>
          <w:sz w:val="20"/>
          <w:szCs w:val="20"/>
          <w:color w:val="auto"/>
        </w:rPr>
      </w:pPr>
      <w:r>
        <w:rPr>
          <w:rFonts w:ascii="Arial" w:cs="Arial" w:eastAsia="Arial" w:hAnsi="Arial"/>
          <w:sz w:val="18"/>
          <w:szCs w:val="18"/>
          <w:b w:val="1"/>
          <w:bCs w:val="1"/>
          <w:color w:val="auto"/>
        </w:rPr>
        <w:t>Consolidated Statements of Operations</w:t>
      </w:r>
    </w:p>
    <w:p>
      <w:pPr>
        <w:spacing w:after="0" w:line="67" w:lineRule="exact"/>
        <w:rPr>
          <w:sz w:val="20"/>
          <w:szCs w:val="20"/>
          <w:color w:val="auto"/>
        </w:rPr>
      </w:pPr>
    </w:p>
    <w:p>
      <w:pPr>
        <w:spacing w:after="0"/>
        <w:rPr>
          <w:sz w:val="20"/>
          <w:szCs w:val="20"/>
          <w:color w:val="auto"/>
        </w:rPr>
      </w:pPr>
      <w:r>
        <w:rPr>
          <w:rFonts w:ascii="Arial" w:cs="Arial" w:eastAsia="Arial" w:hAnsi="Arial"/>
          <w:sz w:val="18"/>
          <w:szCs w:val="18"/>
          <w:color w:val="auto"/>
        </w:rPr>
        <w:t>(in thousands, except per share data – unaudited)</w:t>
      </w:r>
    </w:p>
    <w:p>
      <w:pPr>
        <w:spacing w:after="0" w:line="200" w:lineRule="exact"/>
        <w:rPr>
          <w:sz w:val="20"/>
          <w:szCs w:val="20"/>
          <w:color w:val="auto"/>
        </w:rPr>
      </w:pPr>
    </w:p>
    <w:p>
      <w:pPr>
        <w:spacing w:after="0" w:line="399" w:lineRule="exact"/>
        <w:rPr>
          <w:sz w:val="20"/>
          <w:szCs w:val="20"/>
          <w:color w:val="auto"/>
        </w:rPr>
      </w:pPr>
    </w:p>
    <w:tbl>
      <w:tblPr>
        <w:tblLayout w:type="fixed"/>
        <w:tblInd w:w="1620" w:type="dxa"/>
        <w:tblCellMar>
          <w:top w:w="0" w:type="dxa"/>
          <w:left w:w="0" w:type="dxa"/>
          <w:bottom w:w="0" w:type="dxa"/>
          <w:right w:w="0" w:type="dxa"/>
        </w:tblCellMar>
      </w:tblPr>
      <w:tr>
        <w:trPr>
          <w:trHeight w:val="216"/>
        </w:trPr>
        <w:tc>
          <w:tcPr>
            <w:tcW w:w="260" w:type="dxa"/>
            <w:vAlign w:val="bottom"/>
          </w:tcPr>
          <w:p>
            <w:pPr>
              <w:spacing w:after="0"/>
              <w:rPr>
                <w:sz w:val="18"/>
                <w:szCs w:val="18"/>
                <w:color w:val="auto"/>
              </w:rPr>
            </w:pPr>
          </w:p>
        </w:tc>
        <w:tc>
          <w:tcPr>
            <w:tcW w:w="2400" w:type="dxa"/>
            <w:vAlign w:val="bottom"/>
            <w:gridSpan w:val="5"/>
          </w:tcPr>
          <w:p>
            <w:pPr>
              <w:jc w:val="center"/>
              <w:ind w:right="400"/>
              <w:spacing w:after="0"/>
              <w:rPr>
                <w:sz w:val="20"/>
                <w:szCs w:val="20"/>
                <w:color w:val="auto"/>
              </w:rPr>
            </w:pPr>
            <w:r>
              <w:rPr>
                <w:rFonts w:ascii="Arial" w:cs="Arial" w:eastAsia="Arial" w:hAnsi="Arial"/>
                <w:sz w:val="18"/>
                <w:szCs w:val="18"/>
                <w:b w:val="1"/>
                <w:bCs w:val="1"/>
                <w:color w:val="auto"/>
                <w:w w:val="92"/>
              </w:rPr>
              <w:t>Three Months Ended</w:t>
            </w:r>
          </w:p>
        </w:tc>
        <w:tc>
          <w:tcPr>
            <w:tcW w:w="280" w:type="dxa"/>
            <w:vAlign w:val="bottom"/>
          </w:tcPr>
          <w:p>
            <w:pPr>
              <w:spacing w:after="0"/>
              <w:rPr>
                <w:sz w:val="18"/>
                <w:szCs w:val="18"/>
                <w:color w:val="auto"/>
              </w:rPr>
            </w:pPr>
          </w:p>
        </w:tc>
        <w:tc>
          <w:tcPr>
            <w:tcW w:w="2300" w:type="dxa"/>
            <w:vAlign w:val="bottom"/>
            <w:gridSpan w:val="4"/>
          </w:tcPr>
          <w:p>
            <w:pPr>
              <w:jc w:val="center"/>
              <w:ind w:right="190"/>
              <w:spacing w:after="0"/>
              <w:rPr>
                <w:sz w:val="20"/>
                <w:szCs w:val="20"/>
                <w:color w:val="auto"/>
              </w:rPr>
            </w:pPr>
            <w:r>
              <w:rPr>
                <w:rFonts w:ascii="Arial" w:cs="Arial" w:eastAsia="Arial" w:hAnsi="Arial"/>
                <w:sz w:val="18"/>
                <w:szCs w:val="18"/>
                <w:b w:val="1"/>
                <w:bCs w:val="1"/>
                <w:color w:val="auto"/>
                <w:w w:val="90"/>
              </w:rPr>
              <w:t>Six Months Ended</w:t>
            </w:r>
          </w:p>
        </w:tc>
      </w:tr>
      <w:tr>
        <w:trPr>
          <w:trHeight w:val="234"/>
        </w:trPr>
        <w:tc>
          <w:tcPr>
            <w:tcW w:w="260" w:type="dxa"/>
            <w:vAlign w:val="bottom"/>
          </w:tcPr>
          <w:p>
            <w:pPr>
              <w:spacing w:after="0"/>
              <w:rPr>
                <w:sz w:val="20"/>
                <w:szCs w:val="20"/>
                <w:color w:val="auto"/>
              </w:rPr>
            </w:pPr>
          </w:p>
        </w:tc>
        <w:tc>
          <w:tcPr>
            <w:tcW w:w="1420" w:type="dxa"/>
            <w:vAlign w:val="bottom"/>
            <w:gridSpan w:val="3"/>
          </w:tcPr>
          <w:p>
            <w:pPr>
              <w:jc w:val="center"/>
              <w:ind w:left="530"/>
              <w:spacing w:after="0"/>
              <w:rPr>
                <w:sz w:val="20"/>
                <w:szCs w:val="20"/>
                <w:color w:val="auto"/>
              </w:rPr>
            </w:pPr>
            <w:r>
              <w:rPr>
                <w:rFonts w:ascii="Arial" w:cs="Arial" w:eastAsia="Arial" w:hAnsi="Arial"/>
                <w:sz w:val="18"/>
                <w:szCs w:val="18"/>
                <w:b w:val="1"/>
                <w:bCs w:val="1"/>
                <w:color w:val="auto"/>
                <w:w w:val="88"/>
              </w:rPr>
              <w:t>June 30,</w:t>
            </w:r>
          </w:p>
        </w:tc>
        <w:tc>
          <w:tcPr>
            <w:tcW w:w="8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420" w:type="dxa"/>
            <w:vAlign w:val="bottom"/>
            <w:gridSpan w:val="3"/>
          </w:tcPr>
          <w:p>
            <w:pPr>
              <w:jc w:val="center"/>
              <w:ind w:left="530"/>
              <w:spacing w:after="0"/>
              <w:rPr>
                <w:sz w:val="20"/>
                <w:szCs w:val="20"/>
                <w:color w:val="auto"/>
              </w:rPr>
            </w:pPr>
            <w:r>
              <w:rPr>
                <w:rFonts w:ascii="Arial" w:cs="Arial" w:eastAsia="Arial" w:hAnsi="Arial"/>
                <w:sz w:val="18"/>
                <w:szCs w:val="18"/>
                <w:b w:val="1"/>
                <w:bCs w:val="1"/>
                <w:color w:val="auto"/>
                <w:w w:val="88"/>
              </w:rPr>
              <w:t>June 30,</w:t>
            </w:r>
          </w:p>
        </w:tc>
        <w:tc>
          <w:tcPr>
            <w:tcW w:w="880" w:type="dxa"/>
            <w:vAlign w:val="bottom"/>
          </w:tcPr>
          <w:p>
            <w:pPr>
              <w:spacing w:after="0"/>
              <w:rPr>
                <w:sz w:val="20"/>
                <w:szCs w:val="20"/>
                <w:color w:val="auto"/>
              </w:rPr>
            </w:pPr>
          </w:p>
        </w:tc>
      </w:tr>
      <w:tr>
        <w:trPr>
          <w:trHeight w:val="27"/>
        </w:trPr>
        <w:tc>
          <w:tcPr>
            <w:tcW w:w="26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r>
      <w:tr>
        <w:trPr>
          <w:trHeight w:val="237"/>
        </w:trPr>
        <w:tc>
          <w:tcPr>
            <w:tcW w:w="260" w:type="dxa"/>
            <w:vAlign w:val="bottom"/>
          </w:tcPr>
          <w:p>
            <w:pPr>
              <w:spacing w:after="0"/>
              <w:rPr>
                <w:sz w:val="20"/>
                <w:szCs w:val="20"/>
                <w:color w:val="auto"/>
              </w:rPr>
            </w:pPr>
          </w:p>
        </w:tc>
        <w:tc>
          <w:tcPr>
            <w:tcW w:w="960" w:type="dxa"/>
            <w:vAlign w:val="bottom"/>
          </w:tcPr>
          <w:p>
            <w:pPr>
              <w:jc w:val="right"/>
              <w:ind w:right="350"/>
              <w:spacing w:after="0"/>
              <w:rPr>
                <w:sz w:val="20"/>
                <w:szCs w:val="20"/>
                <w:color w:val="auto"/>
              </w:rPr>
            </w:pPr>
            <w:r>
              <w:rPr>
                <w:rFonts w:ascii="Arial" w:cs="Arial" w:eastAsia="Arial" w:hAnsi="Arial"/>
                <w:sz w:val="18"/>
                <w:szCs w:val="18"/>
                <w:b w:val="1"/>
                <w:bCs w:val="1"/>
                <w:color w:val="auto"/>
              </w:rPr>
              <w:t>2018</w:t>
            </w: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880" w:type="dxa"/>
            <w:vAlign w:val="bottom"/>
          </w:tcPr>
          <w:p>
            <w:pPr>
              <w:jc w:val="right"/>
              <w:ind w:right="350"/>
              <w:spacing w:after="0"/>
              <w:rPr>
                <w:sz w:val="20"/>
                <w:szCs w:val="20"/>
                <w:color w:val="auto"/>
              </w:rPr>
            </w:pPr>
            <w:r>
              <w:rPr>
                <w:rFonts w:ascii="Arial" w:cs="Arial" w:eastAsia="Arial" w:hAnsi="Arial"/>
                <w:sz w:val="18"/>
                <w:szCs w:val="18"/>
                <w:b w:val="1"/>
                <w:bCs w:val="1"/>
                <w:color w:val="auto"/>
              </w:rPr>
              <w:t>2017</w:t>
            </w: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60" w:type="dxa"/>
            <w:vAlign w:val="bottom"/>
          </w:tcPr>
          <w:p>
            <w:pPr>
              <w:jc w:val="right"/>
              <w:ind w:right="350"/>
              <w:spacing w:after="0"/>
              <w:rPr>
                <w:sz w:val="20"/>
                <w:szCs w:val="20"/>
                <w:color w:val="auto"/>
              </w:rPr>
            </w:pPr>
            <w:r>
              <w:rPr>
                <w:rFonts w:ascii="Arial" w:cs="Arial" w:eastAsia="Arial" w:hAnsi="Arial"/>
                <w:sz w:val="18"/>
                <w:szCs w:val="18"/>
                <w:b w:val="1"/>
                <w:bCs w:val="1"/>
                <w:color w:val="auto"/>
              </w:rPr>
              <w:t>2018</w:t>
            </w: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880" w:type="dxa"/>
            <w:vAlign w:val="bottom"/>
          </w:tcPr>
          <w:p>
            <w:pPr>
              <w:jc w:val="right"/>
              <w:ind w:right="350"/>
              <w:spacing w:after="0"/>
              <w:rPr>
                <w:sz w:val="20"/>
                <w:szCs w:val="20"/>
                <w:color w:val="auto"/>
              </w:rPr>
            </w:pPr>
            <w:r>
              <w:rPr>
                <w:rFonts w:ascii="Arial" w:cs="Arial" w:eastAsia="Arial" w:hAnsi="Arial"/>
                <w:sz w:val="18"/>
                <w:szCs w:val="18"/>
                <w:b w:val="1"/>
                <w:bCs w:val="1"/>
                <w:color w:val="auto"/>
              </w:rPr>
              <w:t>2017</w:t>
            </w:r>
          </w:p>
        </w:tc>
      </w:tr>
      <w:tr>
        <w:trPr>
          <w:trHeight w:val="27"/>
        </w:trPr>
        <w:tc>
          <w:tcPr>
            <w:tcW w:w="26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r>
      <w:tr>
        <w:trPr>
          <w:trHeight w:val="237"/>
        </w:trPr>
        <w:tc>
          <w:tcPr>
            <w:tcW w:w="260" w:type="dxa"/>
            <w:vAlign w:val="bottom"/>
          </w:tcPr>
          <w:p>
            <w:pPr>
              <w:jc w:val="right"/>
              <w:ind w:right="70"/>
              <w:spacing w:after="0"/>
              <w:rPr>
                <w:sz w:val="20"/>
                <w:szCs w:val="20"/>
                <w:color w:val="auto"/>
              </w:rPr>
            </w:pPr>
            <w:r>
              <w:rPr>
                <w:rFonts w:ascii="Arial" w:cs="Arial" w:eastAsia="Arial" w:hAnsi="Arial"/>
                <w:sz w:val="18"/>
                <w:szCs w:val="18"/>
                <w:color w:val="auto"/>
                <w:w w:val="79"/>
              </w:rPr>
              <w:t>$</w:t>
            </w:r>
          </w:p>
        </w:tc>
        <w:tc>
          <w:tcPr>
            <w:tcW w:w="960" w:type="dxa"/>
            <w:vAlign w:val="bottom"/>
          </w:tcPr>
          <w:p>
            <w:pPr>
              <w:jc w:val="right"/>
              <w:ind w:right="10"/>
              <w:spacing w:after="0"/>
              <w:rPr>
                <w:sz w:val="20"/>
                <w:szCs w:val="20"/>
                <w:color w:val="auto"/>
              </w:rPr>
            </w:pPr>
            <w:r>
              <w:rPr>
                <w:rFonts w:ascii="Arial" w:cs="Arial" w:eastAsia="Arial" w:hAnsi="Arial"/>
                <w:sz w:val="18"/>
                <w:szCs w:val="18"/>
                <w:color w:val="auto"/>
              </w:rPr>
              <w:t>85,573</w:t>
            </w:r>
          </w:p>
        </w:tc>
        <w:tc>
          <w:tcPr>
            <w:tcW w:w="100" w:type="dxa"/>
            <w:vAlign w:val="bottom"/>
          </w:tcPr>
          <w:p>
            <w:pPr>
              <w:spacing w:after="0"/>
              <w:rPr>
                <w:sz w:val="20"/>
                <w:szCs w:val="20"/>
                <w:color w:val="auto"/>
              </w:rPr>
            </w:pP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880" w:type="dxa"/>
            <w:vAlign w:val="bottom"/>
          </w:tcPr>
          <w:p>
            <w:pPr>
              <w:jc w:val="right"/>
              <w:ind w:right="10"/>
              <w:spacing w:after="0"/>
              <w:rPr>
                <w:sz w:val="20"/>
                <w:szCs w:val="20"/>
                <w:color w:val="auto"/>
              </w:rPr>
            </w:pPr>
            <w:r>
              <w:rPr>
                <w:rFonts w:ascii="Arial" w:cs="Arial" w:eastAsia="Arial" w:hAnsi="Arial"/>
                <w:sz w:val="18"/>
                <w:szCs w:val="18"/>
                <w:color w:val="auto"/>
              </w:rPr>
              <w:t>88,837</w:t>
            </w:r>
          </w:p>
        </w:tc>
        <w:tc>
          <w:tcPr>
            <w:tcW w:w="100" w:type="dxa"/>
            <w:vAlign w:val="bottom"/>
          </w:tcPr>
          <w:p>
            <w:pPr>
              <w:spacing w:after="0"/>
              <w:rPr>
                <w:sz w:val="20"/>
                <w:szCs w:val="20"/>
                <w:color w:val="auto"/>
              </w:rPr>
            </w:pP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960" w:type="dxa"/>
            <w:vAlign w:val="bottom"/>
          </w:tcPr>
          <w:p>
            <w:pPr>
              <w:jc w:val="right"/>
              <w:ind w:right="10"/>
              <w:spacing w:after="0"/>
              <w:rPr>
                <w:sz w:val="20"/>
                <w:szCs w:val="20"/>
                <w:color w:val="auto"/>
              </w:rPr>
            </w:pPr>
            <w:r>
              <w:rPr>
                <w:rFonts w:ascii="Arial" w:cs="Arial" w:eastAsia="Arial" w:hAnsi="Arial"/>
                <w:sz w:val="18"/>
                <w:szCs w:val="18"/>
                <w:color w:val="auto"/>
              </w:rPr>
              <w:t>168,203</w:t>
            </w:r>
          </w:p>
        </w:tc>
        <w:tc>
          <w:tcPr>
            <w:tcW w:w="100" w:type="dxa"/>
            <w:vAlign w:val="bottom"/>
          </w:tcPr>
          <w:p>
            <w:pPr>
              <w:spacing w:after="0"/>
              <w:rPr>
                <w:sz w:val="20"/>
                <w:szCs w:val="20"/>
                <w:color w:val="auto"/>
              </w:rPr>
            </w:pP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880" w:type="dxa"/>
            <w:vAlign w:val="bottom"/>
          </w:tcPr>
          <w:p>
            <w:pPr>
              <w:jc w:val="right"/>
              <w:ind w:right="10"/>
              <w:spacing w:after="0"/>
              <w:rPr>
                <w:sz w:val="20"/>
                <w:szCs w:val="20"/>
                <w:color w:val="auto"/>
              </w:rPr>
            </w:pPr>
            <w:r>
              <w:rPr>
                <w:rFonts w:ascii="Arial" w:cs="Arial" w:eastAsia="Arial" w:hAnsi="Arial"/>
                <w:sz w:val="18"/>
                <w:szCs w:val="18"/>
                <w:color w:val="auto"/>
              </w:rPr>
              <w:t>170,196</w:t>
            </w:r>
          </w:p>
        </w:tc>
      </w:tr>
      <w:tr>
        <w:trPr>
          <w:trHeight w:val="270"/>
        </w:trPr>
        <w:tc>
          <w:tcPr>
            <w:tcW w:w="260" w:type="dxa"/>
            <w:vAlign w:val="bottom"/>
          </w:tcPr>
          <w:p>
            <w:pPr>
              <w:spacing w:after="0"/>
              <w:rPr>
                <w:sz w:val="23"/>
                <w:szCs w:val="23"/>
                <w:color w:val="auto"/>
              </w:rPr>
            </w:pPr>
          </w:p>
        </w:tc>
        <w:tc>
          <w:tcPr>
            <w:tcW w:w="960" w:type="dxa"/>
            <w:vAlign w:val="bottom"/>
          </w:tcPr>
          <w:p>
            <w:pPr>
              <w:jc w:val="right"/>
              <w:ind w:right="10"/>
              <w:spacing w:after="0"/>
              <w:rPr>
                <w:sz w:val="20"/>
                <w:szCs w:val="20"/>
                <w:color w:val="auto"/>
              </w:rPr>
            </w:pPr>
            <w:r>
              <w:rPr>
                <w:rFonts w:ascii="Arial" w:cs="Arial" w:eastAsia="Arial" w:hAnsi="Arial"/>
                <w:sz w:val="18"/>
                <w:szCs w:val="18"/>
                <w:color w:val="auto"/>
              </w:rPr>
              <w:t>41,727</w:t>
            </w:r>
          </w:p>
        </w:tc>
        <w:tc>
          <w:tcPr>
            <w:tcW w:w="10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880" w:type="dxa"/>
            <w:vAlign w:val="bottom"/>
          </w:tcPr>
          <w:p>
            <w:pPr>
              <w:jc w:val="right"/>
              <w:ind w:right="10"/>
              <w:spacing w:after="0"/>
              <w:rPr>
                <w:sz w:val="20"/>
                <w:szCs w:val="20"/>
                <w:color w:val="auto"/>
              </w:rPr>
            </w:pPr>
            <w:r>
              <w:rPr>
                <w:rFonts w:ascii="Arial" w:cs="Arial" w:eastAsia="Arial" w:hAnsi="Arial"/>
                <w:sz w:val="18"/>
                <w:szCs w:val="18"/>
                <w:color w:val="auto"/>
              </w:rPr>
              <w:t>42,890</w:t>
            </w:r>
          </w:p>
        </w:tc>
        <w:tc>
          <w:tcPr>
            <w:tcW w:w="10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960" w:type="dxa"/>
            <w:vAlign w:val="bottom"/>
          </w:tcPr>
          <w:p>
            <w:pPr>
              <w:jc w:val="right"/>
              <w:ind w:right="10"/>
              <w:spacing w:after="0"/>
              <w:rPr>
                <w:sz w:val="20"/>
                <w:szCs w:val="20"/>
                <w:color w:val="auto"/>
              </w:rPr>
            </w:pPr>
            <w:r>
              <w:rPr>
                <w:rFonts w:ascii="Arial" w:cs="Arial" w:eastAsia="Arial" w:hAnsi="Arial"/>
                <w:sz w:val="18"/>
                <w:szCs w:val="18"/>
                <w:color w:val="auto"/>
              </w:rPr>
              <w:t>82,048</w:t>
            </w:r>
          </w:p>
        </w:tc>
        <w:tc>
          <w:tcPr>
            <w:tcW w:w="10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880" w:type="dxa"/>
            <w:vAlign w:val="bottom"/>
          </w:tcPr>
          <w:p>
            <w:pPr>
              <w:jc w:val="right"/>
              <w:ind w:right="10"/>
              <w:spacing w:after="0"/>
              <w:rPr>
                <w:sz w:val="20"/>
                <w:szCs w:val="20"/>
                <w:color w:val="auto"/>
              </w:rPr>
            </w:pPr>
            <w:r>
              <w:rPr>
                <w:rFonts w:ascii="Arial" w:cs="Arial" w:eastAsia="Arial" w:hAnsi="Arial"/>
                <w:sz w:val="18"/>
                <w:szCs w:val="18"/>
                <w:color w:val="auto"/>
              </w:rPr>
              <w:t>84,487</w:t>
            </w:r>
          </w:p>
        </w:tc>
      </w:tr>
      <w:tr>
        <w:trPr>
          <w:trHeight w:val="27"/>
        </w:trPr>
        <w:tc>
          <w:tcPr>
            <w:tcW w:w="26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r>
      <w:tr>
        <w:trPr>
          <w:trHeight w:val="237"/>
        </w:trPr>
        <w:tc>
          <w:tcPr>
            <w:tcW w:w="260" w:type="dxa"/>
            <w:vAlign w:val="bottom"/>
          </w:tcPr>
          <w:p>
            <w:pPr>
              <w:spacing w:after="0"/>
              <w:rPr>
                <w:sz w:val="20"/>
                <w:szCs w:val="20"/>
                <w:color w:val="auto"/>
              </w:rPr>
            </w:pPr>
          </w:p>
        </w:tc>
        <w:tc>
          <w:tcPr>
            <w:tcW w:w="960" w:type="dxa"/>
            <w:vAlign w:val="bottom"/>
          </w:tcPr>
          <w:p>
            <w:pPr>
              <w:jc w:val="right"/>
              <w:ind w:right="10"/>
              <w:spacing w:after="0"/>
              <w:rPr>
                <w:sz w:val="20"/>
                <w:szCs w:val="20"/>
                <w:color w:val="auto"/>
              </w:rPr>
            </w:pPr>
            <w:r>
              <w:rPr>
                <w:rFonts w:ascii="Arial" w:cs="Arial" w:eastAsia="Arial" w:hAnsi="Arial"/>
                <w:sz w:val="18"/>
                <w:szCs w:val="18"/>
                <w:color w:val="auto"/>
              </w:rPr>
              <w:t>43,846</w:t>
            </w: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880" w:type="dxa"/>
            <w:vAlign w:val="bottom"/>
          </w:tcPr>
          <w:p>
            <w:pPr>
              <w:jc w:val="right"/>
              <w:ind w:right="10"/>
              <w:spacing w:after="0"/>
              <w:rPr>
                <w:sz w:val="20"/>
                <w:szCs w:val="20"/>
                <w:color w:val="auto"/>
              </w:rPr>
            </w:pPr>
            <w:r>
              <w:rPr>
                <w:rFonts w:ascii="Arial" w:cs="Arial" w:eastAsia="Arial" w:hAnsi="Arial"/>
                <w:sz w:val="18"/>
                <w:szCs w:val="18"/>
                <w:color w:val="auto"/>
              </w:rPr>
              <w:t>45,947</w:t>
            </w: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60" w:type="dxa"/>
            <w:vAlign w:val="bottom"/>
          </w:tcPr>
          <w:p>
            <w:pPr>
              <w:jc w:val="right"/>
              <w:ind w:right="10"/>
              <w:spacing w:after="0"/>
              <w:rPr>
                <w:sz w:val="20"/>
                <w:szCs w:val="20"/>
                <w:color w:val="auto"/>
              </w:rPr>
            </w:pPr>
            <w:r>
              <w:rPr>
                <w:rFonts w:ascii="Arial" w:cs="Arial" w:eastAsia="Arial" w:hAnsi="Arial"/>
                <w:sz w:val="18"/>
                <w:szCs w:val="18"/>
                <w:color w:val="auto"/>
              </w:rPr>
              <w:t>86,155</w:t>
            </w: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880" w:type="dxa"/>
            <w:vAlign w:val="bottom"/>
          </w:tcPr>
          <w:p>
            <w:pPr>
              <w:jc w:val="right"/>
              <w:ind w:right="10"/>
              <w:spacing w:after="0"/>
              <w:rPr>
                <w:sz w:val="20"/>
                <w:szCs w:val="20"/>
                <w:color w:val="auto"/>
              </w:rPr>
            </w:pPr>
            <w:r>
              <w:rPr>
                <w:rFonts w:ascii="Arial" w:cs="Arial" w:eastAsia="Arial" w:hAnsi="Arial"/>
                <w:sz w:val="18"/>
                <w:szCs w:val="18"/>
                <w:color w:val="auto"/>
              </w:rPr>
              <w:t>85,709</w:t>
            </w:r>
          </w:p>
        </w:tc>
      </w:tr>
      <w:tr>
        <w:trPr>
          <w:trHeight w:val="27"/>
        </w:trPr>
        <w:tc>
          <w:tcPr>
            <w:tcW w:w="26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r>
      <w:tr>
        <w:trPr>
          <w:trHeight w:val="507"/>
        </w:trPr>
        <w:tc>
          <w:tcPr>
            <w:tcW w:w="260" w:type="dxa"/>
            <w:vAlign w:val="bottom"/>
          </w:tcPr>
          <w:p>
            <w:pPr>
              <w:spacing w:after="0"/>
              <w:rPr>
                <w:sz w:val="24"/>
                <w:szCs w:val="24"/>
                <w:color w:val="auto"/>
              </w:rPr>
            </w:pPr>
          </w:p>
        </w:tc>
        <w:tc>
          <w:tcPr>
            <w:tcW w:w="960" w:type="dxa"/>
            <w:vAlign w:val="bottom"/>
          </w:tcPr>
          <w:p>
            <w:pPr>
              <w:jc w:val="right"/>
              <w:ind w:right="10"/>
              <w:spacing w:after="0"/>
              <w:rPr>
                <w:sz w:val="20"/>
                <w:szCs w:val="20"/>
                <w:color w:val="auto"/>
              </w:rPr>
            </w:pPr>
            <w:r>
              <w:rPr>
                <w:rFonts w:ascii="Arial" w:cs="Arial" w:eastAsia="Arial" w:hAnsi="Arial"/>
                <w:sz w:val="18"/>
                <w:szCs w:val="18"/>
                <w:color w:val="auto"/>
              </w:rPr>
              <w:t>12,130</w:t>
            </w: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880" w:type="dxa"/>
            <w:vAlign w:val="bottom"/>
          </w:tcPr>
          <w:p>
            <w:pPr>
              <w:jc w:val="right"/>
              <w:ind w:right="10"/>
              <w:spacing w:after="0"/>
              <w:rPr>
                <w:sz w:val="20"/>
                <w:szCs w:val="20"/>
                <w:color w:val="auto"/>
              </w:rPr>
            </w:pPr>
            <w:r>
              <w:rPr>
                <w:rFonts w:ascii="Arial" w:cs="Arial" w:eastAsia="Arial" w:hAnsi="Arial"/>
                <w:sz w:val="18"/>
                <w:szCs w:val="18"/>
                <w:color w:val="auto"/>
              </w:rPr>
              <w:t>11,603</w:t>
            </w:r>
          </w:p>
        </w:tc>
        <w:tc>
          <w:tcPr>
            <w:tcW w:w="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960" w:type="dxa"/>
            <w:vAlign w:val="bottom"/>
          </w:tcPr>
          <w:p>
            <w:pPr>
              <w:jc w:val="right"/>
              <w:ind w:right="10"/>
              <w:spacing w:after="0"/>
              <w:rPr>
                <w:sz w:val="20"/>
                <w:szCs w:val="20"/>
                <w:color w:val="auto"/>
              </w:rPr>
            </w:pPr>
            <w:r>
              <w:rPr>
                <w:rFonts w:ascii="Arial" w:cs="Arial" w:eastAsia="Arial" w:hAnsi="Arial"/>
                <w:sz w:val="18"/>
                <w:szCs w:val="18"/>
                <w:color w:val="auto"/>
              </w:rPr>
              <w:t>22,770</w:t>
            </w: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880" w:type="dxa"/>
            <w:vAlign w:val="bottom"/>
          </w:tcPr>
          <w:p>
            <w:pPr>
              <w:jc w:val="right"/>
              <w:ind w:right="10"/>
              <w:spacing w:after="0"/>
              <w:rPr>
                <w:sz w:val="20"/>
                <w:szCs w:val="20"/>
                <w:color w:val="auto"/>
              </w:rPr>
            </w:pPr>
            <w:r>
              <w:rPr>
                <w:rFonts w:ascii="Arial" w:cs="Arial" w:eastAsia="Arial" w:hAnsi="Arial"/>
                <w:sz w:val="18"/>
                <w:szCs w:val="18"/>
                <w:color w:val="auto"/>
              </w:rPr>
              <w:t>21,817</w:t>
            </w:r>
          </w:p>
        </w:tc>
      </w:tr>
      <w:tr>
        <w:trPr>
          <w:trHeight w:val="270"/>
        </w:trPr>
        <w:tc>
          <w:tcPr>
            <w:tcW w:w="260" w:type="dxa"/>
            <w:vAlign w:val="bottom"/>
          </w:tcPr>
          <w:p>
            <w:pPr>
              <w:spacing w:after="0"/>
              <w:rPr>
                <w:sz w:val="23"/>
                <w:szCs w:val="23"/>
                <w:color w:val="auto"/>
              </w:rPr>
            </w:pPr>
          </w:p>
        </w:tc>
        <w:tc>
          <w:tcPr>
            <w:tcW w:w="960" w:type="dxa"/>
            <w:vAlign w:val="bottom"/>
          </w:tcPr>
          <w:p>
            <w:pPr>
              <w:jc w:val="right"/>
              <w:ind w:right="10"/>
              <w:spacing w:after="0"/>
              <w:rPr>
                <w:sz w:val="20"/>
                <w:szCs w:val="20"/>
                <w:color w:val="auto"/>
              </w:rPr>
            </w:pPr>
            <w:r>
              <w:rPr>
                <w:rFonts w:ascii="Arial" w:cs="Arial" w:eastAsia="Arial" w:hAnsi="Arial"/>
                <w:sz w:val="18"/>
                <w:szCs w:val="18"/>
                <w:color w:val="auto"/>
              </w:rPr>
              <w:t>11,575</w:t>
            </w:r>
          </w:p>
        </w:tc>
        <w:tc>
          <w:tcPr>
            <w:tcW w:w="10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880" w:type="dxa"/>
            <w:vAlign w:val="bottom"/>
          </w:tcPr>
          <w:p>
            <w:pPr>
              <w:jc w:val="right"/>
              <w:ind w:right="10"/>
              <w:spacing w:after="0"/>
              <w:rPr>
                <w:sz w:val="20"/>
                <w:szCs w:val="20"/>
                <w:color w:val="auto"/>
              </w:rPr>
            </w:pPr>
            <w:r>
              <w:rPr>
                <w:rFonts w:ascii="Arial" w:cs="Arial" w:eastAsia="Arial" w:hAnsi="Arial"/>
                <w:sz w:val="18"/>
                <w:szCs w:val="18"/>
                <w:color w:val="auto"/>
              </w:rPr>
              <w:t>11,203</w:t>
            </w:r>
          </w:p>
        </w:tc>
        <w:tc>
          <w:tcPr>
            <w:tcW w:w="10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960" w:type="dxa"/>
            <w:vAlign w:val="bottom"/>
          </w:tcPr>
          <w:p>
            <w:pPr>
              <w:jc w:val="right"/>
              <w:ind w:right="10"/>
              <w:spacing w:after="0"/>
              <w:rPr>
                <w:sz w:val="20"/>
                <w:szCs w:val="20"/>
                <w:color w:val="auto"/>
              </w:rPr>
            </w:pPr>
            <w:r>
              <w:rPr>
                <w:rFonts w:ascii="Arial" w:cs="Arial" w:eastAsia="Arial" w:hAnsi="Arial"/>
                <w:sz w:val="18"/>
                <w:szCs w:val="18"/>
                <w:color w:val="auto"/>
              </w:rPr>
              <w:t>24,118</w:t>
            </w:r>
          </w:p>
        </w:tc>
        <w:tc>
          <w:tcPr>
            <w:tcW w:w="10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880" w:type="dxa"/>
            <w:vAlign w:val="bottom"/>
          </w:tcPr>
          <w:p>
            <w:pPr>
              <w:jc w:val="right"/>
              <w:ind w:right="10"/>
              <w:spacing w:after="0"/>
              <w:rPr>
                <w:sz w:val="20"/>
                <w:szCs w:val="20"/>
                <w:color w:val="auto"/>
              </w:rPr>
            </w:pPr>
            <w:r>
              <w:rPr>
                <w:rFonts w:ascii="Arial" w:cs="Arial" w:eastAsia="Arial" w:hAnsi="Arial"/>
                <w:sz w:val="18"/>
                <w:szCs w:val="18"/>
                <w:color w:val="auto"/>
              </w:rPr>
              <w:t>23,473</w:t>
            </w:r>
          </w:p>
        </w:tc>
      </w:tr>
      <w:tr>
        <w:trPr>
          <w:trHeight w:val="270"/>
        </w:trPr>
        <w:tc>
          <w:tcPr>
            <w:tcW w:w="260" w:type="dxa"/>
            <w:vAlign w:val="bottom"/>
          </w:tcPr>
          <w:p>
            <w:pPr>
              <w:spacing w:after="0"/>
              <w:rPr>
                <w:sz w:val="23"/>
                <w:szCs w:val="23"/>
                <w:color w:val="auto"/>
              </w:rPr>
            </w:pPr>
          </w:p>
        </w:tc>
        <w:tc>
          <w:tcPr>
            <w:tcW w:w="960" w:type="dxa"/>
            <w:vAlign w:val="bottom"/>
          </w:tcPr>
          <w:p>
            <w:pPr>
              <w:jc w:val="right"/>
              <w:ind w:right="10"/>
              <w:spacing w:after="0"/>
              <w:rPr>
                <w:sz w:val="20"/>
                <w:szCs w:val="20"/>
                <w:color w:val="auto"/>
              </w:rPr>
            </w:pPr>
            <w:r>
              <w:rPr>
                <w:rFonts w:ascii="Arial" w:cs="Arial" w:eastAsia="Arial" w:hAnsi="Arial"/>
                <w:sz w:val="18"/>
                <w:szCs w:val="18"/>
                <w:color w:val="auto"/>
              </w:rPr>
              <w:t>4,215</w:t>
            </w:r>
          </w:p>
        </w:tc>
        <w:tc>
          <w:tcPr>
            <w:tcW w:w="10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880" w:type="dxa"/>
            <w:vAlign w:val="bottom"/>
          </w:tcPr>
          <w:p>
            <w:pPr>
              <w:jc w:val="right"/>
              <w:ind w:right="10"/>
              <w:spacing w:after="0"/>
              <w:rPr>
                <w:sz w:val="20"/>
                <w:szCs w:val="20"/>
                <w:color w:val="auto"/>
              </w:rPr>
            </w:pPr>
            <w:r>
              <w:rPr>
                <w:rFonts w:ascii="Arial" w:cs="Arial" w:eastAsia="Arial" w:hAnsi="Arial"/>
                <w:sz w:val="18"/>
                <w:szCs w:val="18"/>
                <w:color w:val="auto"/>
              </w:rPr>
              <w:t>5,244</w:t>
            </w:r>
          </w:p>
        </w:tc>
        <w:tc>
          <w:tcPr>
            <w:tcW w:w="10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960" w:type="dxa"/>
            <w:vAlign w:val="bottom"/>
          </w:tcPr>
          <w:p>
            <w:pPr>
              <w:jc w:val="right"/>
              <w:ind w:right="10"/>
              <w:spacing w:after="0"/>
              <w:rPr>
                <w:sz w:val="20"/>
                <w:szCs w:val="20"/>
                <w:color w:val="auto"/>
              </w:rPr>
            </w:pPr>
            <w:r>
              <w:rPr>
                <w:rFonts w:ascii="Arial" w:cs="Arial" w:eastAsia="Arial" w:hAnsi="Arial"/>
                <w:sz w:val="18"/>
                <w:szCs w:val="18"/>
                <w:color w:val="auto"/>
              </w:rPr>
              <w:t>8,204</w:t>
            </w:r>
          </w:p>
        </w:tc>
        <w:tc>
          <w:tcPr>
            <w:tcW w:w="10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880" w:type="dxa"/>
            <w:vAlign w:val="bottom"/>
          </w:tcPr>
          <w:p>
            <w:pPr>
              <w:jc w:val="right"/>
              <w:ind w:right="10"/>
              <w:spacing w:after="0"/>
              <w:rPr>
                <w:sz w:val="20"/>
                <w:szCs w:val="20"/>
                <w:color w:val="auto"/>
              </w:rPr>
            </w:pPr>
            <w:r>
              <w:rPr>
                <w:rFonts w:ascii="Arial" w:cs="Arial" w:eastAsia="Arial" w:hAnsi="Arial"/>
                <w:sz w:val="18"/>
                <w:szCs w:val="18"/>
                <w:color w:val="auto"/>
              </w:rPr>
              <w:t>10,595</w:t>
            </w:r>
          </w:p>
        </w:tc>
      </w:tr>
      <w:tr>
        <w:trPr>
          <w:trHeight w:val="27"/>
        </w:trPr>
        <w:tc>
          <w:tcPr>
            <w:tcW w:w="26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r>
      <w:tr>
        <w:trPr>
          <w:trHeight w:val="237"/>
        </w:trPr>
        <w:tc>
          <w:tcPr>
            <w:tcW w:w="260" w:type="dxa"/>
            <w:vAlign w:val="bottom"/>
          </w:tcPr>
          <w:p>
            <w:pPr>
              <w:spacing w:after="0"/>
              <w:rPr>
                <w:sz w:val="20"/>
                <w:szCs w:val="20"/>
                <w:color w:val="auto"/>
              </w:rPr>
            </w:pPr>
          </w:p>
        </w:tc>
        <w:tc>
          <w:tcPr>
            <w:tcW w:w="960" w:type="dxa"/>
            <w:vAlign w:val="bottom"/>
          </w:tcPr>
          <w:p>
            <w:pPr>
              <w:jc w:val="right"/>
              <w:ind w:right="10"/>
              <w:spacing w:after="0"/>
              <w:rPr>
                <w:sz w:val="20"/>
                <w:szCs w:val="20"/>
                <w:color w:val="auto"/>
              </w:rPr>
            </w:pPr>
            <w:r>
              <w:rPr>
                <w:rFonts w:ascii="Arial" w:cs="Arial" w:eastAsia="Arial" w:hAnsi="Arial"/>
                <w:sz w:val="18"/>
                <w:szCs w:val="18"/>
                <w:color w:val="auto"/>
              </w:rPr>
              <w:t>27,920</w:t>
            </w: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880" w:type="dxa"/>
            <w:vAlign w:val="bottom"/>
          </w:tcPr>
          <w:p>
            <w:pPr>
              <w:jc w:val="right"/>
              <w:ind w:right="10"/>
              <w:spacing w:after="0"/>
              <w:rPr>
                <w:sz w:val="20"/>
                <w:szCs w:val="20"/>
                <w:color w:val="auto"/>
              </w:rPr>
            </w:pPr>
            <w:r>
              <w:rPr>
                <w:rFonts w:ascii="Arial" w:cs="Arial" w:eastAsia="Arial" w:hAnsi="Arial"/>
                <w:sz w:val="18"/>
                <w:szCs w:val="18"/>
                <w:color w:val="auto"/>
              </w:rPr>
              <w:t>28,050</w:t>
            </w: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60" w:type="dxa"/>
            <w:vAlign w:val="bottom"/>
          </w:tcPr>
          <w:p>
            <w:pPr>
              <w:jc w:val="right"/>
              <w:ind w:right="10"/>
              <w:spacing w:after="0"/>
              <w:rPr>
                <w:sz w:val="20"/>
                <w:szCs w:val="20"/>
                <w:color w:val="auto"/>
              </w:rPr>
            </w:pPr>
            <w:r>
              <w:rPr>
                <w:rFonts w:ascii="Arial" w:cs="Arial" w:eastAsia="Arial" w:hAnsi="Arial"/>
                <w:sz w:val="18"/>
                <w:szCs w:val="18"/>
                <w:color w:val="auto"/>
              </w:rPr>
              <w:t>55,092</w:t>
            </w: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880" w:type="dxa"/>
            <w:vAlign w:val="bottom"/>
          </w:tcPr>
          <w:p>
            <w:pPr>
              <w:jc w:val="right"/>
              <w:ind w:right="10"/>
              <w:spacing w:after="0"/>
              <w:rPr>
                <w:sz w:val="20"/>
                <w:szCs w:val="20"/>
                <w:color w:val="auto"/>
              </w:rPr>
            </w:pPr>
            <w:r>
              <w:rPr>
                <w:rFonts w:ascii="Arial" w:cs="Arial" w:eastAsia="Arial" w:hAnsi="Arial"/>
                <w:sz w:val="18"/>
                <w:szCs w:val="18"/>
                <w:color w:val="auto"/>
              </w:rPr>
              <w:t>55,885</w:t>
            </w:r>
          </w:p>
        </w:tc>
      </w:tr>
      <w:tr>
        <w:trPr>
          <w:trHeight w:val="270"/>
        </w:trPr>
        <w:tc>
          <w:tcPr>
            <w:tcW w:w="260" w:type="dxa"/>
            <w:vAlign w:val="bottom"/>
          </w:tcPr>
          <w:p>
            <w:pPr>
              <w:spacing w:after="0"/>
              <w:rPr>
                <w:sz w:val="23"/>
                <w:szCs w:val="23"/>
                <w:color w:val="auto"/>
              </w:rPr>
            </w:pPr>
          </w:p>
        </w:tc>
        <w:tc>
          <w:tcPr>
            <w:tcW w:w="960" w:type="dxa"/>
            <w:vAlign w:val="bottom"/>
          </w:tcPr>
          <w:p>
            <w:pPr>
              <w:jc w:val="right"/>
              <w:ind w:right="10"/>
              <w:spacing w:after="0"/>
              <w:rPr>
                <w:sz w:val="20"/>
                <w:szCs w:val="20"/>
                <w:color w:val="auto"/>
              </w:rPr>
            </w:pPr>
            <w:r>
              <w:rPr>
                <w:rFonts w:ascii="Arial" w:cs="Arial" w:eastAsia="Arial" w:hAnsi="Arial"/>
                <w:sz w:val="18"/>
                <w:szCs w:val="18"/>
                <w:color w:val="auto"/>
              </w:rPr>
              <w:t>15,926</w:t>
            </w:r>
          </w:p>
        </w:tc>
        <w:tc>
          <w:tcPr>
            <w:tcW w:w="10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880" w:type="dxa"/>
            <w:vAlign w:val="bottom"/>
          </w:tcPr>
          <w:p>
            <w:pPr>
              <w:jc w:val="right"/>
              <w:ind w:right="10"/>
              <w:spacing w:after="0"/>
              <w:rPr>
                <w:sz w:val="20"/>
                <w:szCs w:val="20"/>
                <w:color w:val="auto"/>
              </w:rPr>
            </w:pPr>
            <w:r>
              <w:rPr>
                <w:rFonts w:ascii="Arial" w:cs="Arial" w:eastAsia="Arial" w:hAnsi="Arial"/>
                <w:sz w:val="18"/>
                <w:szCs w:val="18"/>
                <w:color w:val="auto"/>
              </w:rPr>
              <w:t>17,897</w:t>
            </w:r>
          </w:p>
        </w:tc>
        <w:tc>
          <w:tcPr>
            <w:tcW w:w="10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960" w:type="dxa"/>
            <w:vAlign w:val="bottom"/>
          </w:tcPr>
          <w:p>
            <w:pPr>
              <w:jc w:val="right"/>
              <w:ind w:right="10"/>
              <w:spacing w:after="0"/>
              <w:rPr>
                <w:sz w:val="20"/>
                <w:szCs w:val="20"/>
                <w:color w:val="auto"/>
              </w:rPr>
            </w:pPr>
            <w:r>
              <w:rPr>
                <w:rFonts w:ascii="Arial" w:cs="Arial" w:eastAsia="Arial" w:hAnsi="Arial"/>
                <w:sz w:val="18"/>
                <w:szCs w:val="18"/>
                <w:color w:val="auto"/>
              </w:rPr>
              <w:t>31,063</w:t>
            </w:r>
          </w:p>
        </w:tc>
        <w:tc>
          <w:tcPr>
            <w:tcW w:w="10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880" w:type="dxa"/>
            <w:vAlign w:val="bottom"/>
          </w:tcPr>
          <w:p>
            <w:pPr>
              <w:jc w:val="right"/>
              <w:ind w:right="10"/>
              <w:spacing w:after="0"/>
              <w:rPr>
                <w:sz w:val="20"/>
                <w:szCs w:val="20"/>
                <w:color w:val="auto"/>
              </w:rPr>
            </w:pPr>
            <w:r>
              <w:rPr>
                <w:rFonts w:ascii="Arial" w:cs="Arial" w:eastAsia="Arial" w:hAnsi="Arial"/>
                <w:sz w:val="18"/>
                <w:szCs w:val="18"/>
                <w:color w:val="auto"/>
              </w:rPr>
              <w:t>29,824</w:t>
            </w:r>
          </w:p>
        </w:tc>
      </w:tr>
      <w:tr>
        <w:trPr>
          <w:trHeight w:val="270"/>
        </w:trPr>
        <w:tc>
          <w:tcPr>
            <w:tcW w:w="260" w:type="dxa"/>
            <w:vAlign w:val="bottom"/>
          </w:tcPr>
          <w:p>
            <w:pPr>
              <w:spacing w:after="0"/>
              <w:rPr>
                <w:sz w:val="23"/>
                <w:szCs w:val="23"/>
                <w:color w:val="auto"/>
              </w:rPr>
            </w:pPr>
          </w:p>
        </w:tc>
        <w:tc>
          <w:tcPr>
            <w:tcW w:w="960" w:type="dxa"/>
            <w:vAlign w:val="bottom"/>
          </w:tcPr>
          <w:p>
            <w:pPr>
              <w:jc w:val="right"/>
              <w:ind w:right="10"/>
              <w:spacing w:after="0"/>
              <w:rPr>
                <w:sz w:val="20"/>
                <w:szCs w:val="20"/>
                <w:color w:val="auto"/>
              </w:rPr>
            </w:pPr>
            <w:r>
              <w:rPr>
                <w:rFonts w:ascii="Arial" w:cs="Arial" w:eastAsia="Arial" w:hAnsi="Arial"/>
                <w:sz w:val="18"/>
                <w:szCs w:val="18"/>
                <w:color w:val="auto"/>
              </w:rPr>
              <w:t>4,298</w:t>
            </w:r>
          </w:p>
        </w:tc>
        <w:tc>
          <w:tcPr>
            <w:tcW w:w="10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880" w:type="dxa"/>
            <w:vAlign w:val="bottom"/>
          </w:tcPr>
          <w:p>
            <w:pPr>
              <w:jc w:val="right"/>
              <w:ind w:right="10"/>
              <w:spacing w:after="0"/>
              <w:rPr>
                <w:sz w:val="20"/>
                <w:szCs w:val="20"/>
                <w:color w:val="auto"/>
              </w:rPr>
            </w:pPr>
            <w:r>
              <w:rPr>
                <w:rFonts w:ascii="Arial" w:cs="Arial" w:eastAsia="Arial" w:hAnsi="Arial"/>
                <w:sz w:val="18"/>
                <w:szCs w:val="18"/>
                <w:color w:val="auto"/>
              </w:rPr>
              <w:t>4,285</w:t>
            </w:r>
          </w:p>
        </w:tc>
        <w:tc>
          <w:tcPr>
            <w:tcW w:w="10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960" w:type="dxa"/>
            <w:vAlign w:val="bottom"/>
          </w:tcPr>
          <w:p>
            <w:pPr>
              <w:jc w:val="right"/>
              <w:ind w:right="10"/>
              <w:spacing w:after="0"/>
              <w:rPr>
                <w:sz w:val="20"/>
                <w:szCs w:val="20"/>
                <w:color w:val="auto"/>
              </w:rPr>
            </w:pPr>
            <w:r>
              <w:rPr>
                <w:rFonts w:ascii="Arial" w:cs="Arial" w:eastAsia="Arial" w:hAnsi="Arial"/>
                <w:sz w:val="18"/>
                <w:szCs w:val="18"/>
                <w:color w:val="auto"/>
              </w:rPr>
              <w:t>8,348</w:t>
            </w:r>
          </w:p>
        </w:tc>
        <w:tc>
          <w:tcPr>
            <w:tcW w:w="10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880" w:type="dxa"/>
            <w:vAlign w:val="bottom"/>
          </w:tcPr>
          <w:p>
            <w:pPr>
              <w:jc w:val="right"/>
              <w:ind w:right="10"/>
              <w:spacing w:after="0"/>
              <w:rPr>
                <w:sz w:val="20"/>
                <w:szCs w:val="20"/>
                <w:color w:val="auto"/>
              </w:rPr>
            </w:pPr>
            <w:r>
              <w:rPr>
                <w:rFonts w:ascii="Arial" w:cs="Arial" w:eastAsia="Arial" w:hAnsi="Arial"/>
                <w:sz w:val="18"/>
                <w:szCs w:val="18"/>
                <w:color w:val="auto"/>
              </w:rPr>
              <w:t>9,705</w:t>
            </w:r>
          </w:p>
        </w:tc>
      </w:tr>
      <w:tr>
        <w:trPr>
          <w:trHeight w:val="270"/>
        </w:trPr>
        <w:tc>
          <w:tcPr>
            <w:tcW w:w="260" w:type="dxa"/>
            <w:vAlign w:val="bottom"/>
          </w:tcPr>
          <w:p>
            <w:pPr>
              <w:spacing w:after="0"/>
              <w:rPr>
                <w:sz w:val="23"/>
                <w:szCs w:val="23"/>
                <w:color w:val="auto"/>
              </w:rPr>
            </w:pPr>
          </w:p>
        </w:tc>
        <w:tc>
          <w:tcPr>
            <w:tcW w:w="106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360" w:type="dxa"/>
            <w:vAlign w:val="bottom"/>
          </w:tcPr>
          <w:p>
            <w:pPr>
              <w:spacing w:after="0"/>
              <w:rPr>
                <w:sz w:val="23"/>
                <w:szCs w:val="23"/>
                <w:color w:val="auto"/>
              </w:rPr>
            </w:pPr>
          </w:p>
        </w:tc>
        <w:tc>
          <w:tcPr>
            <w:tcW w:w="9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23"/>
                <w:szCs w:val="23"/>
                <w:color w:val="auto"/>
              </w:rPr>
            </w:pPr>
          </w:p>
        </w:tc>
        <w:tc>
          <w:tcPr>
            <w:tcW w:w="106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360" w:type="dxa"/>
            <w:vAlign w:val="bottom"/>
          </w:tcPr>
          <w:p>
            <w:pPr>
              <w:spacing w:after="0"/>
              <w:rPr>
                <w:sz w:val="23"/>
                <w:szCs w:val="23"/>
                <w:color w:val="auto"/>
              </w:rPr>
            </w:pPr>
          </w:p>
        </w:tc>
        <w:tc>
          <w:tcPr>
            <w:tcW w:w="880" w:type="dxa"/>
            <w:vAlign w:val="bottom"/>
          </w:tcPr>
          <w:p>
            <w:pPr>
              <w:jc w:val="right"/>
              <w:ind w:right="10"/>
              <w:spacing w:after="0"/>
              <w:rPr>
                <w:sz w:val="20"/>
                <w:szCs w:val="20"/>
                <w:color w:val="auto"/>
              </w:rPr>
            </w:pPr>
            <w:r>
              <w:rPr>
                <w:rFonts w:ascii="Arial" w:cs="Arial" w:eastAsia="Arial" w:hAnsi="Arial"/>
                <w:sz w:val="18"/>
                <w:szCs w:val="18"/>
                <w:color w:val="auto"/>
              </w:rPr>
              <w:t>2,161</w:t>
            </w:r>
          </w:p>
        </w:tc>
      </w:tr>
      <w:tr>
        <w:trPr>
          <w:trHeight w:val="270"/>
        </w:trPr>
        <w:tc>
          <w:tcPr>
            <w:tcW w:w="260" w:type="dxa"/>
            <w:vAlign w:val="bottom"/>
          </w:tcPr>
          <w:p>
            <w:pPr>
              <w:spacing w:after="0"/>
              <w:rPr>
                <w:sz w:val="23"/>
                <w:szCs w:val="23"/>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(336)</w:t>
            </w:r>
          </w:p>
        </w:tc>
        <w:tc>
          <w:tcPr>
            <w:tcW w:w="10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(552)</w:t>
            </w:r>
          </w:p>
        </w:tc>
        <w:tc>
          <w:tcPr>
            <w:tcW w:w="10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960" w:type="dxa"/>
            <w:vAlign w:val="bottom"/>
          </w:tcPr>
          <w:p>
            <w:pPr>
              <w:jc w:val="right"/>
              <w:spacing w:after="0"/>
              <w:rPr>
                <w:sz w:val="20"/>
                <w:szCs w:val="20"/>
                <w:color w:val="auto"/>
              </w:rPr>
            </w:pPr>
            <w:r>
              <w:rPr>
                <w:rFonts w:ascii="Arial" w:cs="Arial" w:eastAsia="Arial" w:hAnsi="Arial"/>
                <w:sz w:val="18"/>
                <w:szCs w:val="18"/>
                <w:color w:val="auto"/>
              </w:rPr>
              <w:t>(1,256)</w:t>
            </w:r>
          </w:p>
        </w:tc>
        <w:tc>
          <w:tcPr>
            <w:tcW w:w="10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(1,129)</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-2122805</wp:posOffset>
            </wp:positionH>
            <wp:positionV relativeFrom="paragraph">
              <wp:posOffset>-2074545</wp:posOffset>
            </wp:positionV>
            <wp:extent cx="6474460" cy="1803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6474460" cy="180340"/>
                    </a:xfrm>
                    <a:prstGeom prst="rect">
                      <a:avLst/>
                    </a:prstGeom>
                    <a:noFill/>
                  </pic:spPr>
                </pic:pic>
              </a:graphicData>
            </a:graphic>
          </wp:anchor>
        </w:drawing>
        <w:drawing>
          <wp:anchor simplePos="0" relativeHeight="251657728" behindDoc="1" locked="0" layoutInCell="0" allowOverlap="1">
            <wp:simplePos x="0" y="0"/>
            <wp:positionH relativeFrom="column">
              <wp:posOffset>-2122805</wp:posOffset>
            </wp:positionH>
            <wp:positionV relativeFrom="paragraph">
              <wp:posOffset>-1723390</wp:posOffset>
            </wp:positionV>
            <wp:extent cx="6474460" cy="1803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6474460" cy="180340"/>
                    </a:xfrm>
                    <a:prstGeom prst="rect">
                      <a:avLst/>
                    </a:prstGeom>
                    <a:noFill/>
                  </pic:spPr>
                </pic:pic>
              </a:graphicData>
            </a:graphic>
          </wp:anchor>
        </w:drawing>
        <w:drawing>
          <wp:anchor simplePos="0" relativeHeight="251657728" behindDoc="1" locked="0" layoutInCell="0" allowOverlap="1">
            <wp:simplePos x="0" y="0"/>
            <wp:positionH relativeFrom="column">
              <wp:posOffset>-2122805</wp:posOffset>
            </wp:positionH>
            <wp:positionV relativeFrom="paragraph">
              <wp:posOffset>-1362710</wp:posOffset>
            </wp:positionV>
            <wp:extent cx="6474460" cy="1714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6474460" cy="171450"/>
                    </a:xfrm>
                    <a:prstGeom prst="rect">
                      <a:avLst/>
                    </a:prstGeom>
                    <a:noFill/>
                  </pic:spPr>
                </pic:pic>
              </a:graphicData>
            </a:graphic>
          </wp:anchor>
        </w:drawing>
        <w:drawing>
          <wp:anchor simplePos="0" relativeHeight="251657728" behindDoc="1" locked="0" layoutInCell="0" allowOverlap="1">
            <wp:simplePos x="0" y="0"/>
            <wp:positionH relativeFrom="column">
              <wp:posOffset>-2122805</wp:posOffset>
            </wp:positionH>
            <wp:positionV relativeFrom="paragraph">
              <wp:posOffset>-1019810</wp:posOffset>
            </wp:positionV>
            <wp:extent cx="6474460" cy="1714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6474460" cy="171450"/>
                    </a:xfrm>
                    <a:prstGeom prst="rect">
                      <a:avLst/>
                    </a:prstGeom>
                    <a:noFill/>
                  </pic:spPr>
                </pic:pic>
              </a:graphicData>
            </a:graphic>
          </wp:anchor>
        </w:drawing>
        <w:drawing>
          <wp:anchor simplePos="0" relativeHeight="251657728" behindDoc="1" locked="0" layoutInCell="0" allowOverlap="1">
            <wp:simplePos x="0" y="0"/>
            <wp:positionH relativeFrom="column">
              <wp:posOffset>-2122805</wp:posOffset>
            </wp:positionH>
            <wp:positionV relativeFrom="paragraph">
              <wp:posOffset>-668020</wp:posOffset>
            </wp:positionV>
            <wp:extent cx="6474460" cy="1714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6474460" cy="171450"/>
                    </a:xfrm>
                    <a:prstGeom prst="rect">
                      <a:avLst/>
                    </a:prstGeom>
                    <a:noFill/>
                  </pic:spPr>
                </pic:pic>
              </a:graphicData>
            </a:graphic>
          </wp:anchor>
        </w:drawing>
        <w:drawing>
          <wp:anchor simplePos="0" relativeHeight="251657728" behindDoc="1" locked="0" layoutInCell="0" allowOverlap="1">
            <wp:simplePos x="0" y="0"/>
            <wp:positionH relativeFrom="column">
              <wp:posOffset>-2122805</wp:posOffset>
            </wp:positionH>
            <wp:positionV relativeFrom="paragraph">
              <wp:posOffset>-325120</wp:posOffset>
            </wp:positionV>
            <wp:extent cx="6474460" cy="1714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6474460" cy="171450"/>
                    </a:xfrm>
                    <a:prstGeom prst="rect">
                      <a:avLst/>
                    </a:prstGeom>
                    <a:noFill/>
                  </pic:spPr>
                </pic:pic>
              </a:graphicData>
            </a:graphic>
          </wp:anchor>
        </w:drawing>
      </w:r>
    </w:p>
    <w:p>
      <w:pPr>
        <w:spacing w:after="0" w:line="26" w:lineRule="exact"/>
        <w:rPr>
          <w:sz w:val="20"/>
          <w:szCs w:val="20"/>
          <w:color w:val="auto"/>
        </w:rPr>
      </w:pPr>
    </w:p>
    <w:p>
      <w:pPr>
        <w:sectPr>
          <w:pgSz w:w="11900" w:h="16838" w:orient="portrait"/>
          <w:cols w:equalWidth="0" w:num="2">
            <w:col w:w="2620" w:space="720"/>
            <w:col w:w="6860"/>
          </w:cols>
          <w:pgMar w:left="860" w:top="850" w:right="839" w:bottom="1440" w:gutter="0" w:footer="0" w:header="0"/>
        </w:sectPr>
      </w:pPr>
    </w:p>
    <w:tbl>
      <w:tblPr>
        <w:tblLayout w:type="fixed"/>
        <w:tblInd w:w="0" w:type="dxa"/>
        <w:tblCellMar>
          <w:top w:w="0" w:type="dxa"/>
          <w:left w:w="0" w:type="dxa"/>
          <w:bottom w:w="0" w:type="dxa"/>
          <w:right w:w="0" w:type="dxa"/>
        </w:tblCellMar>
      </w:tblPr>
      <w:tr>
        <w:trPr>
          <w:trHeight w:val="265"/>
        </w:trPr>
        <w:tc>
          <w:tcPr>
            <w:tcW w:w="4960" w:type="dxa"/>
            <w:vAlign w:val="bottom"/>
            <w:tcBorders>
              <w:top w:val="single" w:sz="8" w:color="CCEEFF"/>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Income before income taxes</w:t>
            </w:r>
          </w:p>
        </w:tc>
        <w:tc>
          <w:tcPr>
            <w:tcW w:w="380" w:type="dxa"/>
            <w:vAlign w:val="bottom"/>
            <w:tcBorders>
              <w:top w:val="single" w:sz="8" w:color="auto"/>
              <w:bottom w:val="single" w:sz="8" w:color="CCEEFF"/>
            </w:tcBorders>
            <w:shd w:val="clear" w:color="auto" w:fill="CCEEFF"/>
          </w:tcPr>
          <w:p>
            <w:pPr>
              <w:spacing w:after="0"/>
              <w:rPr>
                <w:sz w:val="23"/>
                <w:szCs w:val="23"/>
                <w:color w:val="auto"/>
              </w:rPr>
            </w:pPr>
          </w:p>
        </w:tc>
        <w:tc>
          <w:tcPr>
            <w:tcW w:w="840" w:type="dxa"/>
            <w:vAlign w:val="bottom"/>
            <w:tcBorders>
              <w:top w:val="single" w:sz="8" w:color="auto"/>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11,964</w:t>
            </w:r>
          </w:p>
        </w:tc>
        <w:tc>
          <w:tcPr>
            <w:tcW w:w="100" w:type="dxa"/>
            <w:vAlign w:val="bottom"/>
            <w:tcBorders>
              <w:top w:val="single" w:sz="8" w:color="CCEEFF"/>
              <w:bottom w:val="single" w:sz="8" w:color="CCEEFF"/>
            </w:tcBorders>
            <w:shd w:val="clear" w:color="auto" w:fill="CCEEFF"/>
          </w:tcPr>
          <w:p>
            <w:pPr>
              <w:spacing w:after="0"/>
              <w:rPr>
                <w:sz w:val="23"/>
                <w:szCs w:val="23"/>
                <w:color w:val="auto"/>
              </w:rPr>
            </w:pPr>
          </w:p>
        </w:tc>
        <w:tc>
          <w:tcPr>
            <w:tcW w:w="380" w:type="dxa"/>
            <w:vAlign w:val="bottom"/>
            <w:tcBorders>
              <w:top w:val="single" w:sz="8" w:color="auto"/>
              <w:bottom w:val="single" w:sz="8" w:color="CCEEFF"/>
            </w:tcBorders>
            <w:shd w:val="clear" w:color="auto" w:fill="CCEEFF"/>
          </w:tcPr>
          <w:p>
            <w:pPr>
              <w:spacing w:after="0"/>
              <w:rPr>
                <w:sz w:val="23"/>
                <w:szCs w:val="23"/>
                <w:color w:val="auto"/>
              </w:rPr>
            </w:pPr>
          </w:p>
        </w:tc>
        <w:tc>
          <w:tcPr>
            <w:tcW w:w="860" w:type="dxa"/>
            <w:vAlign w:val="bottom"/>
            <w:tcBorders>
              <w:top w:val="single" w:sz="8" w:color="auto"/>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14,164</w:t>
            </w:r>
          </w:p>
        </w:tc>
        <w:tc>
          <w:tcPr>
            <w:tcW w:w="100" w:type="dxa"/>
            <w:vAlign w:val="bottom"/>
            <w:tcBorders>
              <w:top w:val="single" w:sz="8" w:color="CCEEFF"/>
              <w:bottom w:val="single" w:sz="8" w:color="CCEEFF"/>
            </w:tcBorders>
            <w:shd w:val="clear" w:color="auto" w:fill="CCEEFF"/>
          </w:tcPr>
          <w:p>
            <w:pPr>
              <w:spacing w:after="0"/>
              <w:rPr>
                <w:sz w:val="23"/>
                <w:szCs w:val="23"/>
                <w:color w:val="auto"/>
              </w:rPr>
            </w:pPr>
          </w:p>
        </w:tc>
        <w:tc>
          <w:tcPr>
            <w:tcW w:w="380" w:type="dxa"/>
            <w:vAlign w:val="bottom"/>
            <w:tcBorders>
              <w:top w:val="single" w:sz="8" w:color="auto"/>
              <w:bottom w:val="single" w:sz="8" w:color="CCEEFF"/>
            </w:tcBorders>
            <w:shd w:val="clear" w:color="auto" w:fill="CCEEFF"/>
          </w:tcPr>
          <w:p>
            <w:pPr>
              <w:spacing w:after="0"/>
              <w:rPr>
                <w:sz w:val="23"/>
                <w:szCs w:val="23"/>
                <w:color w:val="auto"/>
              </w:rPr>
            </w:pPr>
          </w:p>
        </w:tc>
        <w:tc>
          <w:tcPr>
            <w:tcW w:w="860" w:type="dxa"/>
            <w:vAlign w:val="bottom"/>
            <w:tcBorders>
              <w:top w:val="single" w:sz="8" w:color="auto"/>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23,971</w:t>
            </w:r>
          </w:p>
        </w:tc>
        <w:tc>
          <w:tcPr>
            <w:tcW w:w="100" w:type="dxa"/>
            <w:vAlign w:val="bottom"/>
            <w:tcBorders>
              <w:top w:val="single" w:sz="8" w:color="CCEEFF"/>
              <w:bottom w:val="single" w:sz="8" w:color="CCEEFF"/>
            </w:tcBorders>
            <w:shd w:val="clear" w:color="auto" w:fill="CCEEFF"/>
          </w:tcPr>
          <w:p>
            <w:pPr>
              <w:spacing w:after="0"/>
              <w:rPr>
                <w:sz w:val="23"/>
                <w:szCs w:val="23"/>
                <w:color w:val="auto"/>
              </w:rPr>
            </w:pPr>
          </w:p>
        </w:tc>
        <w:tc>
          <w:tcPr>
            <w:tcW w:w="380" w:type="dxa"/>
            <w:vAlign w:val="bottom"/>
            <w:tcBorders>
              <w:top w:val="single" w:sz="8" w:color="auto"/>
              <w:bottom w:val="single" w:sz="8" w:color="CCEEFF"/>
            </w:tcBorders>
            <w:shd w:val="clear" w:color="auto" w:fill="CCEEFF"/>
          </w:tcPr>
          <w:p>
            <w:pPr>
              <w:spacing w:after="0"/>
              <w:rPr>
                <w:sz w:val="23"/>
                <w:szCs w:val="23"/>
                <w:color w:val="auto"/>
              </w:rPr>
            </w:pPr>
          </w:p>
        </w:tc>
        <w:tc>
          <w:tcPr>
            <w:tcW w:w="860" w:type="dxa"/>
            <w:vAlign w:val="bottom"/>
            <w:tcBorders>
              <w:top w:val="single" w:sz="8" w:color="auto"/>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19,087</w:t>
            </w:r>
          </w:p>
        </w:tc>
        <w:tc>
          <w:tcPr>
            <w:tcW w:w="0" w:type="dxa"/>
            <w:vAlign w:val="bottom"/>
          </w:tcPr>
          <w:p>
            <w:pPr>
              <w:spacing w:after="0"/>
              <w:rPr>
                <w:sz w:val="1"/>
                <w:szCs w:val="1"/>
                <w:color w:val="auto"/>
              </w:rPr>
            </w:pPr>
          </w:p>
        </w:tc>
      </w:tr>
      <w:tr>
        <w:trPr>
          <w:trHeight w:val="237"/>
        </w:trPr>
        <w:tc>
          <w:tcPr>
            <w:tcW w:w="4960" w:type="dxa"/>
            <w:vAlign w:val="bottom"/>
          </w:tcPr>
          <w:p>
            <w:pPr>
              <w:ind w:left="20"/>
              <w:spacing w:after="0"/>
              <w:rPr>
                <w:sz w:val="20"/>
                <w:szCs w:val="20"/>
                <w:color w:val="auto"/>
              </w:rPr>
            </w:pPr>
            <w:r>
              <w:rPr>
                <w:rFonts w:ascii="Arial" w:cs="Arial" w:eastAsia="Arial" w:hAnsi="Arial"/>
                <w:sz w:val="18"/>
                <w:szCs w:val="18"/>
                <w:color w:val="auto"/>
              </w:rPr>
              <w:t>Income tax expense</w:t>
            </w:r>
          </w:p>
        </w:tc>
        <w:tc>
          <w:tcPr>
            <w:tcW w:w="380" w:type="dxa"/>
            <w:vAlign w:val="bottom"/>
            <w:tcBorders>
              <w:top w:val="single" w:sz="8" w:color="auto"/>
            </w:tcBorders>
          </w:tcPr>
          <w:p>
            <w:pPr>
              <w:spacing w:after="0"/>
              <w:rPr>
                <w:sz w:val="20"/>
                <w:szCs w:val="20"/>
                <w:color w:val="auto"/>
              </w:rPr>
            </w:pPr>
          </w:p>
        </w:tc>
        <w:tc>
          <w:tcPr>
            <w:tcW w:w="84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2,219</w:t>
            </w:r>
          </w:p>
        </w:tc>
        <w:tc>
          <w:tcPr>
            <w:tcW w:w="100" w:type="dxa"/>
            <w:vAlign w:val="bottom"/>
          </w:tcPr>
          <w:p>
            <w:pPr>
              <w:spacing w:after="0"/>
              <w:rPr>
                <w:sz w:val="20"/>
                <w:szCs w:val="20"/>
                <w:color w:val="auto"/>
              </w:rPr>
            </w:pPr>
          </w:p>
        </w:tc>
        <w:tc>
          <w:tcPr>
            <w:tcW w:w="380" w:type="dxa"/>
            <w:vAlign w:val="bottom"/>
            <w:tcBorders>
              <w:top w:val="single" w:sz="8" w:color="auto"/>
            </w:tcBorders>
          </w:tcPr>
          <w:p>
            <w:pPr>
              <w:spacing w:after="0"/>
              <w:rPr>
                <w:sz w:val="20"/>
                <w:szCs w:val="20"/>
                <w:color w:val="auto"/>
              </w:rPr>
            </w:pPr>
          </w:p>
        </w:tc>
        <w:tc>
          <w:tcPr>
            <w:tcW w:w="8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569</w:t>
            </w:r>
          </w:p>
        </w:tc>
        <w:tc>
          <w:tcPr>
            <w:tcW w:w="100" w:type="dxa"/>
            <w:vAlign w:val="bottom"/>
          </w:tcPr>
          <w:p>
            <w:pPr>
              <w:spacing w:after="0"/>
              <w:rPr>
                <w:sz w:val="20"/>
                <w:szCs w:val="20"/>
                <w:color w:val="auto"/>
              </w:rPr>
            </w:pPr>
          </w:p>
        </w:tc>
        <w:tc>
          <w:tcPr>
            <w:tcW w:w="380" w:type="dxa"/>
            <w:vAlign w:val="bottom"/>
            <w:tcBorders>
              <w:top w:val="single" w:sz="8" w:color="auto"/>
            </w:tcBorders>
          </w:tcPr>
          <w:p>
            <w:pPr>
              <w:spacing w:after="0"/>
              <w:rPr>
                <w:sz w:val="20"/>
                <w:szCs w:val="20"/>
                <w:color w:val="auto"/>
              </w:rPr>
            </w:pPr>
          </w:p>
        </w:tc>
        <w:tc>
          <w:tcPr>
            <w:tcW w:w="8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6,015</w:t>
            </w:r>
          </w:p>
        </w:tc>
        <w:tc>
          <w:tcPr>
            <w:tcW w:w="100" w:type="dxa"/>
            <w:vAlign w:val="bottom"/>
          </w:tcPr>
          <w:p>
            <w:pPr>
              <w:spacing w:after="0"/>
              <w:rPr>
                <w:sz w:val="20"/>
                <w:szCs w:val="20"/>
                <w:color w:val="auto"/>
              </w:rPr>
            </w:pPr>
          </w:p>
        </w:tc>
        <w:tc>
          <w:tcPr>
            <w:tcW w:w="380" w:type="dxa"/>
            <w:vAlign w:val="bottom"/>
            <w:tcBorders>
              <w:top w:val="single" w:sz="8" w:color="auto"/>
            </w:tcBorders>
          </w:tcPr>
          <w:p>
            <w:pPr>
              <w:spacing w:after="0"/>
              <w:rPr>
                <w:sz w:val="20"/>
                <w:szCs w:val="20"/>
                <w:color w:val="auto"/>
              </w:rPr>
            </w:pPr>
          </w:p>
        </w:tc>
        <w:tc>
          <w:tcPr>
            <w:tcW w:w="8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1,354</w:t>
            </w:r>
          </w:p>
        </w:tc>
        <w:tc>
          <w:tcPr>
            <w:tcW w:w="0" w:type="dxa"/>
            <w:vAlign w:val="bottom"/>
          </w:tcPr>
          <w:p>
            <w:pPr>
              <w:spacing w:after="0"/>
              <w:rPr>
                <w:sz w:val="1"/>
                <w:szCs w:val="1"/>
                <w:color w:val="auto"/>
              </w:rPr>
            </w:pPr>
          </w:p>
        </w:tc>
      </w:tr>
      <w:tr>
        <w:trPr>
          <w:trHeight w:val="27"/>
        </w:trPr>
        <w:tc>
          <w:tcPr>
            <w:tcW w:w="496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496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Net income</w:t>
            </w:r>
          </w:p>
        </w:tc>
        <w:tc>
          <w:tcPr>
            <w:tcW w:w="38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color w:val="auto"/>
                <w:w w:val="79"/>
              </w:rPr>
              <w:t>$</w:t>
            </w:r>
          </w:p>
        </w:tc>
        <w:tc>
          <w:tcPr>
            <w:tcW w:w="8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9,745</w:t>
            </w:r>
          </w:p>
        </w:tc>
        <w:tc>
          <w:tcPr>
            <w:tcW w:w="100" w:type="dxa"/>
            <w:vAlign w:val="bottom"/>
            <w:tcBorders>
              <w:bottom w:val="single" w:sz="8" w:color="CCEEFF"/>
            </w:tcBorders>
            <w:shd w:val="clear" w:color="auto" w:fill="CCEEFF"/>
          </w:tcPr>
          <w:p>
            <w:pPr>
              <w:spacing w:after="0"/>
              <w:rPr>
                <w:sz w:val="22"/>
                <w:szCs w:val="22"/>
                <w:color w:val="auto"/>
              </w:rPr>
            </w:pPr>
          </w:p>
        </w:tc>
        <w:tc>
          <w:tcPr>
            <w:tcW w:w="38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8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13,595</w:t>
            </w:r>
          </w:p>
        </w:tc>
        <w:tc>
          <w:tcPr>
            <w:tcW w:w="100" w:type="dxa"/>
            <w:vAlign w:val="bottom"/>
            <w:tcBorders>
              <w:bottom w:val="single" w:sz="8" w:color="CCEEFF"/>
            </w:tcBorders>
            <w:shd w:val="clear" w:color="auto" w:fill="CCEEFF"/>
          </w:tcPr>
          <w:p>
            <w:pPr>
              <w:spacing w:after="0"/>
              <w:rPr>
                <w:sz w:val="22"/>
                <w:szCs w:val="22"/>
                <w:color w:val="auto"/>
              </w:rPr>
            </w:pPr>
          </w:p>
        </w:tc>
        <w:tc>
          <w:tcPr>
            <w:tcW w:w="38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8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17,956</w:t>
            </w:r>
          </w:p>
        </w:tc>
        <w:tc>
          <w:tcPr>
            <w:tcW w:w="100" w:type="dxa"/>
            <w:vAlign w:val="bottom"/>
            <w:tcBorders>
              <w:bottom w:val="single" w:sz="8" w:color="CCEEFF"/>
            </w:tcBorders>
            <w:shd w:val="clear" w:color="auto" w:fill="CCEEFF"/>
          </w:tcPr>
          <w:p>
            <w:pPr>
              <w:spacing w:after="0"/>
              <w:rPr>
                <w:sz w:val="22"/>
                <w:szCs w:val="22"/>
                <w:color w:val="auto"/>
              </w:rPr>
            </w:pPr>
          </w:p>
        </w:tc>
        <w:tc>
          <w:tcPr>
            <w:tcW w:w="38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8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17,733</w:t>
            </w:r>
          </w:p>
        </w:tc>
        <w:tc>
          <w:tcPr>
            <w:tcW w:w="0" w:type="dxa"/>
            <w:vAlign w:val="bottom"/>
          </w:tcPr>
          <w:p>
            <w:pPr>
              <w:spacing w:after="0"/>
              <w:rPr>
                <w:sz w:val="1"/>
                <w:szCs w:val="1"/>
                <w:color w:val="auto"/>
              </w:rPr>
            </w:pPr>
          </w:p>
        </w:tc>
      </w:tr>
      <w:tr>
        <w:trPr>
          <w:trHeight w:val="20"/>
        </w:trPr>
        <w:tc>
          <w:tcPr>
            <w:tcW w:w="4960" w:type="dxa"/>
            <w:vAlign w:val="bottom"/>
            <w:tcBorders>
              <w:top w:val="single" w:sz="8" w:color="CCEEFF"/>
              <w:bottom w:val="single" w:sz="8" w:color="CCEEFF"/>
            </w:tcBorders>
            <w:vMerge w:val="restart"/>
          </w:tcPr>
          <w:p>
            <w:pPr>
              <w:ind w:left="20"/>
              <w:spacing w:after="0"/>
              <w:rPr>
                <w:sz w:val="20"/>
                <w:szCs w:val="20"/>
                <w:color w:val="auto"/>
              </w:rPr>
            </w:pPr>
            <w:r>
              <w:rPr>
                <w:rFonts w:ascii="Arial" w:cs="Arial" w:eastAsia="Arial" w:hAnsi="Arial"/>
                <w:sz w:val="18"/>
                <w:szCs w:val="18"/>
                <w:color w:val="auto"/>
              </w:rPr>
              <w:t>Net income per common share:</w:t>
            </w:r>
          </w:p>
        </w:tc>
        <w:tc>
          <w:tcPr>
            <w:tcW w:w="38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4960" w:type="dxa"/>
            <w:vAlign w:val="bottom"/>
            <w:vMerge w:val="continue"/>
          </w:tcPr>
          <w:p>
            <w:pPr>
              <w:spacing w:after="0"/>
              <w:rPr>
                <w:sz w:val="17"/>
                <w:szCs w:val="17"/>
                <w:color w:val="auto"/>
              </w:rPr>
            </w:pPr>
          </w:p>
        </w:tc>
        <w:tc>
          <w:tcPr>
            <w:tcW w:w="38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54"/>
        </w:trPr>
        <w:tc>
          <w:tcPr>
            <w:tcW w:w="4960" w:type="dxa"/>
            <w:vAlign w:val="bottom"/>
          </w:tcPr>
          <w:p>
            <w:pPr>
              <w:spacing w:after="0"/>
              <w:rPr>
                <w:sz w:val="4"/>
                <w:szCs w:val="4"/>
                <w:color w:val="auto"/>
              </w:rPr>
            </w:pPr>
          </w:p>
        </w:tc>
        <w:tc>
          <w:tcPr>
            <w:tcW w:w="380" w:type="dxa"/>
            <w:vAlign w:val="bottom"/>
          </w:tcPr>
          <w:p>
            <w:pPr>
              <w:spacing w:after="0"/>
              <w:rPr>
                <w:sz w:val="4"/>
                <w:szCs w:val="4"/>
                <w:color w:val="auto"/>
              </w:rPr>
            </w:pPr>
          </w:p>
        </w:tc>
        <w:tc>
          <w:tcPr>
            <w:tcW w:w="840" w:type="dxa"/>
            <w:vAlign w:val="bottom"/>
          </w:tcPr>
          <w:p>
            <w:pPr>
              <w:spacing w:after="0"/>
              <w:rPr>
                <w:sz w:val="4"/>
                <w:szCs w:val="4"/>
                <w:color w:val="auto"/>
              </w:rPr>
            </w:pPr>
          </w:p>
        </w:tc>
        <w:tc>
          <w:tcPr>
            <w:tcW w:w="100" w:type="dxa"/>
            <w:vAlign w:val="bottom"/>
          </w:tcPr>
          <w:p>
            <w:pPr>
              <w:spacing w:after="0"/>
              <w:rPr>
                <w:sz w:val="4"/>
                <w:szCs w:val="4"/>
                <w:color w:val="auto"/>
              </w:rPr>
            </w:pPr>
          </w:p>
        </w:tc>
        <w:tc>
          <w:tcPr>
            <w:tcW w:w="380" w:type="dxa"/>
            <w:vAlign w:val="bottom"/>
          </w:tcPr>
          <w:p>
            <w:pPr>
              <w:spacing w:after="0"/>
              <w:rPr>
                <w:sz w:val="4"/>
                <w:szCs w:val="4"/>
                <w:color w:val="auto"/>
              </w:rPr>
            </w:pPr>
          </w:p>
        </w:tc>
        <w:tc>
          <w:tcPr>
            <w:tcW w:w="860" w:type="dxa"/>
            <w:vAlign w:val="bottom"/>
          </w:tcPr>
          <w:p>
            <w:pPr>
              <w:spacing w:after="0"/>
              <w:rPr>
                <w:sz w:val="4"/>
                <w:szCs w:val="4"/>
                <w:color w:val="auto"/>
              </w:rPr>
            </w:pPr>
          </w:p>
        </w:tc>
        <w:tc>
          <w:tcPr>
            <w:tcW w:w="100" w:type="dxa"/>
            <w:vAlign w:val="bottom"/>
          </w:tcPr>
          <w:p>
            <w:pPr>
              <w:spacing w:after="0"/>
              <w:rPr>
                <w:sz w:val="4"/>
                <w:szCs w:val="4"/>
                <w:color w:val="auto"/>
              </w:rPr>
            </w:pPr>
          </w:p>
        </w:tc>
        <w:tc>
          <w:tcPr>
            <w:tcW w:w="380" w:type="dxa"/>
            <w:vAlign w:val="bottom"/>
          </w:tcPr>
          <w:p>
            <w:pPr>
              <w:spacing w:after="0"/>
              <w:rPr>
                <w:sz w:val="4"/>
                <w:szCs w:val="4"/>
                <w:color w:val="auto"/>
              </w:rPr>
            </w:pPr>
          </w:p>
        </w:tc>
        <w:tc>
          <w:tcPr>
            <w:tcW w:w="860" w:type="dxa"/>
            <w:vAlign w:val="bottom"/>
          </w:tcPr>
          <w:p>
            <w:pPr>
              <w:spacing w:after="0"/>
              <w:rPr>
                <w:sz w:val="4"/>
                <w:szCs w:val="4"/>
                <w:color w:val="auto"/>
              </w:rPr>
            </w:pPr>
          </w:p>
        </w:tc>
        <w:tc>
          <w:tcPr>
            <w:tcW w:w="100" w:type="dxa"/>
            <w:vAlign w:val="bottom"/>
          </w:tcPr>
          <w:p>
            <w:pPr>
              <w:spacing w:after="0"/>
              <w:rPr>
                <w:sz w:val="4"/>
                <w:szCs w:val="4"/>
                <w:color w:val="auto"/>
              </w:rPr>
            </w:pPr>
          </w:p>
        </w:tc>
        <w:tc>
          <w:tcPr>
            <w:tcW w:w="380" w:type="dxa"/>
            <w:vAlign w:val="bottom"/>
          </w:tcPr>
          <w:p>
            <w:pPr>
              <w:spacing w:after="0"/>
              <w:rPr>
                <w:sz w:val="4"/>
                <w:szCs w:val="4"/>
                <w:color w:val="auto"/>
              </w:rPr>
            </w:pPr>
          </w:p>
        </w:tc>
        <w:tc>
          <w:tcPr>
            <w:tcW w:w="8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5"/>
        </w:trPr>
        <w:tc>
          <w:tcPr>
            <w:tcW w:w="496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Basic</w:t>
            </w:r>
          </w:p>
        </w:tc>
        <w:tc>
          <w:tcPr>
            <w:tcW w:w="38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color w:val="auto"/>
                <w:w w:val="79"/>
              </w:rPr>
              <w:t>$</w:t>
            </w:r>
          </w:p>
        </w:tc>
        <w:tc>
          <w:tcPr>
            <w:tcW w:w="8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0.25</w:t>
            </w:r>
          </w:p>
        </w:tc>
        <w:tc>
          <w:tcPr>
            <w:tcW w:w="100" w:type="dxa"/>
            <w:vAlign w:val="bottom"/>
            <w:tcBorders>
              <w:bottom w:val="single" w:sz="8" w:color="CCEEFF"/>
            </w:tcBorders>
            <w:shd w:val="clear" w:color="auto" w:fill="CCEEFF"/>
          </w:tcPr>
          <w:p>
            <w:pPr>
              <w:spacing w:after="0"/>
              <w:rPr>
                <w:sz w:val="23"/>
                <w:szCs w:val="23"/>
                <w:color w:val="auto"/>
              </w:rPr>
            </w:pPr>
          </w:p>
        </w:tc>
        <w:tc>
          <w:tcPr>
            <w:tcW w:w="38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8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0.37</w:t>
            </w:r>
          </w:p>
        </w:tc>
        <w:tc>
          <w:tcPr>
            <w:tcW w:w="100" w:type="dxa"/>
            <w:vAlign w:val="bottom"/>
            <w:tcBorders>
              <w:bottom w:val="single" w:sz="8" w:color="CCEEFF"/>
            </w:tcBorders>
            <w:shd w:val="clear" w:color="auto" w:fill="CCEEFF"/>
          </w:tcPr>
          <w:p>
            <w:pPr>
              <w:spacing w:after="0"/>
              <w:rPr>
                <w:sz w:val="23"/>
                <w:szCs w:val="23"/>
                <w:color w:val="auto"/>
              </w:rPr>
            </w:pPr>
          </w:p>
        </w:tc>
        <w:tc>
          <w:tcPr>
            <w:tcW w:w="38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8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0.47</w:t>
            </w:r>
          </w:p>
        </w:tc>
        <w:tc>
          <w:tcPr>
            <w:tcW w:w="100" w:type="dxa"/>
            <w:vAlign w:val="bottom"/>
            <w:tcBorders>
              <w:bottom w:val="single" w:sz="8" w:color="CCEEFF"/>
            </w:tcBorders>
            <w:shd w:val="clear" w:color="auto" w:fill="CCEEFF"/>
          </w:tcPr>
          <w:p>
            <w:pPr>
              <w:spacing w:after="0"/>
              <w:rPr>
                <w:sz w:val="23"/>
                <w:szCs w:val="23"/>
                <w:color w:val="auto"/>
              </w:rPr>
            </w:pPr>
          </w:p>
        </w:tc>
        <w:tc>
          <w:tcPr>
            <w:tcW w:w="38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8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0.48</w:t>
            </w:r>
          </w:p>
        </w:tc>
        <w:tc>
          <w:tcPr>
            <w:tcW w:w="0" w:type="dxa"/>
            <w:vAlign w:val="bottom"/>
          </w:tcPr>
          <w:p>
            <w:pPr>
              <w:spacing w:after="0"/>
              <w:rPr>
                <w:sz w:val="1"/>
                <w:szCs w:val="1"/>
                <w:color w:val="auto"/>
              </w:rPr>
            </w:pPr>
          </w:p>
        </w:tc>
      </w:tr>
      <w:tr>
        <w:trPr>
          <w:trHeight w:val="20"/>
        </w:trPr>
        <w:tc>
          <w:tcPr>
            <w:tcW w:w="4960" w:type="dxa"/>
            <w:vAlign w:val="bottom"/>
            <w:tcBorders>
              <w:top w:val="single" w:sz="8" w:color="CCEEFF"/>
              <w:bottom w:val="single" w:sz="8" w:color="CCEEFF"/>
            </w:tcBorders>
            <w:vMerge w:val="restart"/>
          </w:tcPr>
          <w:p>
            <w:pPr>
              <w:ind w:left="380"/>
              <w:spacing w:after="0"/>
              <w:rPr>
                <w:sz w:val="20"/>
                <w:szCs w:val="20"/>
                <w:color w:val="auto"/>
              </w:rPr>
            </w:pPr>
            <w:r>
              <w:rPr>
                <w:rFonts w:ascii="Arial" w:cs="Arial" w:eastAsia="Arial" w:hAnsi="Arial"/>
                <w:sz w:val="18"/>
                <w:szCs w:val="18"/>
                <w:color w:val="auto"/>
              </w:rPr>
              <w:t>Diluted</w:t>
            </w:r>
          </w:p>
        </w:tc>
        <w:tc>
          <w:tcPr>
            <w:tcW w:w="38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4"/>
        </w:trPr>
        <w:tc>
          <w:tcPr>
            <w:tcW w:w="4960" w:type="dxa"/>
            <w:vAlign w:val="bottom"/>
            <w:vMerge w:val="continue"/>
          </w:tcPr>
          <w:p>
            <w:pPr>
              <w:spacing w:after="0"/>
              <w:rPr>
                <w:sz w:val="19"/>
                <w:szCs w:val="19"/>
                <w:color w:val="auto"/>
              </w:rPr>
            </w:pPr>
          </w:p>
        </w:tc>
        <w:tc>
          <w:tcPr>
            <w:tcW w:w="380" w:type="dxa"/>
            <w:vAlign w:val="bottom"/>
          </w:tcPr>
          <w:p>
            <w:pPr>
              <w:jc w:val="right"/>
              <w:ind w:right="190"/>
              <w:spacing w:after="0"/>
              <w:rPr>
                <w:sz w:val="20"/>
                <w:szCs w:val="20"/>
                <w:color w:val="auto"/>
              </w:rPr>
            </w:pPr>
            <w:r>
              <w:rPr>
                <w:rFonts w:ascii="Arial" w:cs="Arial" w:eastAsia="Arial" w:hAnsi="Arial"/>
                <w:sz w:val="18"/>
                <w:szCs w:val="18"/>
                <w:color w:val="auto"/>
                <w:w w:val="79"/>
              </w:rPr>
              <w:t>$</w:t>
            </w:r>
          </w:p>
        </w:tc>
        <w:tc>
          <w:tcPr>
            <w:tcW w:w="840" w:type="dxa"/>
            <w:vAlign w:val="bottom"/>
          </w:tcPr>
          <w:p>
            <w:pPr>
              <w:jc w:val="right"/>
              <w:ind w:right="10"/>
              <w:spacing w:after="0"/>
              <w:rPr>
                <w:sz w:val="20"/>
                <w:szCs w:val="20"/>
                <w:color w:val="auto"/>
              </w:rPr>
            </w:pPr>
            <w:r>
              <w:rPr>
                <w:rFonts w:ascii="Arial" w:cs="Arial" w:eastAsia="Arial" w:hAnsi="Arial"/>
                <w:sz w:val="18"/>
                <w:szCs w:val="18"/>
                <w:color w:val="auto"/>
              </w:rPr>
              <w:t>0.25</w:t>
            </w:r>
          </w:p>
        </w:tc>
        <w:tc>
          <w:tcPr>
            <w:tcW w:w="100" w:type="dxa"/>
            <w:vAlign w:val="bottom"/>
          </w:tcPr>
          <w:p>
            <w:pPr>
              <w:spacing w:after="0"/>
              <w:rPr>
                <w:sz w:val="19"/>
                <w:szCs w:val="19"/>
                <w:color w:val="auto"/>
              </w:rPr>
            </w:pPr>
          </w:p>
        </w:tc>
        <w:tc>
          <w:tcPr>
            <w:tcW w:w="380" w:type="dxa"/>
            <w:vAlign w:val="bottom"/>
          </w:tcPr>
          <w:p>
            <w:pPr>
              <w:jc w:val="right"/>
              <w:ind w:right="170"/>
              <w:spacing w:after="0"/>
              <w:rPr>
                <w:sz w:val="20"/>
                <w:szCs w:val="20"/>
                <w:color w:val="auto"/>
              </w:rPr>
            </w:pPr>
            <w:r>
              <w:rPr>
                <w:rFonts w:ascii="Arial" w:cs="Arial" w:eastAsia="Arial" w:hAnsi="Arial"/>
                <w:sz w:val="18"/>
                <w:szCs w:val="18"/>
                <w:color w:val="auto"/>
                <w:w w:val="99"/>
              </w:rPr>
              <w:t>$</w:t>
            </w:r>
          </w:p>
        </w:tc>
        <w:tc>
          <w:tcPr>
            <w:tcW w:w="860" w:type="dxa"/>
            <w:vAlign w:val="bottom"/>
          </w:tcPr>
          <w:p>
            <w:pPr>
              <w:jc w:val="right"/>
              <w:ind w:right="10"/>
              <w:spacing w:after="0"/>
              <w:rPr>
                <w:sz w:val="20"/>
                <w:szCs w:val="20"/>
                <w:color w:val="auto"/>
              </w:rPr>
            </w:pPr>
            <w:r>
              <w:rPr>
                <w:rFonts w:ascii="Arial" w:cs="Arial" w:eastAsia="Arial" w:hAnsi="Arial"/>
                <w:sz w:val="18"/>
                <w:szCs w:val="18"/>
                <w:color w:val="auto"/>
              </w:rPr>
              <w:t>0.35</w:t>
            </w:r>
          </w:p>
        </w:tc>
        <w:tc>
          <w:tcPr>
            <w:tcW w:w="100" w:type="dxa"/>
            <w:vAlign w:val="bottom"/>
          </w:tcPr>
          <w:p>
            <w:pPr>
              <w:spacing w:after="0"/>
              <w:rPr>
                <w:sz w:val="19"/>
                <w:szCs w:val="19"/>
                <w:color w:val="auto"/>
              </w:rPr>
            </w:pPr>
          </w:p>
        </w:tc>
        <w:tc>
          <w:tcPr>
            <w:tcW w:w="380" w:type="dxa"/>
            <w:vAlign w:val="bottom"/>
          </w:tcPr>
          <w:p>
            <w:pPr>
              <w:jc w:val="right"/>
              <w:ind w:right="170"/>
              <w:spacing w:after="0"/>
              <w:rPr>
                <w:sz w:val="20"/>
                <w:szCs w:val="20"/>
                <w:color w:val="auto"/>
              </w:rPr>
            </w:pPr>
            <w:r>
              <w:rPr>
                <w:rFonts w:ascii="Arial" w:cs="Arial" w:eastAsia="Arial" w:hAnsi="Arial"/>
                <w:sz w:val="18"/>
                <w:szCs w:val="18"/>
                <w:color w:val="auto"/>
                <w:w w:val="99"/>
              </w:rPr>
              <w:t>$</w:t>
            </w:r>
          </w:p>
        </w:tc>
        <w:tc>
          <w:tcPr>
            <w:tcW w:w="860" w:type="dxa"/>
            <w:vAlign w:val="bottom"/>
          </w:tcPr>
          <w:p>
            <w:pPr>
              <w:jc w:val="right"/>
              <w:ind w:right="10"/>
              <w:spacing w:after="0"/>
              <w:rPr>
                <w:sz w:val="20"/>
                <w:szCs w:val="20"/>
                <w:color w:val="auto"/>
              </w:rPr>
            </w:pPr>
            <w:r>
              <w:rPr>
                <w:rFonts w:ascii="Arial" w:cs="Arial" w:eastAsia="Arial" w:hAnsi="Arial"/>
                <w:sz w:val="18"/>
                <w:szCs w:val="18"/>
                <w:color w:val="auto"/>
              </w:rPr>
              <w:t>0.45</w:t>
            </w:r>
          </w:p>
        </w:tc>
        <w:tc>
          <w:tcPr>
            <w:tcW w:w="100" w:type="dxa"/>
            <w:vAlign w:val="bottom"/>
          </w:tcPr>
          <w:p>
            <w:pPr>
              <w:spacing w:after="0"/>
              <w:rPr>
                <w:sz w:val="19"/>
                <w:szCs w:val="19"/>
                <w:color w:val="auto"/>
              </w:rPr>
            </w:pPr>
          </w:p>
        </w:tc>
        <w:tc>
          <w:tcPr>
            <w:tcW w:w="380" w:type="dxa"/>
            <w:vAlign w:val="bottom"/>
          </w:tcPr>
          <w:p>
            <w:pPr>
              <w:jc w:val="right"/>
              <w:ind w:right="170"/>
              <w:spacing w:after="0"/>
              <w:rPr>
                <w:sz w:val="20"/>
                <w:szCs w:val="20"/>
                <w:color w:val="auto"/>
              </w:rPr>
            </w:pPr>
            <w:r>
              <w:rPr>
                <w:rFonts w:ascii="Arial" w:cs="Arial" w:eastAsia="Arial" w:hAnsi="Arial"/>
                <w:sz w:val="18"/>
                <w:szCs w:val="18"/>
                <w:color w:val="auto"/>
                <w:w w:val="99"/>
              </w:rPr>
              <w:t>$</w:t>
            </w:r>
          </w:p>
        </w:tc>
        <w:tc>
          <w:tcPr>
            <w:tcW w:w="860" w:type="dxa"/>
            <w:vAlign w:val="bottom"/>
          </w:tcPr>
          <w:p>
            <w:pPr>
              <w:jc w:val="right"/>
              <w:ind w:right="10"/>
              <w:spacing w:after="0"/>
              <w:rPr>
                <w:sz w:val="20"/>
                <w:szCs w:val="20"/>
                <w:color w:val="auto"/>
              </w:rPr>
            </w:pPr>
            <w:r>
              <w:rPr>
                <w:rFonts w:ascii="Arial" w:cs="Arial" w:eastAsia="Arial" w:hAnsi="Arial"/>
                <w:sz w:val="18"/>
                <w:szCs w:val="18"/>
                <w:color w:val="auto"/>
              </w:rPr>
              <w:t>0.46</w:t>
            </w:r>
          </w:p>
        </w:tc>
        <w:tc>
          <w:tcPr>
            <w:tcW w:w="0" w:type="dxa"/>
            <w:vAlign w:val="bottom"/>
          </w:tcPr>
          <w:p>
            <w:pPr>
              <w:spacing w:after="0"/>
              <w:rPr>
                <w:sz w:val="1"/>
                <w:szCs w:val="1"/>
                <w:color w:val="auto"/>
              </w:rPr>
            </w:pPr>
          </w:p>
        </w:tc>
      </w:tr>
      <w:tr>
        <w:trPr>
          <w:trHeight w:val="67"/>
        </w:trPr>
        <w:tc>
          <w:tcPr>
            <w:tcW w:w="4960" w:type="dxa"/>
            <w:vAlign w:val="bottom"/>
            <w:tcBorders>
              <w:bottom w:val="single" w:sz="8" w:color="CCEEFF"/>
            </w:tcBorders>
          </w:tcPr>
          <w:p>
            <w:pPr>
              <w:spacing w:after="0"/>
              <w:rPr>
                <w:sz w:val="5"/>
                <w:szCs w:val="5"/>
                <w:color w:val="auto"/>
              </w:rPr>
            </w:pPr>
          </w:p>
        </w:tc>
        <w:tc>
          <w:tcPr>
            <w:tcW w:w="380" w:type="dxa"/>
            <w:vAlign w:val="bottom"/>
            <w:tcBorders>
              <w:bottom w:val="single" w:sz="8" w:color="auto"/>
            </w:tcBorders>
          </w:tcPr>
          <w:p>
            <w:pPr>
              <w:spacing w:after="0"/>
              <w:rPr>
                <w:sz w:val="5"/>
                <w:szCs w:val="5"/>
                <w:color w:val="auto"/>
              </w:rPr>
            </w:pPr>
          </w:p>
        </w:tc>
        <w:tc>
          <w:tcPr>
            <w:tcW w:w="84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380" w:type="dxa"/>
            <w:vAlign w:val="bottom"/>
            <w:tcBorders>
              <w:bottom w:val="single" w:sz="8" w:color="auto"/>
            </w:tcBorders>
          </w:tcPr>
          <w:p>
            <w:pPr>
              <w:spacing w:after="0"/>
              <w:rPr>
                <w:sz w:val="5"/>
                <w:szCs w:val="5"/>
                <w:color w:val="auto"/>
              </w:rPr>
            </w:pPr>
          </w:p>
        </w:tc>
        <w:tc>
          <w:tcPr>
            <w:tcW w:w="86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380" w:type="dxa"/>
            <w:vAlign w:val="bottom"/>
            <w:tcBorders>
              <w:bottom w:val="single" w:sz="8" w:color="auto"/>
            </w:tcBorders>
          </w:tcPr>
          <w:p>
            <w:pPr>
              <w:spacing w:after="0"/>
              <w:rPr>
                <w:sz w:val="5"/>
                <w:szCs w:val="5"/>
                <w:color w:val="auto"/>
              </w:rPr>
            </w:pPr>
          </w:p>
        </w:tc>
        <w:tc>
          <w:tcPr>
            <w:tcW w:w="86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380" w:type="dxa"/>
            <w:vAlign w:val="bottom"/>
            <w:tcBorders>
              <w:bottom w:val="single" w:sz="8" w:color="auto"/>
            </w:tcBorders>
          </w:tcPr>
          <w:p>
            <w:pPr>
              <w:spacing w:after="0"/>
              <w:rPr>
                <w:sz w:val="5"/>
                <w:szCs w:val="5"/>
                <w:color w:val="auto"/>
              </w:rPr>
            </w:pPr>
          </w:p>
        </w:tc>
        <w:tc>
          <w:tcPr>
            <w:tcW w:w="86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31"/>
        </w:trPr>
        <w:tc>
          <w:tcPr>
            <w:tcW w:w="4960" w:type="dxa"/>
            <w:vAlign w:val="bottom"/>
            <w:tcBorders>
              <w:bottom w:val="single" w:sz="8" w:color="CCEEFF"/>
            </w:tcBorders>
            <w:shd w:val="clear" w:color="auto" w:fill="CCEEFF"/>
          </w:tcPr>
          <w:p>
            <w:pPr>
              <w:ind w:left="20"/>
              <w:spacing w:after="0" w:line="196" w:lineRule="exact"/>
              <w:rPr>
                <w:sz w:val="20"/>
                <w:szCs w:val="20"/>
                <w:color w:val="auto"/>
              </w:rPr>
            </w:pPr>
            <w:r>
              <w:rPr>
                <w:rFonts w:ascii="Arial" w:cs="Arial" w:eastAsia="Arial" w:hAnsi="Arial"/>
                <w:sz w:val="18"/>
                <w:szCs w:val="18"/>
                <w:color w:val="auto"/>
              </w:rPr>
              <w:t>Weighted-average common shares outstanding:</w:t>
            </w:r>
          </w:p>
        </w:tc>
        <w:tc>
          <w:tcPr>
            <w:tcW w:w="380" w:type="dxa"/>
            <w:vAlign w:val="bottom"/>
            <w:tcBorders>
              <w:bottom w:val="single" w:sz="8" w:color="CCEEFF"/>
            </w:tcBorders>
            <w:shd w:val="clear" w:color="auto" w:fill="CCEEFF"/>
          </w:tcPr>
          <w:p>
            <w:pPr>
              <w:spacing w:after="0"/>
              <w:rPr>
                <w:sz w:val="20"/>
                <w:szCs w:val="20"/>
                <w:color w:val="auto"/>
              </w:rPr>
            </w:pPr>
          </w:p>
        </w:tc>
        <w:tc>
          <w:tcPr>
            <w:tcW w:w="84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380" w:type="dxa"/>
            <w:vAlign w:val="bottom"/>
            <w:tcBorders>
              <w:bottom w:val="single" w:sz="8" w:color="CCEEFF"/>
            </w:tcBorders>
            <w:shd w:val="clear" w:color="auto" w:fill="CCEEFF"/>
          </w:tcPr>
          <w:p>
            <w:pPr>
              <w:spacing w:after="0"/>
              <w:rPr>
                <w:sz w:val="20"/>
                <w:szCs w:val="20"/>
                <w:color w:val="auto"/>
              </w:rPr>
            </w:pPr>
          </w:p>
        </w:tc>
        <w:tc>
          <w:tcPr>
            <w:tcW w:w="86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380" w:type="dxa"/>
            <w:vAlign w:val="bottom"/>
            <w:tcBorders>
              <w:bottom w:val="single" w:sz="8" w:color="CCEEFF"/>
            </w:tcBorders>
            <w:shd w:val="clear" w:color="auto" w:fill="CCEEFF"/>
          </w:tcPr>
          <w:p>
            <w:pPr>
              <w:spacing w:after="0"/>
              <w:rPr>
                <w:sz w:val="20"/>
                <w:szCs w:val="20"/>
                <w:color w:val="auto"/>
              </w:rPr>
            </w:pPr>
          </w:p>
        </w:tc>
        <w:tc>
          <w:tcPr>
            <w:tcW w:w="86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380" w:type="dxa"/>
            <w:vAlign w:val="bottom"/>
            <w:tcBorders>
              <w:bottom w:val="single" w:sz="8" w:color="CCEEFF"/>
            </w:tcBorders>
            <w:shd w:val="clear" w:color="auto" w:fill="CCEEFF"/>
          </w:tcPr>
          <w:p>
            <w:pPr>
              <w:spacing w:after="0"/>
              <w:rPr>
                <w:sz w:val="20"/>
                <w:szCs w:val="20"/>
                <w:color w:val="auto"/>
              </w:rPr>
            </w:pPr>
          </w:p>
        </w:tc>
        <w:tc>
          <w:tcPr>
            <w:tcW w:w="86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4960" w:type="dxa"/>
            <w:vAlign w:val="bottom"/>
          </w:tcPr>
          <w:p>
            <w:pPr>
              <w:ind w:left="380"/>
              <w:spacing w:after="0"/>
              <w:rPr>
                <w:sz w:val="20"/>
                <w:szCs w:val="20"/>
                <w:color w:val="auto"/>
              </w:rPr>
            </w:pPr>
            <w:r>
              <w:rPr>
                <w:rFonts w:ascii="Arial" w:cs="Arial" w:eastAsia="Arial" w:hAnsi="Arial"/>
                <w:sz w:val="18"/>
                <w:szCs w:val="18"/>
                <w:color w:val="auto"/>
              </w:rPr>
              <w:t>Basic</w:t>
            </w:r>
          </w:p>
        </w:tc>
        <w:tc>
          <w:tcPr>
            <w:tcW w:w="380" w:type="dxa"/>
            <w:vAlign w:val="bottom"/>
          </w:tcPr>
          <w:p>
            <w:pPr>
              <w:spacing w:after="0"/>
              <w:rPr>
                <w:sz w:val="21"/>
                <w:szCs w:val="21"/>
                <w:color w:val="auto"/>
              </w:rPr>
            </w:pPr>
          </w:p>
        </w:tc>
        <w:tc>
          <w:tcPr>
            <w:tcW w:w="840" w:type="dxa"/>
            <w:vAlign w:val="bottom"/>
          </w:tcPr>
          <w:p>
            <w:pPr>
              <w:jc w:val="right"/>
              <w:ind w:right="10"/>
              <w:spacing w:after="0"/>
              <w:rPr>
                <w:sz w:val="20"/>
                <w:szCs w:val="20"/>
                <w:color w:val="auto"/>
              </w:rPr>
            </w:pPr>
            <w:r>
              <w:rPr>
                <w:rFonts w:ascii="Arial" w:cs="Arial" w:eastAsia="Arial" w:hAnsi="Arial"/>
                <w:sz w:val="18"/>
                <w:szCs w:val="18"/>
                <w:color w:val="auto"/>
              </w:rPr>
              <w:t>38,233</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860" w:type="dxa"/>
            <w:vAlign w:val="bottom"/>
          </w:tcPr>
          <w:p>
            <w:pPr>
              <w:jc w:val="right"/>
              <w:ind w:right="10"/>
              <w:spacing w:after="0"/>
              <w:rPr>
                <w:sz w:val="20"/>
                <w:szCs w:val="20"/>
                <w:color w:val="auto"/>
              </w:rPr>
            </w:pPr>
            <w:r>
              <w:rPr>
                <w:rFonts w:ascii="Arial" w:cs="Arial" w:eastAsia="Arial" w:hAnsi="Arial"/>
                <w:sz w:val="18"/>
                <w:szCs w:val="18"/>
                <w:color w:val="auto"/>
              </w:rPr>
              <w:t>37,235</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860" w:type="dxa"/>
            <w:vAlign w:val="bottom"/>
          </w:tcPr>
          <w:p>
            <w:pPr>
              <w:jc w:val="right"/>
              <w:ind w:right="10"/>
              <w:spacing w:after="0"/>
              <w:rPr>
                <w:sz w:val="20"/>
                <w:szCs w:val="20"/>
                <w:color w:val="auto"/>
              </w:rPr>
            </w:pPr>
            <w:r>
              <w:rPr>
                <w:rFonts w:ascii="Arial" w:cs="Arial" w:eastAsia="Arial" w:hAnsi="Arial"/>
                <w:sz w:val="18"/>
                <w:szCs w:val="18"/>
                <w:color w:val="auto"/>
              </w:rPr>
              <w:t>38,060</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860" w:type="dxa"/>
            <w:vAlign w:val="bottom"/>
          </w:tcPr>
          <w:p>
            <w:pPr>
              <w:jc w:val="right"/>
              <w:ind w:right="10"/>
              <w:spacing w:after="0"/>
              <w:rPr>
                <w:sz w:val="20"/>
                <w:szCs w:val="20"/>
                <w:color w:val="auto"/>
              </w:rPr>
            </w:pPr>
            <w:r>
              <w:rPr>
                <w:rFonts w:ascii="Arial" w:cs="Arial" w:eastAsia="Arial" w:hAnsi="Arial"/>
                <w:sz w:val="18"/>
                <w:szCs w:val="18"/>
                <w:color w:val="auto"/>
              </w:rPr>
              <w:t>37,063</w:t>
            </w:r>
          </w:p>
        </w:tc>
        <w:tc>
          <w:tcPr>
            <w:tcW w:w="0" w:type="dxa"/>
            <w:vAlign w:val="bottom"/>
          </w:tcPr>
          <w:p>
            <w:pPr>
              <w:spacing w:after="0"/>
              <w:rPr>
                <w:sz w:val="1"/>
                <w:szCs w:val="1"/>
                <w:color w:val="auto"/>
              </w:rPr>
            </w:pPr>
          </w:p>
        </w:tc>
      </w:tr>
      <w:tr>
        <w:trPr>
          <w:trHeight w:val="67"/>
        </w:trPr>
        <w:tc>
          <w:tcPr>
            <w:tcW w:w="4960" w:type="dxa"/>
            <w:vAlign w:val="bottom"/>
            <w:tcBorders>
              <w:bottom w:val="single" w:sz="8" w:color="CCEEFF"/>
            </w:tcBorders>
          </w:tcPr>
          <w:p>
            <w:pPr>
              <w:spacing w:after="0"/>
              <w:rPr>
                <w:sz w:val="5"/>
                <w:szCs w:val="5"/>
                <w:color w:val="auto"/>
              </w:rPr>
            </w:pPr>
          </w:p>
        </w:tc>
        <w:tc>
          <w:tcPr>
            <w:tcW w:w="380" w:type="dxa"/>
            <w:vAlign w:val="bottom"/>
            <w:tcBorders>
              <w:bottom w:val="single" w:sz="8" w:color="auto"/>
            </w:tcBorders>
          </w:tcPr>
          <w:p>
            <w:pPr>
              <w:spacing w:after="0"/>
              <w:rPr>
                <w:sz w:val="5"/>
                <w:szCs w:val="5"/>
                <w:color w:val="auto"/>
              </w:rPr>
            </w:pPr>
          </w:p>
        </w:tc>
        <w:tc>
          <w:tcPr>
            <w:tcW w:w="84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380" w:type="dxa"/>
            <w:vAlign w:val="bottom"/>
            <w:tcBorders>
              <w:bottom w:val="single" w:sz="8" w:color="auto"/>
            </w:tcBorders>
          </w:tcPr>
          <w:p>
            <w:pPr>
              <w:spacing w:after="0"/>
              <w:rPr>
                <w:sz w:val="5"/>
                <w:szCs w:val="5"/>
                <w:color w:val="auto"/>
              </w:rPr>
            </w:pPr>
          </w:p>
        </w:tc>
        <w:tc>
          <w:tcPr>
            <w:tcW w:w="86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380" w:type="dxa"/>
            <w:vAlign w:val="bottom"/>
            <w:tcBorders>
              <w:bottom w:val="single" w:sz="8" w:color="auto"/>
            </w:tcBorders>
          </w:tcPr>
          <w:p>
            <w:pPr>
              <w:spacing w:after="0"/>
              <w:rPr>
                <w:sz w:val="5"/>
                <w:szCs w:val="5"/>
                <w:color w:val="auto"/>
              </w:rPr>
            </w:pPr>
          </w:p>
        </w:tc>
        <w:tc>
          <w:tcPr>
            <w:tcW w:w="86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380" w:type="dxa"/>
            <w:vAlign w:val="bottom"/>
            <w:tcBorders>
              <w:bottom w:val="single" w:sz="8" w:color="auto"/>
            </w:tcBorders>
          </w:tcPr>
          <w:p>
            <w:pPr>
              <w:spacing w:after="0"/>
              <w:rPr>
                <w:sz w:val="5"/>
                <w:szCs w:val="5"/>
                <w:color w:val="auto"/>
              </w:rPr>
            </w:pPr>
          </w:p>
        </w:tc>
        <w:tc>
          <w:tcPr>
            <w:tcW w:w="86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6"/>
        </w:trPr>
        <w:tc>
          <w:tcPr>
            <w:tcW w:w="4960" w:type="dxa"/>
            <w:vAlign w:val="bottom"/>
            <w:tcBorders>
              <w:bottom w:val="single" w:sz="8" w:color="CCEEFF"/>
            </w:tcBorders>
            <w:shd w:val="clear" w:color="auto" w:fill="CCEEFF"/>
          </w:tcPr>
          <w:p>
            <w:pPr>
              <w:ind w:left="380"/>
              <w:spacing w:after="0" w:line="196" w:lineRule="exact"/>
              <w:rPr>
                <w:sz w:val="20"/>
                <w:szCs w:val="20"/>
                <w:color w:val="auto"/>
              </w:rPr>
            </w:pPr>
            <w:r>
              <w:rPr>
                <w:rFonts w:ascii="Arial" w:cs="Arial" w:eastAsia="Arial" w:hAnsi="Arial"/>
                <w:sz w:val="18"/>
                <w:szCs w:val="18"/>
                <w:color w:val="auto"/>
              </w:rPr>
              <w:t>Diluted</w:t>
            </w:r>
          </w:p>
        </w:tc>
        <w:tc>
          <w:tcPr>
            <w:tcW w:w="380" w:type="dxa"/>
            <w:vAlign w:val="bottom"/>
            <w:tcBorders>
              <w:bottom w:val="single" w:sz="8" w:color="CCEEFF"/>
            </w:tcBorders>
            <w:shd w:val="clear" w:color="auto" w:fill="CCEEFF"/>
          </w:tcPr>
          <w:p>
            <w:pPr>
              <w:spacing w:after="0"/>
              <w:rPr>
                <w:sz w:val="21"/>
                <w:szCs w:val="21"/>
                <w:color w:val="auto"/>
              </w:rPr>
            </w:pPr>
          </w:p>
        </w:tc>
        <w:tc>
          <w:tcPr>
            <w:tcW w:w="8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39,398</w:t>
            </w:r>
          </w:p>
        </w:tc>
        <w:tc>
          <w:tcPr>
            <w:tcW w:w="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38,900</w:t>
            </w:r>
          </w:p>
        </w:tc>
        <w:tc>
          <w:tcPr>
            <w:tcW w:w="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39,468</w:t>
            </w:r>
          </w:p>
        </w:tc>
        <w:tc>
          <w:tcPr>
            <w:tcW w:w="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38,726</w:t>
            </w:r>
          </w:p>
        </w:tc>
        <w:tc>
          <w:tcPr>
            <w:tcW w:w="0" w:type="dxa"/>
            <w:vAlign w:val="bottom"/>
          </w:tcPr>
          <w:p>
            <w:pPr>
              <w:spacing w:after="0"/>
              <w:rPr>
                <w:sz w:val="1"/>
                <w:szCs w:val="1"/>
                <w:color w:val="auto"/>
              </w:rPr>
            </w:pPr>
          </w:p>
        </w:tc>
      </w:tr>
      <w:tr>
        <w:trPr>
          <w:trHeight w:val="20"/>
        </w:trPr>
        <w:tc>
          <w:tcPr>
            <w:tcW w:w="496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45"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Page 4 of 10</w:t>
      </w:r>
    </w:p>
    <w:p>
      <w:pPr>
        <w:sectPr>
          <w:pgSz w:w="11900" w:h="16838" w:orient="portrait"/>
          <w:cols w:equalWidth="0" w:num="1">
            <w:col w:w="10200"/>
          </w:cols>
          <w:pgMar w:left="860" w:top="850" w:right="839" w:bottom="1440" w:gutter="0" w:footer="0" w:header="0"/>
          <w:type w:val="continuous"/>
        </w:sectPr>
      </w:pPr>
    </w:p>
    <w:bookmarkStart w:id="8" w:name="page9"/>
    <w:bookmarkEnd w:id="8"/>
    <w:p>
      <w:pPr>
        <w:ind w:left="3860"/>
        <w:spacing w:after="0"/>
        <w:rPr>
          <w:sz w:val="20"/>
          <w:szCs w:val="20"/>
          <w:color w:val="auto"/>
        </w:rPr>
      </w:pPr>
      <w:r>
        <w:rPr>
          <w:rFonts w:ascii="Arial" w:cs="Arial" w:eastAsia="Arial" w:hAnsi="Arial"/>
          <w:sz w:val="18"/>
          <w:szCs w:val="18"/>
          <w:b w:val="1"/>
          <w:bCs w:val="1"/>
          <w:color w:val="auto"/>
        </w:rPr>
        <w:t>Lantheus Holdings, Inc.</w:t>
      </w:r>
    </w:p>
    <w:p>
      <w:pPr>
        <w:spacing w:after="0" w:line="117" w:lineRule="exact"/>
        <w:rPr>
          <w:sz w:val="20"/>
          <w:szCs w:val="20"/>
          <w:color w:val="auto"/>
        </w:rPr>
      </w:pPr>
    </w:p>
    <w:p>
      <w:pPr>
        <w:ind w:left="3180"/>
        <w:spacing w:after="0"/>
        <w:rPr>
          <w:sz w:val="20"/>
          <w:szCs w:val="20"/>
          <w:color w:val="auto"/>
        </w:rPr>
      </w:pPr>
      <w:r>
        <w:rPr>
          <w:rFonts w:ascii="Arial" w:cs="Arial" w:eastAsia="Arial" w:hAnsi="Arial"/>
          <w:sz w:val="18"/>
          <w:szCs w:val="18"/>
          <w:b w:val="1"/>
          <w:bCs w:val="1"/>
          <w:color w:val="auto"/>
        </w:rPr>
        <w:t>Consolidated Segment Revenues Analysis</w:t>
      </w:r>
    </w:p>
    <w:p>
      <w:pPr>
        <w:spacing w:after="0" w:line="6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(in thousands – unaudited)</w:t>
      </w:r>
    </w:p>
    <w:p>
      <w:pPr>
        <w:spacing w:after="0" w:line="200" w:lineRule="exact"/>
        <w:rPr>
          <w:sz w:val="20"/>
          <w:szCs w:val="20"/>
          <w:color w:val="auto"/>
        </w:rPr>
      </w:pPr>
    </w:p>
    <w:p>
      <w:pPr>
        <w:spacing w:after="0" w:line="399"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6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220" w:type="dxa"/>
            <w:vAlign w:val="bottom"/>
            <w:gridSpan w:val="7"/>
          </w:tcPr>
          <w:p>
            <w:pPr>
              <w:jc w:val="center"/>
              <w:ind w:right="380"/>
              <w:spacing w:after="0"/>
              <w:rPr>
                <w:sz w:val="20"/>
                <w:szCs w:val="20"/>
                <w:color w:val="auto"/>
              </w:rPr>
            </w:pPr>
            <w:r>
              <w:rPr>
                <w:rFonts w:ascii="Arial" w:cs="Arial" w:eastAsia="Arial" w:hAnsi="Arial"/>
                <w:sz w:val="18"/>
                <w:szCs w:val="18"/>
                <w:b w:val="1"/>
                <w:bCs w:val="1"/>
                <w:color w:val="auto"/>
                <w:w w:val="92"/>
              </w:rPr>
              <w:t>Three Months Ended</w:t>
            </w:r>
          </w:p>
        </w:tc>
        <w:tc>
          <w:tcPr>
            <w:tcW w:w="2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540" w:type="dxa"/>
            <w:vAlign w:val="bottom"/>
            <w:gridSpan w:val="6"/>
          </w:tcPr>
          <w:p>
            <w:pPr>
              <w:jc w:val="center"/>
              <w:ind w:right="40"/>
              <w:spacing w:after="0"/>
              <w:rPr>
                <w:sz w:val="20"/>
                <w:szCs w:val="20"/>
                <w:color w:val="auto"/>
              </w:rPr>
            </w:pPr>
            <w:r>
              <w:rPr>
                <w:rFonts w:ascii="Arial" w:cs="Arial" w:eastAsia="Arial" w:hAnsi="Arial"/>
                <w:sz w:val="18"/>
                <w:szCs w:val="18"/>
                <w:b w:val="1"/>
                <w:bCs w:val="1"/>
                <w:color w:val="auto"/>
                <w:w w:val="90"/>
              </w:rPr>
              <w:t>Six Months Ended</w:t>
            </w:r>
          </w:p>
        </w:tc>
        <w:tc>
          <w:tcPr>
            <w:tcW w:w="940" w:type="dxa"/>
            <w:vAlign w:val="bottom"/>
          </w:tcPr>
          <w:p>
            <w:pPr>
              <w:spacing w:after="0"/>
              <w:rPr>
                <w:sz w:val="18"/>
                <w:szCs w:val="18"/>
                <w:color w:val="auto"/>
              </w:rPr>
            </w:pPr>
          </w:p>
        </w:tc>
      </w:tr>
      <w:tr>
        <w:trPr>
          <w:trHeight w:val="234"/>
        </w:trPr>
        <w:tc>
          <w:tcPr>
            <w:tcW w:w="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6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92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88"/>
              </w:rPr>
              <w:t>June 30,</w:t>
            </w:r>
          </w:p>
        </w:tc>
        <w:tc>
          <w:tcPr>
            <w:tcW w:w="11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160" w:type="dxa"/>
            <w:vAlign w:val="bottom"/>
            <w:gridSpan w:val="3"/>
          </w:tcPr>
          <w:p>
            <w:pPr>
              <w:jc w:val="center"/>
              <w:ind w:right="360"/>
              <w:spacing w:after="0"/>
              <w:rPr>
                <w:sz w:val="20"/>
                <w:szCs w:val="20"/>
                <w:color w:val="auto"/>
              </w:rPr>
            </w:pPr>
            <w:r>
              <w:rPr>
                <w:rFonts w:ascii="Arial" w:cs="Arial" w:eastAsia="Arial" w:hAnsi="Arial"/>
                <w:sz w:val="18"/>
                <w:szCs w:val="18"/>
                <w:b w:val="1"/>
                <w:bCs w:val="1"/>
                <w:color w:val="auto"/>
                <w:w w:val="88"/>
              </w:rPr>
              <w:t>June 30,</w:t>
            </w:r>
          </w:p>
        </w:tc>
        <w:tc>
          <w:tcPr>
            <w:tcW w:w="940" w:type="dxa"/>
            <w:vAlign w:val="bottom"/>
          </w:tcPr>
          <w:p>
            <w:pPr>
              <w:spacing w:after="0"/>
              <w:rPr>
                <w:sz w:val="20"/>
                <w:szCs w:val="20"/>
                <w:color w:val="auto"/>
              </w:rPr>
            </w:pPr>
          </w:p>
        </w:tc>
      </w:tr>
      <w:tr>
        <w:trPr>
          <w:trHeight w:val="27"/>
        </w:trPr>
        <w:tc>
          <w:tcPr>
            <w:tcW w:w="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60" w:type="dxa"/>
            <w:vAlign w:val="bottom"/>
          </w:tcPr>
          <w:p>
            <w:pPr>
              <w:spacing w:after="0"/>
              <w:rPr>
                <w:sz w:val="2"/>
                <w:szCs w:val="2"/>
                <w:color w:val="auto"/>
              </w:rPr>
            </w:pPr>
          </w:p>
        </w:tc>
        <w:tc>
          <w:tcPr>
            <w:tcW w:w="164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r>
      <w:tr>
        <w:trPr>
          <w:trHeight w:val="218"/>
        </w:trPr>
        <w:tc>
          <w:tcPr>
            <w:tcW w:w="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6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60" w:type="dxa"/>
            <w:vAlign w:val="bottom"/>
            <w:gridSpan w:val="2"/>
          </w:tcPr>
          <w:p>
            <w:pPr>
              <w:ind w:left="280"/>
              <w:spacing w:after="0"/>
              <w:rPr>
                <w:sz w:val="20"/>
                <w:szCs w:val="20"/>
                <w:color w:val="auto"/>
              </w:rPr>
            </w:pPr>
            <w:r>
              <w:rPr>
                <w:rFonts w:ascii="Arial" w:cs="Arial" w:eastAsia="Arial" w:hAnsi="Arial"/>
                <w:sz w:val="18"/>
                <w:szCs w:val="18"/>
                <w:b w:val="1"/>
                <w:bCs w:val="1"/>
                <w:color w:val="auto"/>
              </w:rPr>
              <w:t>Change</w:t>
            </w:r>
          </w:p>
        </w:tc>
        <w:tc>
          <w:tcPr>
            <w:tcW w:w="2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40" w:type="dxa"/>
            <w:vAlign w:val="bottom"/>
          </w:tcPr>
          <w:p>
            <w:pPr>
              <w:jc w:val="right"/>
              <w:ind w:right="190"/>
              <w:spacing w:after="0"/>
              <w:rPr>
                <w:sz w:val="20"/>
                <w:szCs w:val="20"/>
                <w:color w:val="auto"/>
              </w:rPr>
            </w:pPr>
            <w:r>
              <w:rPr>
                <w:rFonts w:ascii="Arial" w:cs="Arial" w:eastAsia="Arial" w:hAnsi="Arial"/>
                <w:sz w:val="18"/>
                <w:szCs w:val="18"/>
                <w:b w:val="1"/>
                <w:bCs w:val="1"/>
                <w:color w:val="auto"/>
                <w:w w:val="96"/>
              </w:rPr>
              <w:t>Change</w:t>
            </w:r>
          </w:p>
        </w:tc>
      </w:tr>
      <w:tr>
        <w:trPr>
          <w:trHeight w:val="234"/>
        </w:trPr>
        <w:tc>
          <w:tcPr>
            <w:tcW w:w="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6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720" w:type="dxa"/>
            <w:vAlign w:val="bottom"/>
          </w:tcPr>
          <w:p>
            <w:pPr>
              <w:jc w:val="right"/>
              <w:ind w:right="150"/>
              <w:spacing w:after="0"/>
              <w:rPr>
                <w:sz w:val="20"/>
                <w:szCs w:val="20"/>
                <w:color w:val="auto"/>
              </w:rPr>
            </w:pPr>
            <w:r>
              <w:rPr>
                <w:rFonts w:ascii="Arial" w:cs="Arial" w:eastAsia="Arial" w:hAnsi="Arial"/>
                <w:sz w:val="18"/>
                <w:szCs w:val="18"/>
                <w:b w:val="1"/>
                <w:bCs w:val="1"/>
                <w:color w:val="auto"/>
              </w:rPr>
              <w:t>2018</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00" w:type="dxa"/>
            <w:vAlign w:val="bottom"/>
          </w:tcPr>
          <w:p>
            <w:pPr>
              <w:jc w:val="center"/>
              <w:spacing w:after="0"/>
              <w:rPr>
                <w:sz w:val="20"/>
                <w:szCs w:val="20"/>
                <w:color w:val="auto"/>
              </w:rPr>
            </w:pPr>
            <w:r>
              <w:rPr>
                <w:rFonts w:ascii="Arial" w:cs="Arial" w:eastAsia="Arial" w:hAnsi="Arial"/>
                <w:sz w:val="18"/>
                <w:szCs w:val="18"/>
                <w:b w:val="1"/>
                <w:bCs w:val="1"/>
                <w:color w:val="auto"/>
                <w:w w:val="89"/>
              </w:rPr>
              <w:t>2017</w:t>
            </w:r>
          </w:p>
        </w:tc>
        <w:tc>
          <w:tcPr>
            <w:tcW w:w="120" w:type="dxa"/>
            <w:vAlign w:val="bottom"/>
          </w:tcPr>
          <w:p>
            <w:pPr>
              <w:spacing w:after="0"/>
              <w:rPr>
                <w:sz w:val="20"/>
                <w:szCs w:val="20"/>
                <w:color w:val="auto"/>
              </w:rPr>
            </w:pPr>
          </w:p>
        </w:tc>
        <w:tc>
          <w:tcPr>
            <w:tcW w:w="1140" w:type="dxa"/>
            <w:vAlign w:val="bottom"/>
          </w:tcPr>
          <w:p>
            <w:pPr>
              <w:jc w:val="right"/>
              <w:ind w:right="390"/>
              <w:spacing w:after="0"/>
              <w:rPr>
                <w:sz w:val="20"/>
                <w:szCs w:val="20"/>
                <w:color w:val="auto"/>
              </w:rPr>
            </w:pPr>
            <w:r>
              <w:rPr>
                <w:rFonts w:ascii="Arial" w:cs="Arial" w:eastAsia="Arial" w:hAnsi="Arial"/>
                <w:sz w:val="18"/>
                <w:szCs w:val="18"/>
                <w:b w:val="1"/>
                <w:bCs w:val="1"/>
                <w:color w:val="auto"/>
              </w:rPr>
              <w:t>%</w:t>
            </w:r>
          </w:p>
        </w:tc>
        <w:tc>
          <w:tcPr>
            <w:tcW w:w="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40" w:type="dxa"/>
            <w:vAlign w:val="bottom"/>
          </w:tcPr>
          <w:p>
            <w:pPr>
              <w:jc w:val="right"/>
              <w:ind w:right="110"/>
              <w:spacing w:after="0"/>
              <w:rPr>
                <w:sz w:val="20"/>
                <w:szCs w:val="20"/>
                <w:color w:val="auto"/>
              </w:rPr>
            </w:pPr>
            <w:r>
              <w:rPr>
                <w:rFonts w:ascii="Arial" w:cs="Arial" w:eastAsia="Arial" w:hAnsi="Arial"/>
                <w:sz w:val="18"/>
                <w:szCs w:val="18"/>
                <w:b w:val="1"/>
                <w:bCs w:val="1"/>
                <w:color w:val="auto"/>
              </w:rPr>
              <w:t>2018</w:t>
            </w: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60" w:type="dxa"/>
            <w:vAlign w:val="bottom"/>
          </w:tcPr>
          <w:p>
            <w:pPr>
              <w:jc w:val="center"/>
              <w:spacing w:after="0"/>
              <w:rPr>
                <w:sz w:val="20"/>
                <w:szCs w:val="20"/>
                <w:color w:val="auto"/>
              </w:rPr>
            </w:pPr>
            <w:r>
              <w:rPr>
                <w:rFonts w:ascii="Arial" w:cs="Arial" w:eastAsia="Arial" w:hAnsi="Arial"/>
                <w:sz w:val="18"/>
                <w:szCs w:val="18"/>
                <w:b w:val="1"/>
                <w:bCs w:val="1"/>
                <w:color w:val="auto"/>
                <w:w w:val="89"/>
              </w:rPr>
              <w:t>2017</w:t>
            </w: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940" w:type="dxa"/>
            <w:vAlign w:val="bottom"/>
          </w:tcPr>
          <w:p>
            <w:pPr>
              <w:jc w:val="right"/>
              <w:ind w:right="390"/>
              <w:spacing w:after="0"/>
              <w:rPr>
                <w:sz w:val="20"/>
                <w:szCs w:val="20"/>
                <w:color w:val="auto"/>
              </w:rPr>
            </w:pPr>
            <w:r>
              <w:rPr>
                <w:rFonts w:ascii="Arial" w:cs="Arial" w:eastAsia="Arial" w:hAnsi="Arial"/>
                <w:sz w:val="18"/>
                <w:szCs w:val="18"/>
                <w:b w:val="1"/>
                <w:bCs w:val="1"/>
                <w:color w:val="auto"/>
              </w:rPr>
              <w:t>%</w:t>
            </w:r>
          </w:p>
        </w:tc>
      </w:tr>
      <w:tr>
        <w:trPr>
          <w:trHeight w:val="27"/>
        </w:trPr>
        <w:tc>
          <w:tcPr>
            <w:tcW w:w="20" w:type="dxa"/>
            <w:vAlign w:val="bottom"/>
            <w:tcBorders>
              <w:bottom w:val="single" w:sz="8" w:color="CCEEFF"/>
            </w:tcBorders>
          </w:tcPr>
          <w:p>
            <w:pPr>
              <w:spacing w:after="0"/>
              <w:rPr>
                <w:sz w:val="2"/>
                <w:szCs w:val="2"/>
                <w:color w:val="auto"/>
              </w:rPr>
            </w:pPr>
          </w:p>
        </w:tc>
        <w:tc>
          <w:tcPr>
            <w:tcW w:w="80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60" w:type="dxa"/>
            <w:vAlign w:val="bottom"/>
            <w:tcBorders>
              <w:bottom w:val="single" w:sz="8" w:color="CCEEFF"/>
            </w:tcBorders>
          </w:tcPr>
          <w:p>
            <w:pPr>
              <w:spacing w:after="0"/>
              <w:rPr>
                <w:sz w:val="2"/>
                <w:szCs w:val="2"/>
                <w:color w:val="auto"/>
              </w:rPr>
            </w:pPr>
          </w:p>
        </w:tc>
        <w:tc>
          <w:tcPr>
            <w:tcW w:w="164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r>
      <w:tr>
        <w:trPr>
          <w:trHeight w:val="244"/>
        </w:trPr>
        <w:tc>
          <w:tcPr>
            <w:tcW w:w="2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auto"/>
            </w:tcBorders>
            <w:gridSpan w:val="3"/>
            <w:shd w:val="clear" w:color="auto" w:fill="CCEEFF"/>
          </w:tcPr>
          <w:p>
            <w:pPr>
              <w:spacing w:after="0" w:line="196" w:lineRule="exact"/>
              <w:rPr>
                <w:sz w:val="20"/>
                <w:szCs w:val="20"/>
                <w:color w:val="auto"/>
              </w:rPr>
            </w:pPr>
            <w:r>
              <w:rPr>
                <w:rFonts w:ascii="Arial" w:cs="Arial" w:eastAsia="Arial" w:hAnsi="Arial"/>
                <w:sz w:val="18"/>
                <w:szCs w:val="18"/>
                <w:color w:val="auto"/>
                <w:w w:val="88"/>
              </w:rPr>
              <w:t>United States</w:t>
            </w:r>
          </w:p>
        </w:tc>
        <w:tc>
          <w:tcPr>
            <w:tcW w:w="164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7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spacing w:after="0"/>
              <w:rPr>
                <w:sz w:val="21"/>
                <w:szCs w:val="21"/>
                <w:color w:val="auto"/>
              </w:rPr>
            </w:pPr>
          </w:p>
        </w:tc>
      </w:tr>
      <w:tr>
        <w:trPr>
          <w:trHeight w:val="243"/>
        </w:trPr>
        <w:tc>
          <w:tcPr>
            <w:tcW w:w="20" w:type="dxa"/>
            <w:vAlign w:val="bottom"/>
          </w:tcPr>
          <w:p>
            <w:pPr>
              <w:spacing w:after="0"/>
              <w:rPr>
                <w:sz w:val="21"/>
                <w:szCs w:val="21"/>
                <w:color w:val="auto"/>
              </w:rPr>
            </w:pPr>
          </w:p>
        </w:tc>
        <w:tc>
          <w:tcPr>
            <w:tcW w:w="2620" w:type="dxa"/>
            <w:vAlign w:val="bottom"/>
            <w:gridSpan w:val="4"/>
          </w:tcPr>
          <w:p>
            <w:pPr>
              <w:ind w:left="260"/>
              <w:spacing w:after="0"/>
              <w:rPr>
                <w:sz w:val="20"/>
                <w:szCs w:val="20"/>
                <w:color w:val="auto"/>
              </w:rPr>
            </w:pPr>
            <w:r>
              <w:rPr>
                <w:rFonts w:ascii="Arial" w:cs="Arial" w:eastAsia="Arial" w:hAnsi="Arial"/>
                <w:sz w:val="18"/>
                <w:szCs w:val="18"/>
                <w:color w:val="auto"/>
              </w:rPr>
              <w:t>DEFINITY</w:t>
            </w: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720" w:type="dxa"/>
            <w:vAlign w:val="bottom"/>
          </w:tcPr>
          <w:p>
            <w:pPr>
              <w:jc w:val="right"/>
              <w:ind w:right="10"/>
              <w:spacing w:after="0"/>
              <w:rPr>
                <w:sz w:val="20"/>
                <w:szCs w:val="20"/>
                <w:color w:val="auto"/>
              </w:rPr>
            </w:pPr>
            <w:r>
              <w:rPr>
                <w:rFonts w:ascii="Arial" w:cs="Arial" w:eastAsia="Arial" w:hAnsi="Arial"/>
                <w:sz w:val="18"/>
                <w:szCs w:val="18"/>
                <w:color w:val="auto"/>
              </w:rPr>
              <w:t>45,103</w:t>
            </w:r>
          </w:p>
        </w:tc>
        <w:tc>
          <w:tcPr>
            <w:tcW w:w="100" w:type="dxa"/>
            <w:vAlign w:val="bottom"/>
          </w:tcPr>
          <w:p>
            <w:pPr>
              <w:spacing w:after="0"/>
              <w:rPr>
                <w:sz w:val="21"/>
                <w:szCs w:val="21"/>
                <w:color w:val="auto"/>
              </w:rPr>
            </w:pPr>
          </w:p>
        </w:tc>
        <w:tc>
          <w:tcPr>
            <w:tcW w:w="22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800" w:type="dxa"/>
            <w:vAlign w:val="bottom"/>
          </w:tcPr>
          <w:p>
            <w:pPr>
              <w:jc w:val="right"/>
              <w:spacing w:after="0"/>
              <w:rPr>
                <w:sz w:val="20"/>
                <w:szCs w:val="20"/>
                <w:color w:val="auto"/>
              </w:rPr>
            </w:pPr>
            <w:r>
              <w:rPr>
                <w:rFonts w:ascii="Arial" w:cs="Arial" w:eastAsia="Arial" w:hAnsi="Arial"/>
                <w:sz w:val="18"/>
                <w:szCs w:val="18"/>
                <w:color w:val="auto"/>
              </w:rPr>
              <w:t>39,211</w:t>
            </w:r>
          </w:p>
        </w:tc>
        <w:tc>
          <w:tcPr>
            <w:tcW w:w="12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15.0 %</w:t>
            </w:r>
          </w:p>
        </w:tc>
        <w:tc>
          <w:tcPr>
            <w:tcW w:w="120" w:type="dxa"/>
            <w:vAlign w:val="bottom"/>
          </w:tcPr>
          <w:p>
            <w:pPr>
              <w:spacing w:after="0"/>
              <w:rPr>
                <w:sz w:val="21"/>
                <w:szCs w:val="21"/>
                <w:color w:val="auto"/>
              </w:rPr>
            </w:pPr>
          </w:p>
        </w:tc>
        <w:tc>
          <w:tcPr>
            <w:tcW w:w="220" w:type="dxa"/>
            <w:vAlign w:val="bottom"/>
          </w:tcPr>
          <w:p>
            <w:pPr>
              <w:jc w:val="right"/>
              <w:ind w:right="30"/>
              <w:spacing w:after="0"/>
              <w:rPr>
                <w:sz w:val="20"/>
                <w:szCs w:val="20"/>
                <w:color w:val="auto"/>
              </w:rPr>
            </w:pPr>
            <w:r>
              <w:rPr>
                <w:rFonts w:ascii="Arial" w:cs="Arial" w:eastAsia="Arial" w:hAnsi="Arial"/>
                <w:sz w:val="18"/>
                <w:szCs w:val="18"/>
                <w:color w:val="auto"/>
                <w:w w:val="79"/>
              </w:rPr>
              <w:t>$</w:t>
            </w:r>
          </w:p>
        </w:tc>
        <w:tc>
          <w:tcPr>
            <w:tcW w:w="740" w:type="dxa"/>
            <w:vAlign w:val="bottom"/>
          </w:tcPr>
          <w:p>
            <w:pPr>
              <w:jc w:val="right"/>
              <w:spacing w:after="0"/>
              <w:rPr>
                <w:sz w:val="20"/>
                <w:szCs w:val="20"/>
                <w:color w:val="auto"/>
              </w:rPr>
            </w:pPr>
            <w:r>
              <w:rPr>
                <w:rFonts w:ascii="Arial" w:cs="Arial" w:eastAsia="Arial" w:hAnsi="Arial"/>
                <w:sz w:val="18"/>
                <w:szCs w:val="18"/>
                <w:color w:val="auto"/>
              </w:rPr>
              <w:t>88,609</w:t>
            </w:r>
          </w:p>
        </w:tc>
        <w:tc>
          <w:tcPr>
            <w:tcW w:w="380" w:type="dxa"/>
            <w:vAlign w:val="bottom"/>
            <w:gridSpan w:val="3"/>
          </w:tcPr>
          <w:p>
            <w:pPr>
              <w:jc w:val="right"/>
              <w:spacing w:after="0"/>
              <w:rPr>
                <w:sz w:val="20"/>
                <w:szCs w:val="20"/>
                <w:color w:val="auto"/>
              </w:rPr>
            </w:pPr>
            <w:r>
              <w:rPr>
                <w:rFonts w:ascii="Arial" w:cs="Arial" w:eastAsia="Arial" w:hAnsi="Arial"/>
                <w:sz w:val="18"/>
                <w:szCs w:val="18"/>
                <w:color w:val="auto"/>
              </w:rPr>
              <w:t>$</w:t>
            </w:r>
          </w:p>
        </w:tc>
        <w:tc>
          <w:tcPr>
            <w:tcW w:w="860" w:type="dxa"/>
            <w:vAlign w:val="bottom"/>
          </w:tcPr>
          <w:p>
            <w:pPr>
              <w:jc w:val="right"/>
              <w:ind w:right="10"/>
              <w:spacing w:after="0"/>
              <w:rPr>
                <w:sz w:val="20"/>
                <w:szCs w:val="20"/>
                <w:color w:val="auto"/>
              </w:rPr>
            </w:pPr>
            <w:r>
              <w:rPr>
                <w:rFonts w:ascii="Arial" w:cs="Arial" w:eastAsia="Arial" w:hAnsi="Arial"/>
                <w:sz w:val="18"/>
                <w:szCs w:val="18"/>
                <w:color w:val="auto"/>
              </w:rPr>
              <w:t>76,134</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16.4 %</w:t>
            </w:r>
          </w:p>
        </w:tc>
      </w:tr>
      <w:tr>
        <w:trPr>
          <w:trHeight w:val="27"/>
        </w:trPr>
        <w:tc>
          <w:tcPr>
            <w:tcW w:w="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60" w:type="dxa"/>
            <w:vAlign w:val="bottom"/>
          </w:tcPr>
          <w:p>
            <w:pPr>
              <w:spacing w:after="0"/>
              <w:rPr>
                <w:sz w:val="2"/>
                <w:szCs w:val="2"/>
                <w:color w:val="auto"/>
              </w:rPr>
            </w:pPr>
          </w:p>
        </w:tc>
        <w:tc>
          <w:tcPr>
            <w:tcW w:w="1640" w:type="dxa"/>
            <w:vAlign w:val="bottom"/>
          </w:tcPr>
          <w:p>
            <w:pPr>
              <w:spacing w:after="0"/>
              <w:rPr>
                <w:sz w:val="2"/>
                <w:szCs w:val="2"/>
                <w:color w:val="auto"/>
              </w:rPr>
            </w:pPr>
          </w:p>
        </w:tc>
        <w:tc>
          <w:tcPr>
            <w:tcW w:w="240" w:type="dxa"/>
            <w:vAlign w:val="bottom"/>
          </w:tcPr>
          <w:p>
            <w:pPr>
              <w:spacing w:after="0"/>
              <w:rPr>
                <w:sz w:val="2"/>
                <w:szCs w:val="2"/>
                <w:color w:val="auto"/>
              </w:rPr>
            </w:pPr>
          </w:p>
        </w:tc>
        <w:tc>
          <w:tcPr>
            <w:tcW w:w="7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74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940" w:type="dxa"/>
            <w:vAlign w:val="bottom"/>
          </w:tcPr>
          <w:p>
            <w:pPr>
              <w:spacing w:after="0"/>
              <w:rPr>
                <w:sz w:val="2"/>
                <w:szCs w:val="2"/>
                <w:color w:val="auto"/>
              </w:rPr>
            </w:pPr>
          </w:p>
        </w:tc>
      </w:tr>
      <w:tr>
        <w:trPr>
          <w:trHeight w:val="250"/>
        </w:trPr>
        <w:tc>
          <w:tcPr>
            <w:tcW w:w="20" w:type="dxa"/>
            <w:vAlign w:val="bottom"/>
            <w:tcBorders>
              <w:bottom w:val="single" w:sz="8" w:color="CCEEFF"/>
            </w:tcBorders>
            <w:shd w:val="clear" w:color="auto" w:fill="CCEEFF"/>
          </w:tcPr>
          <w:p>
            <w:pPr>
              <w:spacing w:after="0"/>
              <w:rPr>
                <w:sz w:val="21"/>
                <w:szCs w:val="21"/>
                <w:color w:val="auto"/>
              </w:rPr>
            </w:pPr>
          </w:p>
        </w:tc>
        <w:tc>
          <w:tcPr>
            <w:tcW w:w="2620" w:type="dxa"/>
            <w:vAlign w:val="bottom"/>
            <w:tcBorders>
              <w:bottom w:val="single" w:sz="8" w:color="CCEEFF"/>
            </w:tcBorders>
            <w:gridSpan w:val="4"/>
            <w:shd w:val="clear" w:color="auto" w:fill="CCEEFF"/>
          </w:tcPr>
          <w:p>
            <w:pPr>
              <w:ind w:left="260"/>
              <w:spacing w:after="0"/>
              <w:rPr>
                <w:sz w:val="20"/>
                <w:szCs w:val="20"/>
                <w:color w:val="auto"/>
              </w:rPr>
            </w:pPr>
            <w:r>
              <w:rPr>
                <w:rFonts w:ascii="Arial" w:cs="Arial" w:eastAsia="Arial" w:hAnsi="Arial"/>
                <w:sz w:val="18"/>
                <w:szCs w:val="18"/>
                <w:color w:val="auto"/>
              </w:rPr>
              <w:t>TechneLite</w:t>
            </w:r>
          </w:p>
        </w:tc>
        <w:tc>
          <w:tcPr>
            <w:tcW w:w="240" w:type="dxa"/>
            <w:vAlign w:val="bottom"/>
            <w:tcBorders>
              <w:bottom w:val="single" w:sz="8" w:color="CCEEFF"/>
            </w:tcBorders>
            <w:shd w:val="clear" w:color="auto" w:fill="CCEEFF"/>
          </w:tcPr>
          <w:p>
            <w:pPr>
              <w:spacing w:after="0"/>
              <w:rPr>
                <w:sz w:val="21"/>
                <w:szCs w:val="21"/>
                <w:color w:val="auto"/>
              </w:rPr>
            </w:pPr>
          </w:p>
        </w:tc>
        <w:tc>
          <w:tcPr>
            <w:tcW w:w="7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19,343</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23,220</w:t>
            </w:r>
          </w:p>
        </w:tc>
        <w:tc>
          <w:tcPr>
            <w:tcW w:w="12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(16.7)%</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37,406</w:t>
            </w:r>
          </w:p>
        </w:tc>
        <w:tc>
          <w:tcPr>
            <w:tcW w:w="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46,529</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(19.6)%</w:t>
            </w:r>
          </w:p>
        </w:tc>
      </w:tr>
      <w:tr>
        <w:trPr>
          <w:trHeight w:val="243"/>
        </w:trPr>
        <w:tc>
          <w:tcPr>
            <w:tcW w:w="20" w:type="dxa"/>
            <w:vAlign w:val="bottom"/>
          </w:tcPr>
          <w:p>
            <w:pPr>
              <w:spacing w:after="0"/>
              <w:rPr>
                <w:sz w:val="21"/>
                <w:szCs w:val="21"/>
                <w:color w:val="auto"/>
              </w:rPr>
            </w:pPr>
          </w:p>
        </w:tc>
        <w:tc>
          <w:tcPr>
            <w:tcW w:w="2620" w:type="dxa"/>
            <w:vAlign w:val="bottom"/>
            <w:gridSpan w:val="4"/>
          </w:tcPr>
          <w:p>
            <w:pPr>
              <w:ind w:left="260"/>
              <w:spacing w:after="0"/>
              <w:rPr>
                <w:sz w:val="20"/>
                <w:szCs w:val="20"/>
                <w:color w:val="auto"/>
              </w:rPr>
            </w:pPr>
            <w:r>
              <w:rPr>
                <w:rFonts w:ascii="Arial" w:cs="Arial" w:eastAsia="Arial" w:hAnsi="Arial"/>
                <w:sz w:val="18"/>
                <w:szCs w:val="18"/>
                <w:color w:val="auto"/>
              </w:rPr>
              <w:t>Xenon</w:t>
            </w:r>
          </w:p>
        </w:tc>
        <w:tc>
          <w:tcPr>
            <w:tcW w:w="240" w:type="dxa"/>
            <w:vAlign w:val="bottom"/>
          </w:tcPr>
          <w:p>
            <w:pPr>
              <w:spacing w:after="0"/>
              <w:rPr>
                <w:sz w:val="21"/>
                <w:szCs w:val="21"/>
                <w:color w:val="auto"/>
              </w:rPr>
            </w:pPr>
          </w:p>
        </w:tc>
        <w:tc>
          <w:tcPr>
            <w:tcW w:w="720" w:type="dxa"/>
            <w:vAlign w:val="bottom"/>
          </w:tcPr>
          <w:p>
            <w:pPr>
              <w:jc w:val="right"/>
              <w:ind w:right="10"/>
              <w:spacing w:after="0"/>
              <w:rPr>
                <w:sz w:val="20"/>
                <w:szCs w:val="20"/>
                <w:color w:val="auto"/>
              </w:rPr>
            </w:pPr>
            <w:r>
              <w:rPr>
                <w:rFonts w:ascii="Arial" w:cs="Arial" w:eastAsia="Arial" w:hAnsi="Arial"/>
                <w:sz w:val="18"/>
                <w:szCs w:val="18"/>
                <w:color w:val="auto"/>
              </w:rPr>
              <w:t>7,639</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7,925</w:t>
            </w:r>
          </w:p>
        </w:tc>
        <w:tc>
          <w:tcPr>
            <w:tcW w:w="12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(3.6)%</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15,566</w:t>
            </w:r>
          </w:p>
        </w:tc>
        <w:tc>
          <w:tcPr>
            <w:tcW w:w="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860" w:type="dxa"/>
            <w:vAlign w:val="bottom"/>
          </w:tcPr>
          <w:p>
            <w:pPr>
              <w:jc w:val="right"/>
              <w:ind w:right="10"/>
              <w:spacing w:after="0"/>
              <w:rPr>
                <w:sz w:val="20"/>
                <w:szCs w:val="20"/>
                <w:color w:val="auto"/>
              </w:rPr>
            </w:pPr>
            <w:r>
              <w:rPr>
                <w:rFonts w:ascii="Arial" w:cs="Arial" w:eastAsia="Arial" w:hAnsi="Arial"/>
                <w:sz w:val="18"/>
                <w:szCs w:val="18"/>
                <w:color w:val="auto"/>
              </w:rPr>
              <w:t>15,983</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(2.6)%</w:t>
            </w:r>
          </w:p>
        </w:tc>
      </w:tr>
      <w:tr>
        <w:trPr>
          <w:trHeight w:val="27"/>
        </w:trPr>
        <w:tc>
          <w:tcPr>
            <w:tcW w:w="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60" w:type="dxa"/>
            <w:vAlign w:val="bottom"/>
          </w:tcPr>
          <w:p>
            <w:pPr>
              <w:spacing w:after="0"/>
              <w:rPr>
                <w:sz w:val="2"/>
                <w:szCs w:val="2"/>
                <w:color w:val="auto"/>
              </w:rPr>
            </w:pPr>
          </w:p>
        </w:tc>
        <w:tc>
          <w:tcPr>
            <w:tcW w:w="1640" w:type="dxa"/>
            <w:vAlign w:val="bottom"/>
          </w:tcPr>
          <w:p>
            <w:pPr>
              <w:spacing w:after="0"/>
              <w:rPr>
                <w:sz w:val="2"/>
                <w:szCs w:val="2"/>
                <w:color w:val="auto"/>
              </w:rPr>
            </w:pPr>
          </w:p>
        </w:tc>
        <w:tc>
          <w:tcPr>
            <w:tcW w:w="240" w:type="dxa"/>
            <w:vAlign w:val="bottom"/>
          </w:tcPr>
          <w:p>
            <w:pPr>
              <w:spacing w:after="0"/>
              <w:rPr>
                <w:sz w:val="2"/>
                <w:szCs w:val="2"/>
                <w:color w:val="auto"/>
              </w:rPr>
            </w:pPr>
          </w:p>
        </w:tc>
        <w:tc>
          <w:tcPr>
            <w:tcW w:w="7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74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940" w:type="dxa"/>
            <w:vAlign w:val="bottom"/>
          </w:tcPr>
          <w:p>
            <w:pPr>
              <w:spacing w:after="0"/>
              <w:rPr>
                <w:sz w:val="2"/>
                <w:szCs w:val="2"/>
                <w:color w:val="auto"/>
              </w:rPr>
            </w:pPr>
          </w:p>
        </w:tc>
      </w:tr>
      <w:tr>
        <w:trPr>
          <w:trHeight w:val="270"/>
        </w:trPr>
        <w:tc>
          <w:tcPr>
            <w:tcW w:w="20" w:type="dxa"/>
            <w:vAlign w:val="bottom"/>
            <w:tcBorders>
              <w:bottom w:val="single" w:sz="8" w:color="CCEEFF"/>
            </w:tcBorders>
            <w:shd w:val="clear" w:color="auto" w:fill="CCEEFF"/>
          </w:tcPr>
          <w:p>
            <w:pPr>
              <w:spacing w:after="0"/>
              <w:rPr>
                <w:sz w:val="23"/>
                <w:szCs w:val="23"/>
                <w:color w:val="auto"/>
              </w:rPr>
            </w:pPr>
          </w:p>
        </w:tc>
        <w:tc>
          <w:tcPr>
            <w:tcW w:w="2620" w:type="dxa"/>
            <w:vAlign w:val="bottom"/>
            <w:tcBorders>
              <w:bottom w:val="single" w:sz="8" w:color="CCEEFF"/>
            </w:tcBorders>
            <w:gridSpan w:val="4"/>
            <w:shd w:val="clear" w:color="auto" w:fill="CCEEFF"/>
          </w:tcPr>
          <w:p>
            <w:pPr>
              <w:ind w:left="260"/>
              <w:spacing w:after="0"/>
              <w:rPr>
                <w:sz w:val="20"/>
                <w:szCs w:val="20"/>
                <w:color w:val="auto"/>
              </w:rPr>
            </w:pPr>
            <w:r>
              <w:rPr>
                <w:rFonts w:ascii="Arial" w:cs="Arial" w:eastAsia="Arial" w:hAnsi="Arial"/>
                <w:sz w:val="18"/>
                <w:szCs w:val="18"/>
                <w:color w:val="auto"/>
              </w:rPr>
              <w:t>Other</w:t>
            </w:r>
          </w:p>
        </w:tc>
        <w:tc>
          <w:tcPr>
            <w:tcW w:w="240" w:type="dxa"/>
            <w:vAlign w:val="bottom"/>
            <w:tcBorders>
              <w:bottom w:val="single" w:sz="8" w:color="CCEEFF"/>
            </w:tcBorders>
            <w:shd w:val="clear" w:color="auto" w:fill="CCEEFF"/>
          </w:tcPr>
          <w:p>
            <w:pPr>
              <w:spacing w:after="0"/>
              <w:rPr>
                <w:sz w:val="23"/>
                <w:szCs w:val="23"/>
                <w:color w:val="auto"/>
              </w:rPr>
            </w:pPr>
          </w:p>
        </w:tc>
        <w:tc>
          <w:tcPr>
            <w:tcW w:w="7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2,001</w:t>
            </w:r>
          </w:p>
        </w:tc>
        <w:tc>
          <w:tcPr>
            <w:tcW w:w="10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7,744</w:t>
            </w:r>
          </w:p>
        </w:tc>
        <w:tc>
          <w:tcPr>
            <w:tcW w:w="12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(74.2)%</w:t>
            </w:r>
          </w:p>
        </w:tc>
        <w:tc>
          <w:tcPr>
            <w:tcW w:w="12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7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3,993</w:t>
            </w:r>
          </w:p>
        </w:tc>
        <w:tc>
          <w:tcPr>
            <w:tcW w:w="8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8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10,481</w:t>
            </w: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(61.9)%</w:t>
            </w:r>
          </w:p>
        </w:tc>
      </w:tr>
      <w:tr>
        <w:trPr>
          <w:trHeight w:val="237"/>
        </w:trPr>
        <w:tc>
          <w:tcPr>
            <w:tcW w:w="20" w:type="dxa"/>
            <w:vAlign w:val="bottom"/>
          </w:tcPr>
          <w:p>
            <w:pPr>
              <w:spacing w:after="0"/>
              <w:rPr>
                <w:sz w:val="20"/>
                <w:szCs w:val="20"/>
                <w:color w:val="auto"/>
              </w:rPr>
            </w:pPr>
          </w:p>
        </w:tc>
        <w:tc>
          <w:tcPr>
            <w:tcW w:w="2620" w:type="dxa"/>
            <w:vAlign w:val="bottom"/>
            <w:gridSpan w:val="4"/>
          </w:tcPr>
          <w:p>
            <w:pPr>
              <w:spacing w:after="0"/>
              <w:rPr>
                <w:sz w:val="20"/>
                <w:szCs w:val="20"/>
                <w:color w:val="auto"/>
              </w:rPr>
            </w:pPr>
            <w:r>
              <w:rPr>
                <w:rFonts w:ascii="Arial" w:cs="Arial" w:eastAsia="Arial" w:hAnsi="Arial"/>
                <w:sz w:val="18"/>
                <w:szCs w:val="18"/>
                <w:color w:val="auto"/>
              </w:rPr>
              <w:t>Total United States</w:t>
            </w:r>
          </w:p>
        </w:tc>
        <w:tc>
          <w:tcPr>
            <w:tcW w:w="240" w:type="dxa"/>
            <w:vAlign w:val="bottom"/>
            <w:tcBorders>
              <w:top w:val="single" w:sz="8" w:color="auto"/>
            </w:tcBorders>
          </w:tcPr>
          <w:p>
            <w:pPr>
              <w:spacing w:after="0"/>
              <w:rPr>
                <w:sz w:val="20"/>
                <w:szCs w:val="20"/>
                <w:color w:val="auto"/>
              </w:rPr>
            </w:pPr>
          </w:p>
        </w:tc>
        <w:tc>
          <w:tcPr>
            <w:tcW w:w="7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74,086</w:t>
            </w:r>
          </w:p>
        </w:tc>
        <w:tc>
          <w:tcPr>
            <w:tcW w:w="100" w:type="dxa"/>
            <w:vAlign w:val="bottom"/>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78,100</w:t>
            </w:r>
          </w:p>
        </w:tc>
        <w:tc>
          <w:tcPr>
            <w:tcW w:w="120" w:type="dxa"/>
            <w:vAlign w:val="bottom"/>
          </w:tcPr>
          <w:p>
            <w:pPr>
              <w:spacing w:after="0"/>
              <w:rPr>
                <w:sz w:val="20"/>
                <w:szCs w:val="20"/>
                <w:color w:val="auto"/>
              </w:rPr>
            </w:pP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(5.1)%</w:t>
            </w:r>
          </w:p>
        </w:tc>
        <w:tc>
          <w:tcPr>
            <w:tcW w:w="120" w:type="dxa"/>
            <w:vAlign w:val="bottom"/>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7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145,574</w:t>
            </w:r>
          </w:p>
        </w:tc>
        <w:tc>
          <w:tcPr>
            <w:tcW w:w="8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8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149,127</w:t>
            </w:r>
          </w:p>
        </w:tc>
        <w:tc>
          <w:tcPr>
            <w:tcW w:w="100" w:type="dxa"/>
            <w:vAlign w:val="bottom"/>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9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(2.4)%</w:t>
            </w:r>
          </w:p>
        </w:tc>
      </w:tr>
      <w:tr>
        <w:trPr>
          <w:trHeight w:val="27"/>
        </w:trPr>
        <w:tc>
          <w:tcPr>
            <w:tcW w:w="20" w:type="dxa"/>
            <w:vAlign w:val="bottom"/>
            <w:tcBorders>
              <w:bottom w:val="single" w:sz="8" w:color="CCEEFF"/>
            </w:tcBorders>
          </w:tcPr>
          <w:p>
            <w:pPr>
              <w:spacing w:after="0"/>
              <w:rPr>
                <w:sz w:val="2"/>
                <w:szCs w:val="2"/>
                <w:color w:val="auto"/>
              </w:rPr>
            </w:pPr>
          </w:p>
        </w:tc>
        <w:tc>
          <w:tcPr>
            <w:tcW w:w="80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60" w:type="dxa"/>
            <w:vAlign w:val="bottom"/>
            <w:tcBorders>
              <w:bottom w:val="single" w:sz="8" w:color="CCEEFF"/>
            </w:tcBorders>
          </w:tcPr>
          <w:p>
            <w:pPr>
              <w:spacing w:after="0"/>
              <w:rPr>
                <w:sz w:val="2"/>
                <w:szCs w:val="2"/>
                <w:color w:val="auto"/>
              </w:rPr>
            </w:pPr>
          </w:p>
        </w:tc>
        <w:tc>
          <w:tcPr>
            <w:tcW w:w="164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r>
      <w:tr>
        <w:trPr>
          <w:trHeight w:val="196"/>
        </w:trPr>
        <w:tc>
          <w:tcPr>
            <w:tcW w:w="20" w:type="dxa"/>
            <w:vAlign w:val="bottom"/>
            <w:shd w:val="clear" w:color="auto" w:fill="CCEEFF"/>
          </w:tcPr>
          <w:p>
            <w:pPr>
              <w:spacing w:after="0"/>
              <w:rPr>
                <w:sz w:val="17"/>
                <w:szCs w:val="17"/>
                <w:color w:val="auto"/>
              </w:rPr>
            </w:pPr>
          </w:p>
        </w:tc>
        <w:tc>
          <w:tcPr>
            <w:tcW w:w="2620" w:type="dxa"/>
            <w:vAlign w:val="bottom"/>
            <w:gridSpan w:val="4"/>
            <w:shd w:val="clear" w:color="auto" w:fill="CCEEFF"/>
          </w:tcPr>
          <w:p>
            <w:pPr>
              <w:spacing w:after="0" w:line="196" w:lineRule="exact"/>
              <w:rPr>
                <w:sz w:val="20"/>
                <w:szCs w:val="20"/>
                <w:color w:val="auto"/>
              </w:rPr>
            </w:pPr>
            <w:r>
              <w:rPr>
                <w:rFonts w:ascii="Arial" w:cs="Arial" w:eastAsia="Arial" w:hAnsi="Arial"/>
                <w:sz w:val="18"/>
                <w:szCs w:val="18"/>
                <w:color w:val="auto"/>
              </w:rPr>
              <w:t>International</w:t>
            </w:r>
          </w:p>
        </w:tc>
        <w:tc>
          <w:tcPr>
            <w:tcW w:w="24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1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r>
      <w:tr>
        <w:trPr>
          <w:trHeight w:val="48"/>
        </w:trPr>
        <w:tc>
          <w:tcPr>
            <w:tcW w:w="20" w:type="dxa"/>
            <w:vAlign w:val="bottom"/>
            <w:tcBorders>
              <w:top w:val="single" w:sz="8" w:color="CCEEFF"/>
            </w:tcBorders>
            <w:shd w:val="clear" w:color="auto" w:fill="CCEEFF"/>
          </w:tcPr>
          <w:p>
            <w:pPr>
              <w:spacing w:after="0"/>
              <w:rPr>
                <w:sz w:val="4"/>
                <w:szCs w:val="4"/>
                <w:color w:val="auto"/>
              </w:rPr>
            </w:pPr>
          </w:p>
        </w:tc>
        <w:tc>
          <w:tcPr>
            <w:tcW w:w="800" w:type="dxa"/>
            <w:vAlign w:val="bottom"/>
            <w:tcBorders>
              <w:top w:val="single" w:sz="8" w:color="auto"/>
            </w:tcBorders>
            <w:shd w:val="clear" w:color="auto" w:fill="CCEEFF"/>
          </w:tcPr>
          <w:p>
            <w:pPr>
              <w:spacing w:after="0"/>
              <w:rPr>
                <w:sz w:val="4"/>
                <w:szCs w:val="4"/>
                <w:color w:val="auto"/>
              </w:rPr>
            </w:pPr>
          </w:p>
        </w:tc>
        <w:tc>
          <w:tcPr>
            <w:tcW w:w="120" w:type="dxa"/>
            <w:vAlign w:val="bottom"/>
            <w:tcBorders>
              <w:top w:val="single" w:sz="8" w:color="auto"/>
            </w:tcBorders>
            <w:shd w:val="clear" w:color="auto" w:fill="CCEEFF"/>
          </w:tcPr>
          <w:p>
            <w:pPr>
              <w:spacing w:after="0"/>
              <w:rPr>
                <w:sz w:val="4"/>
                <w:szCs w:val="4"/>
                <w:color w:val="auto"/>
              </w:rPr>
            </w:pPr>
          </w:p>
        </w:tc>
        <w:tc>
          <w:tcPr>
            <w:tcW w:w="60" w:type="dxa"/>
            <w:vAlign w:val="bottom"/>
            <w:tcBorders>
              <w:top w:val="single" w:sz="8" w:color="CCEEFF"/>
            </w:tcBorders>
            <w:shd w:val="clear" w:color="auto" w:fill="CCEEFF"/>
          </w:tcPr>
          <w:p>
            <w:pPr>
              <w:spacing w:after="0"/>
              <w:rPr>
                <w:sz w:val="4"/>
                <w:szCs w:val="4"/>
                <w:color w:val="auto"/>
              </w:rPr>
            </w:pPr>
          </w:p>
        </w:tc>
        <w:tc>
          <w:tcPr>
            <w:tcW w:w="1640" w:type="dxa"/>
            <w:vAlign w:val="bottom"/>
            <w:tcBorders>
              <w:top w:val="single" w:sz="8" w:color="CCEEFF"/>
            </w:tcBorders>
            <w:shd w:val="clear" w:color="auto" w:fill="CCEEFF"/>
          </w:tcPr>
          <w:p>
            <w:pPr>
              <w:spacing w:after="0"/>
              <w:rPr>
                <w:sz w:val="4"/>
                <w:szCs w:val="4"/>
                <w:color w:val="auto"/>
              </w:rPr>
            </w:pPr>
          </w:p>
        </w:tc>
        <w:tc>
          <w:tcPr>
            <w:tcW w:w="240" w:type="dxa"/>
            <w:vAlign w:val="bottom"/>
            <w:tcBorders>
              <w:top w:val="single" w:sz="8" w:color="CCEEFF"/>
            </w:tcBorders>
            <w:shd w:val="clear" w:color="auto" w:fill="CCEEFF"/>
          </w:tcPr>
          <w:p>
            <w:pPr>
              <w:spacing w:after="0"/>
              <w:rPr>
                <w:sz w:val="4"/>
                <w:szCs w:val="4"/>
                <w:color w:val="auto"/>
              </w:rPr>
            </w:pPr>
          </w:p>
        </w:tc>
        <w:tc>
          <w:tcPr>
            <w:tcW w:w="72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CCEEFF"/>
            </w:tcBorders>
            <w:shd w:val="clear" w:color="auto" w:fill="CCEEFF"/>
          </w:tcPr>
          <w:p>
            <w:pPr>
              <w:spacing w:after="0"/>
              <w:rPr>
                <w:sz w:val="4"/>
                <w:szCs w:val="4"/>
                <w:color w:val="auto"/>
              </w:rPr>
            </w:pPr>
          </w:p>
        </w:tc>
        <w:tc>
          <w:tcPr>
            <w:tcW w:w="220" w:type="dxa"/>
            <w:vAlign w:val="bottom"/>
            <w:tcBorders>
              <w:top w:val="single" w:sz="8" w:color="CCEEFF"/>
            </w:tcBorders>
            <w:shd w:val="clear" w:color="auto" w:fill="CCEEFF"/>
          </w:tcPr>
          <w:p>
            <w:pPr>
              <w:spacing w:after="0"/>
              <w:rPr>
                <w:sz w:val="4"/>
                <w:szCs w:val="4"/>
                <w:color w:val="auto"/>
              </w:rPr>
            </w:pPr>
          </w:p>
        </w:tc>
        <w:tc>
          <w:tcPr>
            <w:tcW w:w="800" w:type="dxa"/>
            <w:vAlign w:val="bottom"/>
            <w:tcBorders>
              <w:top w:val="single" w:sz="8" w:color="CCEEFF"/>
            </w:tcBorders>
            <w:shd w:val="clear" w:color="auto" w:fill="CCEEFF"/>
          </w:tcPr>
          <w:p>
            <w:pPr>
              <w:spacing w:after="0"/>
              <w:rPr>
                <w:sz w:val="4"/>
                <w:szCs w:val="4"/>
                <w:color w:val="auto"/>
              </w:rPr>
            </w:pPr>
          </w:p>
        </w:tc>
        <w:tc>
          <w:tcPr>
            <w:tcW w:w="120" w:type="dxa"/>
            <w:vAlign w:val="bottom"/>
            <w:tcBorders>
              <w:top w:val="single" w:sz="8" w:color="CCEEFF"/>
            </w:tcBorders>
            <w:shd w:val="clear" w:color="auto" w:fill="CCEEFF"/>
          </w:tcPr>
          <w:p>
            <w:pPr>
              <w:spacing w:after="0"/>
              <w:rPr>
                <w:sz w:val="4"/>
                <w:szCs w:val="4"/>
                <w:color w:val="auto"/>
              </w:rPr>
            </w:pPr>
          </w:p>
        </w:tc>
        <w:tc>
          <w:tcPr>
            <w:tcW w:w="1140" w:type="dxa"/>
            <w:vAlign w:val="bottom"/>
            <w:tcBorders>
              <w:top w:val="single" w:sz="8" w:color="CCEEFF"/>
            </w:tcBorders>
            <w:shd w:val="clear" w:color="auto" w:fill="CCEEFF"/>
          </w:tcPr>
          <w:p>
            <w:pPr>
              <w:spacing w:after="0"/>
              <w:rPr>
                <w:sz w:val="4"/>
                <w:szCs w:val="4"/>
                <w:color w:val="auto"/>
              </w:rPr>
            </w:pPr>
          </w:p>
        </w:tc>
        <w:tc>
          <w:tcPr>
            <w:tcW w:w="120" w:type="dxa"/>
            <w:vAlign w:val="bottom"/>
            <w:tcBorders>
              <w:top w:val="single" w:sz="8" w:color="CCEEFF"/>
            </w:tcBorders>
            <w:shd w:val="clear" w:color="auto" w:fill="CCEEFF"/>
          </w:tcPr>
          <w:p>
            <w:pPr>
              <w:spacing w:after="0"/>
              <w:rPr>
                <w:sz w:val="4"/>
                <w:szCs w:val="4"/>
                <w:color w:val="auto"/>
              </w:rPr>
            </w:pPr>
          </w:p>
        </w:tc>
        <w:tc>
          <w:tcPr>
            <w:tcW w:w="220" w:type="dxa"/>
            <w:vAlign w:val="bottom"/>
            <w:tcBorders>
              <w:top w:val="single" w:sz="8" w:color="CCEEFF"/>
            </w:tcBorders>
            <w:shd w:val="clear" w:color="auto" w:fill="CCEEFF"/>
          </w:tcPr>
          <w:p>
            <w:pPr>
              <w:spacing w:after="0"/>
              <w:rPr>
                <w:sz w:val="4"/>
                <w:szCs w:val="4"/>
                <w:color w:val="auto"/>
              </w:rPr>
            </w:pPr>
          </w:p>
        </w:tc>
        <w:tc>
          <w:tcPr>
            <w:tcW w:w="740" w:type="dxa"/>
            <w:vAlign w:val="bottom"/>
            <w:tcBorders>
              <w:top w:val="single" w:sz="8" w:color="CCEEFF"/>
            </w:tcBorders>
            <w:shd w:val="clear" w:color="auto" w:fill="CCEEFF"/>
          </w:tcPr>
          <w:p>
            <w:pPr>
              <w:spacing w:after="0"/>
              <w:rPr>
                <w:sz w:val="4"/>
                <w:szCs w:val="4"/>
                <w:color w:val="auto"/>
              </w:rPr>
            </w:pPr>
          </w:p>
        </w:tc>
        <w:tc>
          <w:tcPr>
            <w:tcW w:w="8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CCEEFF"/>
            </w:tcBorders>
            <w:shd w:val="clear" w:color="auto" w:fill="CCEEFF"/>
          </w:tcPr>
          <w:p>
            <w:pPr>
              <w:spacing w:after="0"/>
              <w:rPr>
                <w:sz w:val="4"/>
                <w:szCs w:val="4"/>
                <w:color w:val="auto"/>
              </w:rPr>
            </w:pPr>
          </w:p>
        </w:tc>
        <w:tc>
          <w:tcPr>
            <w:tcW w:w="200" w:type="dxa"/>
            <w:vAlign w:val="bottom"/>
            <w:tcBorders>
              <w:top w:val="single" w:sz="8" w:color="CCEEFF"/>
            </w:tcBorders>
            <w:shd w:val="clear" w:color="auto" w:fill="CCEEFF"/>
          </w:tcPr>
          <w:p>
            <w:pPr>
              <w:spacing w:after="0"/>
              <w:rPr>
                <w:sz w:val="4"/>
                <w:szCs w:val="4"/>
                <w:color w:val="auto"/>
              </w:rPr>
            </w:pPr>
          </w:p>
        </w:tc>
        <w:tc>
          <w:tcPr>
            <w:tcW w:w="86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CCEEFF"/>
            </w:tcBorders>
            <w:shd w:val="clear" w:color="auto" w:fill="CCEEFF"/>
          </w:tcPr>
          <w:p>
            <w:pPr>
              <w:spacing w:after="0"/>
              <w:rPr>
                <w:sz w:val="4"/>
                <w:szCs w:val="4"/>
                <w:color w:val="auto"/>
              </w:rPr>
            </w:pPr>
          </w:p>
        </w:tc>
        <w:tc>
          <w:tcPr>
            <w:tcW w:w="200" w:type="dxa"/>
            <w:vAlign w:val="bottom"/>
            <w:tcBorders>
              <w:top w:val="single" w:sz="8" w:color="CCEEFF"/>
            </w:tcBorders>
            <w:shd w:val="clear" w:color="auto" w:fill="CCEEFF"/>
          </w:tcPr>
          <w:p>
            <w:pPr>
              <w:spacing w:after="0"/>
              <w:rPr>
                <w:sz w:val="4"/>
                <w:szCs w:val="4"/>
                <w:color w:val="auto"/>
              </w:rPr>
            </w:pPr>
          </w:p>
        </w:tc>
        <w:tc>
          <w:tcPr>
            <w:tcW w:w="940" w:type="dxa"/>
            <w:vAlign w:val="bottom"/>
            <w:tcBorders>
              <w:top w:val="single" w:sz="8" w:color="CCEEFF"/>
            </w:tcBorders>
            <w:shd w:val="clear" w:color="auto" w:fill="CCEEFF"/>
          </w:tcPr>
          <w:p>
            <w:pPr>
              <w:spacing w:after="0"/>
              <w:rPr>
                <w:sz w:val="4"/>
                <w:szCs w:val="4"/>
                <w:color w:val="auto"/>
              </w:rPr>
            </w:pPr>
          </w:p>
        </w:tc>
      </w:tr>
      <w:tr>
        <w:trPr>
          <w:trHeight w:val="243"/>
        </w:trPr>
        <w:tc>
          <w:tcPr>
            <w:tcW w:w="20" w:type="dxa"/>
            <w:vAlign w:val="bottom"/>
          </w:tcPr>
          <w:p>
            <w:pPr>
              <w:spacing w:after="0"/>
              <w:rPr>
                <w:sz w:val="21"/>
                <w:szCs w:val="21"/>
                <w:color w:val="auto"/>
              </w:rPr>
            </w:pPr>
          </w:p>
        </w:tc>
        <w:tc>
          <w:tcPr>
            <w:tcW w:w="2620" w:type="dxa"/>
            <w:vAlign w:val="bottom"/>
            <w:gridSpan w:val="4"/>
          </w:tcPr>
          <w:p>
            <w:pPr>
              <w:ind w:left="260"/>
              <w:spacing w:after="0"/>
              <w:rPr>
                <w:sz w:val="20"/>
                <w:szCs w:val="20"/>
                <w:color w:val="auto"/>
              </w:rPr>
            </w:pPr>
            <w:r>
              <w:rPr>
                <w:rFonts w:ascii="Arial" w:cs="Arial" w:eastAsia="Arial" w:hAnsi="Arial"/>
                <w:sz w:val="18"/>
                <w:szCs w:val="18"/>
                <w:color w:val="auto"/>
              </w:rPr>
              <w:t>DEFINITY</w:t>
            </w:r>
          </w:p>
        </w:tc>
        <w:tc>
          <w:tcPr>
            <w:tcW w:w="240" w:type="dxa"/>
            <w:vAlign w:val="bottom"/>
          </w:tcPr>
          <w:p>
            <w:pPr>
              <w:spacing w:after="0"/>
              <w:rPr>
                <w:sz w:val="21"/>
                <w:szCs w:val="21"/>
                <w:color w:val="auto"/>
              </w:rPr>
            </w:pPr>
          </w:p>
        </w:tc>
        <w:tc>
          <w:tcPr>
            <w:tcW w:w="720" w:type="dxa"/>
            <w:vAlign w:val="bottom"/>
          </w:tcPr>
          <w:p>
            <w:pPr>
              <w:jc w:val="right"/>
              <w:ind w:right="10"/>
              <w:spacing w:after="0"/>
              <w:rPr>
                <w:sz w:val="20"/>
                <w:szCs w:val="20"/>
                <w:color w:val="auto"/>
              </w:rPr>
            </w:pPr>
            <w:r>
              <w:rPr>
                <w:rFonts w:ascii="Arial" w:cs="Arial" w:eastAsia="Arial" w:hAnsi="Arial"/>
                <w:sz w:val="18"/>
                <w:szCs w:val="18"/>
                <w:color w:val="auto"/>
              </w:rPr>
              <w:t>995</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917</w:t>
            </w:r>
          </w:p>
        </w:tc>
        <w:tc>
          <w:tcPr>
            <w:tcW w:w="12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8.5 %</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2,144</w:t>
            </w:r>
          </w:p>
        </w:tc>
        <w:tc>
          <w:tcPr>
            <w:tcW w:w="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860" w:type="dxa"/>
            <w:vAlign w:val="bottom"/>
          </w:tcPr>
          <w:p>
            <w:pPr>
              <w:jc w:val="right"/>
              <w:ind w:right="10"/>
              <w:spacing w:after="0"/>
              <w:rPr>
                <w:sz w:val="20"/>
                <w:szCs w:val="20"/>
                <w:color w:val="auto"/>
              </w:rPr>
            </w:pPr>
            <w:r>
              <w:rPr>
                <w:rFonts w:ascii="Arial" w:cs="Arial" w:eastAsia="Arial" w:hAnsi="Arial"/>
                <w:sz w:val="18"/>
                <w:szCs w:val="18"/>
                <w:color w:val="auto"/>
              </w:rPr>
              <w:t>1,706</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25.7 %</w:t>
            </w:r>
          </w:p>
        </w:tc>
      </w:tr>
      <w:tr>
        <w:trPr>
          <w:trHeight w:val="27"/>
        </w:trPr>
        <w:tc>
          <w:tcPr>
            <w:tcW w:w="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60" w:type="dxa"/>
            <w:vAlign w:val="bottom"/>
          </w:tcPr>
          <w:p>
            <w:pPr>
              <w:spacing w:after="0"/>
              <w:rPr>
                <w:sz w:val="2"/>
                <w:szCs w:val="2"/>
                <w:color w:val="auto"/>
              </w:rPr>
            </w:pPr>
          </w:p>
        </w:tc>
        <w:tc>
          <w:tcPr>
            <w:tcW w:w="1640" w:type="dxa"/>
            <w:vAlign w:val="bottom"/>
          </w:tcPr>
          <w:p>
            <w:pPr>
              <w:spacing w:after="0"/>
              <w:rPr>
                <w:sz w:val="2"/>
                <w:szCs w:val="2"/>
                <w:color w:val="auto"/>
              </w:rPr>
            </w:pPr>
          </w:p>
        </w:tc>
        <w:tc>
          <w:tcPr>
            <w:tcW w:w="240" w:type="dxa"/>
            <w:vAlign w:val="bottom"/>
          </w:tcPr>
          <w:p>
            <w:pPr>
              <w:spacing w:after="0"/>
              <w:rPr>
                <w:sz w:val="2"/>
                <w:szCs w:val="2"/>
                <w:color w:val="auto"/>
              </w:rPr>
            </w:pPr>
          </w:p>
        </w:tc>
        <w:tc>
          <w:tcPr>
            <w:tcW w:w="7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74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940" w:type="dxa"/>
            <w:vAlign w:val="bottom"/>
          </w:tcPr>
          <w:p>
            <w:pPr>
              <w:spacing w:after="0"/>
              <w:rPr>
                <w:sz w:val="2"/>
                <w:szCs w:val="2"/>
                <w:color w:val="auto"/>
              </w:rPr>
            </w:pPr>
          </w:p>
        </w:tc>
      </w:tr>
      <w:tr>
        <w:trPr>
          <w:trHeight w:val="250"/>
        </w:trPr>
        <w:tc>
          <w:tcPr>
            <w:tcW w:w="20" w:type="dxa"/>
            <w:vAlign w:val="bottom"/>
            <w:tcBorders>
              <w:bottom w:val="single" w:sz="8" w:color="CCEEFF"/>
            </w:tcBorders>
            <w:shd w:val="clear" w:color="auto" w:fill="CCEEFF"/>
          </w:tcPr>
          <w:p>
            <w:pPr>
              <w:spacing w:after="0"/>
              <w:rPr>
                <w:sz w:val="21"/>
                <w:szCs w:val="21"/>
                <w:color w:val="auto"/>
              </w:rPr>
            </w:pPr>
          </w:p>
        </w:tc>
        <w:tc>
          <w:tcPr>
            <w:tcW w:w="2620" w:type="dxa"/>
            <w:vAlign w:val="bottom"/>
            <w:tcBorders>
              <w:bottom w:val="single" w:sz="8" w:color="CCEEFF"/>
            </w:tcBorders>
            <w:gridSpan w:val="4"/>
            <w:shd w:val="clear" w:color="auto" w:fill="CCEEFF"/>
          </w:tcPr>
          <w:p>
            <w:pPr>
              <w:ind w:left="260"/>
              <w:spacing w:after="0"/>
              <w:rPr>
                <w:sz w:val="20"/>
                <w:szCs w:val="20"/>
                <w:color w:val="auto"/>
              </w:rPr>
            </w:pPr>
            <w:r>
              <w:rPr>
                <w:rFonts w:ascii="Arial" w:cs="Arial" w:eastAsia="Arial" w:hAnsi="Arial"/>
                <w:sz w:val="18"/>
                <w:szCs w:val="18"/>
                <w:color w:val="auto"/>
              </w:rPr>
              <w:t>TechneLite</w:t>
            </w:r>
          </w:p>
        </w:tc>
        <w:tc>
          <w:tcPr>
            <w:tcW w:w="240" w:type="dxa"/>
            <w:vAlign w:val="bottom"/>
            <w:tcBorders>
              <w:bottom w:val="single" w:sz="8" w:color="CCEEFF"/>
            </w:tcBorders>
            <w:shd w:val="clear" w:color="auto" w:fill="CCEEFF"/>
          </w:tcPr>
          <w:p>
            <w:pPr>
              <w:spacing w:after="0"/>
              <w:rPr>
                <w:sz w:val="21"/>
                <w:szCs w:val="21"/>
                <w:color w:val="auto"/>
              </w:rPr>
            </w:pPr>
          </w:p>
        </w:tc>
        <w:tc>
          <w:tcPr>
            <w:tcW w:w="7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4,135</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3,498</w:t>
            </w:r>
          </w:p>
        </w:tc>
        <w:tc>
          <w:tcPr>
            <w:tcW w:w="12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18.2 %</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7,467</w:t>
            </w:r>
          </w:p>
        </w:tc>
        <w:tc>
          <w:tcPr>
            <w:tcW w:w="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7,015</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6.4 %</w:t>
            </w:r>
          </w:p>
        </w:tc>
      </w:tr>
      <w:tr>
        <w:trPr>
          <w:trHeight w:val="243"/>
        </w:trPr>
        <w:tc>
          <w:tcPr>
            <w:tcW w:w="20" w:type="dxa"/>
            <w:vAlign w:val="bottom"/>
          </w:tcPr>
          <w:p>
            <w:pPr>
              <w:spacing w:after="0"/>
              <w:rPr>
                <w:sz w:val="21"/>
                <w:szCs w:val="21"/>
                <w:color w:val="auto"/>
              </w:rPr>
            </w:pPr>
          </w:p>
        </w:tc>
        <w:tc>
          <w:tcPr>
            <w:tcW w:w="2620" w:type="dxa"/>
            <w:vAlign w:val="bottom"/>
            <w:gridSpan w:val="4"/>
          </w:tcPr>
          <w:p>
            <w:pPr>
              <w:ind w:left="260"/>
              <w:spacing w:after="0"/>
              <w:rPr>
                <w:sz w:val="20"/>
                <w:szCs w:val="20"/>
                <w:color w:val="auto"/>
              </w:rPr>
            </w:pPr>
            <w:r>
              <w:rPr>
                <w:rFonts w:ascii="Arial" w:cs="Arial" w:eastAsia="Arial" w:hAnsi="Arial"/>
                <w:sz w:val="18"/>
                <w:szCs w:val="18"/>
                <w:color w:val="auto"/>
              </w:rPr>
              <w:t>Xenon</w:t>
            </w:r>
          </w:p>
        </w:tc>
        <w:tc>
          <w:tcPr>
            <w:tcW w:w="240" w:type="dxa"/>
            <w:vAlign w:val="bottom"/>
          </w:tcPr>
          <w:p>
            <w:pPr>
              <w:spacing w:after="0"/>
              <w:rPr>
                <w:sz w:val="21"/>
                <w:szCs w:val="21"/>
                <w:color w:val="auto"/>
              </w:rPr>
            </w:pPr>
          </w:p>
        </w:tc>
        <w:tc>
          <w:tcPr>
            <w:tcW w:w="8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2</w:t>
            </w:r>
          </w:p>
        </w:tc>
        <w:tc>
          <w:tcPr>
            <w:tcW w:w="12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(100.0)%</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860" w:type="dxa"/>
            <w:vAlign w:val="bottom"/>
          </w:tcPr>
          <w:p>
            <w:pPr>
              <w:jc w:val="right"/>
              <w:ind w:right="10"/>
              <w:spacing w:after="0"/>
              <w:rPr>
                <w:sz w:val="20"/>
                <w:szCs w:val="20"/>
                <w:color w:val="auto"/>
              </w:rPr>
            </w:pPr>
            <w:r>
              <w:rPr>
                <w:rFonts w:ascii="Arial" w:cs="Arial" w:eastAsia="Arial" w:hAnsi="Arial"/>
                <w:sz w:val="18"/>
                <w:szCs w:val="18"/>
                <w:color w:val="auto"/>
              </w:rPr>
              <w:t>4</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(100.0)%</w:t>
            </w:r>
          </w:p>
        </w:tc>
      </w:tr>
      <w:tr>
        <w:trPr>
          <w:trHeight w:val="27"/>
        </w:trPr>
        <w:tc>
          <w:tcPr>
            <w:tcW w:w="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60" w:type="dxa"/>
            <w:vAlign w:val="bottom"/>
          </w:tcPr>
          <w:p>
            <w:pPr>
              <w:spacing w:after="0"/>
              <w:rPr>
                <w:sz w:val="2"/>
                <w:szCs w:val="2"/>
                <w:color w:val="auto"/>
              </w:rPr>
            </w:pPr>
          </w:p>
        </w:tc>
        <w:tc>
          <w:tcPr>
            <w:tcW w:w="1640" w:type="dxa"/>
            <w:vAlign w:val="bottom"/>
          </w:tcPr>
          <w:p>
            <w:pPr>
              <w:spacing w:after="0"/>
              <w:rPr>
                <w:sz w:val="2"/>
                <w:szCs w:val="2"/>
                <w:color w:val="auto"/>
              </w:rPr>
            </w:pPr>
          </w:p>
        </w:tc>
        <w:tc>
          <w:tcPr>
            <w:tcW w:w="240" w:type="dxa"/>
            <w:vAlign w:val="bottom"/>
          </w:tcPr>
          <w:p>
            <w:pPr>
              <w:spacing w:after="0"/>
              <w:rPr>
                <w:sz w:val="2"/>
                <w:szCs w:val="2"/>
                <w:color w:val="auto"/>
              </w:rPr>
            </w:pPr>
          </w:p>
        </w:tc>
        <w:tc>
          <w:tcPr>
            <w:tcW w:w="7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74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940" w:type="dxa"/>
            <w:vAlign w:val="bottom"/>
          </w:tcPr>
          <w:p>
            <w:pPr>
              <w:spacing w:after="0"/>
              <w:rPr>
                <w:sz w:val="2"/>
                <w:szCs w:val="2"/>
                <w:color w:val="auto"/>
              </w:rPr>
            </w:pPr>
          </w:p>
        </w:tc>
      </w:tr>
      <w:tr>
        <w:trPr>
          <w:trHeight w:val="270"/>
        </w:trPr>
        <w:tc>
          <w:tcPr>
            <w:tcW w:w="20" w:type="dxa"/>
            <w:vAlign w:val="bottom"/>
            <w:tcBorders>
              <w:bottom w:val="single" w:sz="8" w:color="CCEEFF"/>
            </w:tcBorders>
            <w:shd w:val="clear" w:color="auto" w:fill="CCEEFF"/>
          </w:tcPr>
          <w:p>
            <w:pPr>
              <w:spacing w:after="0"/>
              <w:rPr>
                <w:sz w:val="23"/>
                <w:szCs w:val="23"/>
                <w:color w:val="auto"/>
              </w:rPr>
            </w:pPr>
          </w:p>
        </w:tc>
        <w:tc>
          <w:tcPr>
            <w:tcW w:w="2620" w:type="dxa"/>
            <w:vAlign w:val="bottom"/>
            <w:tcBorders>
              <w:bottom w:val="single" w:sz="8" w:color="CCEEFF"/>
            </w:tcBorders>
            <w:gridSpan w:val="4"/>
            <w:shd w:val="clear" w:color="auto" w:fill="CCEEFF"/>
          </w:tcPr>
          <w:p>
            <w:pPr>
              <w:ind w:left="260"/>
              <w:spacing w:after="0"/>
              <w:rPr>
                <w:sz w:val="20"/>
                <w:szCs w:val="20"/>
                <w:color w:val="auto"/>
              </w:rPr>
            </w:pPr>
            <w:r>
              <w:rPr>
                <w:rFonts w:ascii="Arial" w:cs="Arial" w:eastAsia="Arial" w:hAnsi="Arial"/>
                <w:sz w:val="18"/>
                <w:szCs w:val="18"/>
                <w:color w:val="auto"/>
              </w:rPr>
              <w:t>Other</w:t>
            </w:r>
          </w:p>
        </w:tc>
        <w:tc>
          <w:tcPr>
            <w:tcW w:w="240" w:type="dxa"/>
            <w:vAlign w:val="bottom"/>
            <w:tcBorders>
              <w:bottom w:val="single" w:sz="8" w:color="CCEEFF"/>
            </w:tcBorders>
            <w:shd w:val="clear" w:color="auto" w:fill="CCEEFF"/>
          </w:tcPr>
          <w:p>
            <w:pPr>
              <w:spacing w:after="0"/>
              <w:rPr>
                <w:sz w:val="23"/>
                <w:szCs w:val="23"/>
                <w:color w:val="auto"/>
              </w:rPr>
            </w:pPr>
          </w:p>
        </w:tc>
        <w:tc>
          <w:tcPr>
            <w:tcW w:w="7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6,357</w:t>
            </w:r>
          </w:p>
        </w:tc>
        <w:tc>
          <w:tcPr>
            <w:tcW w:w="10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6,320</w:t>
            </w:r>
          </w:p>
        </w:tc>
        <w:tc>
          <w:tcPr>
            <w:tcW w:w="12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0.6 %</w:t>
            </w:r>
          </w:p>
        </w:tc>
        <w:tc>
          <w:tcPr>
            <w:tcW w:w="12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7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13,018</w:t>
            </w:r>
          </w:p>
        </w:tc>
        <w:tc>
          <w:tcPr>
            <w:tcW w:w="8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8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12,344</w:t>
            </w: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5.5 %</w:t>
            </w:r>
          </w:p>
        </w:tc>
      </w:tr>
      <w:tr>
        <w:trPr>
          <w:trHeight w:val="237"/>
        </w:trPr>
        <w:tc>
          <w:tcPr>
            <w:tcW w:w="20" w:type="dxa"/>
            <w:vAlign w:val="bottom"/>
          </w:tcPr>
          <w:p>
            <w:pPr>
              <w:spacing w:after="0"/>
              <w:rPr>
                <w:sz w:val="20"/>
                <w:szCs w:val="20"/>
                <w:color w:val="auto"/>
              </w:rPr>
            </w:pPr>
          </w:p>
        </w:tc>
        <w:tc>
          <w:tcPr>
            <w:tcW w:w="2620" w:type="dxa"/>
            <w:vAlign w:val="bottom"/>
            <w:gridSpan w:val="4"/>
          </w:tcPr>
          <w:p>
            <w:pPr>
              <w:spacing w:after="0"/>
              <w:rPr>
                <w:sz w:val="20"/>
                <w:szCs w:val="20"/>
                <w:color w:val="auto"/>
              </w:rPr>
            </w:pPr>
            <w:r>
              <w:rPr>
                <w:rFonts w:ascii="Arial" w:cs="Arial" w:eastAsia="Arial" w:hAnsi="Arial"/>
                <w:sz w:val="18"/>
                <w:szCs w:val="18"/>
                <w:color w:val="auto"/>
              </w:rPr>
              <w:t>Total International</w:t>
            </w:r>
          </w:p>
        </w:tc>
        <w:tc>
          <w:tcPr>
            <w:tcW w:w="240" w:type="dxa"/>
            <w:vAlign w:val="bottom"/>
            <w:tcBorders>
              <w:top w:val="single" w:sz="8" w:color="auto"/>
            </w:tcBorders>
          </w:tcPr>
          <w:p>
            <w:pPr>
              <w:spacing w:after="0"/>
              <w:rPr>
                <w:sz w:val="20"/>
                <w:szCs w:val="20"/>
                <w:color w:val="auto"/>
              </w:rPr>
            </w:pPr>
          </w:p>
        </w:tc>
        <w:tc>
          <w:tcPr>
            <w:tcW w:w="7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11,487</w:t>
            </w:r>
          </w:p>
        </w:tc>
        <w:tc>
          <w:tcPr>
            <w:tcW w:w="100" w:type="dxa"/>
            <w:vAlign w:val="bottom"/>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10,737</w:t>
            </w:r>
          </w:p>
        </w:tc>
        <w:tc>
          <w:tcPr>
            <w:tcW w:w="120" w:type="dxa"/>
            <w:vAlign w:val="bottom"/>
          </w:tcPr>
          <w:p>
            <w:pPr>
              <w:spacing w:after="0"/>
              <w:rPr>
                <w:sz w:val="20"/>
                <w:szCs w:val="20"/>
                <w:color w:val="auto"/>
              </w:rPr>
            </w:pP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7.0 %</w:t>
            </w:r>
          </w:p>
        </w:tc>
        <w:tc>
          <w:tcPr>
            <w:tcW w:w="120" w:type="dxa"/>
            <w:vAlign w:val="bottom"/>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7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22,629</w:t>
            </w:r>
          </w:p>
        </w:tc>
        <w:tc>
          <w:tcPr>
            <w:tcW w:w="8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8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21,069</w:t>
            </w:r>
          </w:p>
        </w:tc>
        <w:tc>
          <w:tcPr>
            <w:tcW w:w="100" w:type="dxa"/>
            <w:vAlign w:val="bottom"/>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9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7.4 %</w:t>
            </w:r>
          </w:p>
        </w:tc>
      </w:tr>
      <w:tr>
        <w:trPr>
          <w:trHeight w:val="27"/>
        </w:trPr>
        <w:tc>
          <w:tcPr>
            <w:tcW w:w="20" w:type="dxa"/>
            <w:vAlign w:val="bottom"/>
            <w:tcBorders>
              <w:bottom w:val="single" w:sz="8" w:color="CCEEFF"/>
            </w:tcBorders>
          </w:tcPr>
          <w:p>
            <w:pPr>
              <w:spacing w:after="0"/>
              <w:rPr>
                <w:sz w:val="2"/>
                <w:szCs w:val="2"/>
                <w:color w:val="auto"/>
              </w:rPr>
            </w:pPr>
          </w:p>
        </w:tc>
        <w:tc>
          <w:tcPr>
            <w:tcW w:w="80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60" w:type="dxa"/>
            <w:vAlign w:val="bottom"/>
            <w:tcBorders>
              <w:bottom w:val="single" w:sz="8" w:color="CCEEFF"/>
            </w:tcBorders>
          </w:tcPr>
          <w:p>
            <w:pPr>
              <w:spacing w:after="0"/>
              <w:rPr>
                <w:sz w:val="2"/>
                <w:szCs w:val="2"/>
                <w:color w:val="auto"/>
              </w:rPr>
            </w:pPr>
          </w:p>
        </w:tc>
        <w:tc>
          <w:tcPr>
            <w:tcW w:w="164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r>
      <w:tr>
        <w:trPr>
          <w:trHeight w:val="196"/>
        </w:trPr>
        <w:tc>
          <w:tcPr>
            <w:tcW w:w="20" w:type="dxa"/>
            <w:vAlign w:val="bottom"/>
            <w:shd w:val="clear" w:color="auto" w:fill="CCEEFF"/>
          </w:tcPr>
          <w:p>
            <w:pPr>
              <w:spacing w:after="0"/>
              <w:rPr>
                <w:sz w:val="17"/>
                <w:szCs w:val="17"/>
                <w:color w:val="auto"/>
              </w:rPr>
            </w:pPr>
          </w:p>
        </w:tc>
        <w:tc>
          <w:tcPr>
            <w:tcW w:w="2620" w:type="dxa"/>
            <w:vAlign w:val="bottom"/>
            <w:gridSpan w:val="4"/>
            <w:shd w:val="clear" w:color="auto" w:fill="CCEEFF"/>
          </w:tcPr>
          <w:p>
            <w:pPr>
              <w:spacing w:after="0" w:line="196" w:lineRule="exact"/>
              <w:rPr>
                <w:sz w:val="20"/>
                <w:szCs w:val="20"/>
                <w:color w:val="auto"/>
              </w:rPr>
            </w:pPr>
            <w:r>
              <w:rPr>
                <w:rFonts w:ascii="Arial" w:cs="Arial" w:eastAsia="Arial" w:hAnsi="Arial"/>
                <w:sz w:val="18"/>
                <w:szCs w:val="18"/>
                <w:color w:val="auto"/>
              </w:rPr>
              <w:t>Worldwide</w:t>
            </w:r>
          </w:p>
        </w:tc>
        <w:tc>
          <w:tcPr>
            <w:tcW w:w="24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1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7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r>
      <w:tr>
        <w:trPr>
          <w:trHeight w:val="48"/>
        </w:trPr>
        <w:tc>
          <w:tcPr>
            <w:tcW w:w="20" w:type="dxa"/>
            <w:vAlign w:val="bottom"/>
            <w:tcBorders>
              <w:top w:val="single" w:sz="8" w:color="CCEEFF"/>
            </w:tcBorders>
            <w:shd w:val="clear" w:color="auto" w:fill="CCEEFF"/>
          </w:tcPr>
          <w:p>
            <w:pPr>
              <w:spacing w:after="0"/>
              <w:rPr>
                <w:sz w:val="4"/>
                <w:szCs w:val="4"/>
                <w:color w:val="auto"/>
              </w:rPr>
            </w:pPr>
          </w:p>
        </w:tc>
        <w:tc>
          <w:tcPr>
            <w:tcW w:w="800" w:type="dxa"/>
            <w:vAlign w:val="bottom"/>
            <w:tcBorders>
              <w:top w:val="single" w:sz="8" w:color="auto"/>
            </w:tcBorders>
            <w:shd w:val="clear" w:color="auto" w:fill="CCEEFF"/>
          </w:tcPr>
          <w:p>
            <w:pPr>
              <w:spacing w:after="0"/>
              <w:rPr>
                <w:sz w:val="4"/>
                <w:szCs w:val="4"/>
                <w:color w:val="auto"/>
              </w:rPr>
            </w:pPr>
          </w:p>
        </w:tc>
        <w:tc>
          <w:tcPr>
            <w:tcW w:w="120" w:type="dxa"/>
            <w:vAlign w:val="bottom"/>
            <w:tcBorders>
              <w:top w:val="single" w:sz="8" w:color="CCEEFF"/>
            </w:tcBorders>
            <w:shd w:val="clear" w:color="auto" w:fill="CCEEFF"/>
          </w:tcPr>
          <w:p>
            <w:pPr>
              <w:spacing w:after="0"/>
              <w:rPr>
                <w:sz w:val="4"/>
                <w:szCs w:val="4"/>
                <w:color w:val="auto"/>
              </w:rPr>
            </w:pPr>
          </w:p>
        </w:tc>
        <w:tc>
          <w:tcPr>
            <w:tcW w:w="60" w:type="dxa"/>
            <w:vAlign w:val="bottom"/>
            <w:tcBorders>
              <w:top w:val="single" w:sz="8" w:color="CCEEFF"/>
            </w:tcBorders>
            <w:shd w:val="clear" w:color="auto" w:fill="CCEEFF"/>
          </w:tcPr>
          <w:p>
            <w:pPr>
              <w:spacing w:after="0"/>
              <w:rPr>
                <w:sz w:val="4"/>
                <w:szCs w:val="4"/>
                <w:color w:val="auto"/>
              </w:rPr>
            </w:pPr>
          </w:p>
        </w:tc>
        <w:tc>
          <w:tcPr>
            <w:tcW w:w="1640" w:type="dxa"/>
            <w:vAlign w:val="bottom"/>
            <w:tcBorders>
              <w:top w:val="single" w:sz="8" w:color="CCEEFF"/>
            </w:tcBorders>
            <w:shd w:val="clear" w:color="auto" w:fill="CCEEFF"/>
          </w:tcPr>
          <w:p>
            <w:pPr>
              <w:spacing w:after="0"/>
              <w:rPr>
                <w:sz w:val="4"/>
                <w:szCs w:val="4"/>
                <w:color w:val="auto"/>
              </w:rPr>
            </w:pPr>
          </w:p>
        </w:tc>
        <w:tc>
          <w:tcPr>
            <w:tcW w:w="240" w:type="dxa"/>
            <w:vAlign w:val="bottom"/>
            <w:tcBorders>
              <w:top w:val="single" w:sz="8" w:color="CCEEFF"/>
            </w:tcBorders>
            <w:shd w:val="clear" w:color="auto" w:fill="CCEEFF"/>
          </w:tcPr>
          <w:p>
            <w:pPr>
              <w:spacing w:after="0"/>
              <w:rPr>
                <w:sz w:val="4"/>
                <w:szCs w:val="4"/>
                <w:color w:val="auto"/>
              </w:rPr>
            </w:pPr>
          </w:p>
        </w:tc>
        <w:tc>
          <w:tcPr>
            <w:tcW w:w="72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CCEEFF"/>
            </w:tcBorders>
            <w:shd w:val="clear" w:color="auto" w:fill="CCEEFF"/>
          </w:tcPr>
          <w:p>
            <w:pPr>
              <w:spacing w:after="0"/>
              <w:rPr>
                <w:sz w:val="4"/>
                <w:szCs w:val="4"/>
                <w:color w:val="auto"/>
              </w:rPr>
            </w:pPr>
          </w:p>
        </w:tc>
        <w:tc>
          <w:tcPr>
            <w:tcW w:w="220" w:type="dxa"/>
            <w:vAlign w:val="bottom"/>
            <w:tcBorders>
              <w:top w:val="single" w:sz="8" w:color="CCEEFF"/>
            </w:tcBorders>
            <w:shd w:val="clear" w:color="auto" w:fill="CCEEFF"/>
          </w:tcPr>
          <w:p>
            <w:pPr>
              <w:spacing w:after="0"/>
              <w:rPr>
                <w:sz w:val="4"/>
                <w:szCs w:val="4"/>
                <w:color w:val="auto"/>
              </w:rPr>
            </w:pPr>
          </w:p>
        </w:tc>
        <w:tc>
          <w:tcPr>
            <w:tcW w:w="800" w:type="dxa"/>
            <w:vAlign w:val="bottom"/>
            <w:tcBorders>
              <w:top w:val="single" w:sz="8" w:color="CCEEFF"/>
            </w:tcBorders>
            <w:shd w:val="clear" w:color="auto" w:fill="CCEEFF"/>
          </w:tcPr>
          <w:p>
            <w:pPr>
              <w:spacing w:after="0"/>
              <w:rPr>
                <w:sz w:val="4"/>
                <w:szCs w:val="4"/>
                <w:color w:val="auto"/>
              </w:rPr>
            </w:pPr>
          </w:p>
        </w:tc>
        <w:tc>
          <w:tcPr>
            <w:tcW w:w="120" w:type="dxa"/>
            <w:vAlign w:val="bottom"/>
            <w:tcBorders>
              <w:top w:val="single" w:sz="8" w:color="CCEEFF"/>
            </w:tcBorders>
            <w:shd w:val="clear" w:color="auto" w:fill="CCEEFF"/>
          </w:tcPr>
          <w:p>
            <w:pPr>
              <w:spacing w:after="0"/>
              <w:rPr>
                <w:sz w:val="4"/>
                <w:szCs w:val="4"/>
                <w:color w:val="auto"/>
              </w:rPr>
            </w:pPr>
          </w:p>
        </w:tc>
        <w:tc>
          <w:tcPr>
            <w:tcW w:w="1140" w:type="dxa"/>
            <w:vAlign w:val="bottom"/>
            <w:tcBorders>
              <w:top w:val="single" w:sz="8" w:color="CCEEFF"/>
            </w:tcBorders>
            <w:shd w:val="clear" w:color="auto" w:fill="CCEEFF"/>
          </w:tcPr>
          <w:p>
            <w:pPr>
              <w:spacing w:after="0"/>
              <w:rPr>
                <w:sz w:val="4"/>
                <w:szCs w:val="4"/>
                <w:color w:val="auto"/>
              </w:rPr>
            </w:pPr>
          </w:p>
        </w:tc>
        <w:tc>
          <w:tcPr>
            <w:tcW w:w="120" w:type="dxa"/>
            <w:vAlign w:val="bottom"/>
            <w:tcBorders>
              <w:top w:val="single" w:sz="8" w:color="CCEEFF"/>
            </w:tcBorders>
            <w:shd w:val="clear" w:color="auto" w:fill="CCEEFF"/>
          </w:tcPr>
          <w:p>
            <w:pPr>
              <w:spacing w:after="0"/>
              <w:rPr>
                <w:sz w:val="4"/>
                <w:szCs w:val="4"/>
                <w:color w:val="auto"/>
              </w:rPr>
            </w:pPr>
          </w:p>
        </w:tc>
        <w:tc>
          <w:tcPr>
            <w:tcW w:w="220" w:type="dxa"/>
            <w:vAlign w:val="bottom"/>
            <w:tcBorders>
              <w:top w:val="single" w:sz="8" w:color="CCEEFF"/>
            </w:tcBorders>
            <w:shd w:val="clear" w:color="auto" w:fill="CCEEFF"/>
          </w:tcPr>
          <w:p>
            <w:pPr>
              <w:spacing w:after="0"/>
              <w:rPr>
                <w:sz w:val="4"/>
                <w:szCs w:val="4"/>
                <w:color w:val="auto"/>
              </w:rPr>
            </w:pPr>
          </w:p>
        </w:tc>
        <w:tc>
          <w:tcPr>
            <w:tcW w:w="740" w:type="dxa"/>
            <w:vAlign w:val="bottom"/>
            <w:tcBorders>
              <w:top w:val="single" w:sz="8" w:color="CCEEFF"/>
            </w:tcBorders>
            <w:shd w:val="clear" w:color="auto" w:fill="CCEEFF"/>
          </w:tcPr>
          <w:p>
            <w:pPr>
              <w:spacing w:after="0"/>
              <w:rPr>
                <w:sz w:val="4"/>
                <w:szCs w:val="4"/>
                <w:color w:val="auto"/>
              </w:rPr>
            </w:pPr>
          </w:p>
        </w:tc>
        <w:tc>
          <w:tcPr>
            <w:tcW w:w="8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CCEEFF"/>
            </w:tcBorders>
            <w:shd w:val="clear" w:color="auto" w:fill="CCEEFF"/>
          </w:tcPr>
          <w:p>
            <w:pPr>
              <w:spacing w:after="0"/>
              <w:rPr>
                <w:sz w:val="4"/>
                <w:szCs w:val="4"/>
                <w:color w:val="auto"/>
              </w:rPr>
            </w:pPr>
          </w:p>
        </w:tc>
        <w:tc>
          <w:tcPr>
            <w:tcW w:w="200" w:type="dxa"/>
            <w:vAlign w:val="bottom"/>
            <w:tcBorders>
              <w:top w:val="single" w:sz="8" w:color="CCEEFF"/>
            </w:tcBorders>
            <w:shd w:val="clear" w:color="auto" w:fill="CCEEFF"/>
          </w:tcPr>
          <w:p>
            <w:pPr>
              <w:spacing w:after="0"/>
              <w:rPr>
                <w:sz w:val="4"/>
                <w:szCs w:val="4"/>
                <w:color w:val="auto"/>
              </w:rPr>
            </w:pPr>
          </w:p>
        </w:tc>
        <w:tc>
          <w:tcPr>
            <w:tcW w:w="86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CCEEFF"/>
            </w:tcBorders>
            <w:shd w:val="clear" w:color="auto" w:fill="CCEEFF"/>
          </w:tcPr>
          <w:p>
            <w:pPr>
              <w:spacing w:after="0"/>
              <w:rPr>
                <w:sz w:val="4"/>
                <w:szCs w:val="4"/>
                <w:color w:val="auto"/>
              </w:rPr>
            </w:pPr>
          </w:p>
        </w:tc>
        <w:tc>
          <w:tcPr>
            <w:tcW w:w="200" w:type="dxa"/>
            <w:vAlign w:val="bottom"/>
            <w:tcBorders>
              <w:top w:val="single" w:sz="8" w:color="CCEEFF"/>
            </w:tcBorders>
            <w:shd w:val="clear" w:color="auto" w:fill="CCEEFF"/>
          </w:tcPr>
          <w:p>
            <w:pPr>
              <w:spacing w:after="0"/>
              <w:rPr>
                <w:sz w:val="4"/>
                <w:szCs w:val="4"/>
                <w:color w:val="auto"/>
              </w:rPr>
            </w:pPr>
          </w:p>
        </w:tc>
        <w:tc>
          <w:tcPr>
            <w:tcW w:w="940" w:type="dxa"/>
            <w:vAlign w:val="bottom"/>
            <w:tcBorders>
              <w:top w:val="single" w:sz="8" w:color="CCEEFF"/>
            </w:tcBorders>
            <w:shd w:val="clear" w:color="auto" w:fill="CCEEFF"/>
          </w:tcPr>
          <w:p>
            <w:pPr>
              <w:spacing w:after="0"/>
              <w:rPr>
                <w:sz w:val="4"/>
                <w:szCs w:val="4"/>
                <w:color w:val="auto"/>
              </w:rPr>
            </w:pPr>
          </w:p>
        </w:tc>
      </w:tr>
      <w:tr>
        <w:trPr>
          <w:trHeight w:val="243"/>
        </w:trPr>
        <w:tc>
          <w:tcPr>
            <w:tcW w:w="20" w:type="dxa"/>
            <w:vAlign w:val="bottom"/>
          </w:tcPr>
          <w:p>
            <w:pPr>
              <w:spacing w:after="0"/>
              <w:rPr>
                <w:sz w:val="21"/>
                <w:szCs w:val="21"/>
                <w:color w:val="auto"/>
              </w:rPr>
            </w:pPr>
          </w:p>
        </w:tc>
        <w:tc>
          <w:tcPr>
            <w:tcW w:w="2620" w:type="dxa"/>
            <w:vAlign w:val="bottom"/>
            <w:gridSpan w:val="4"/>
          </w:tcPr>
          <w:p>
            <w:pPr>
              <w:ind w:left="260"/>
              <w:spacing w:after="0"/>
              <w:rPr>
                <w:sz w:val="20"/>
                <w:szCs w:val="20"/>
                <w:color w:val="auto"/>
              </w:rPr>
            </w:pPr>
            <w:r>
              <w:rPr>
                <w:rFonts w:ascii="Arial" w:cs="Arial" w:eastAsia="Arial" w:hAnsi="Arial"/>
                <w:sz w:val="18"/>
                <w:szCs w:val="18"/>
                <w:color w:val="auto"/>
              </w:rPr>
              <w:t>DEFINITY</w:t>
            </w:r>
          </w:p>
        </w:tc>
        <w:tc>
          <w:tcPr>
            <w:tcW w:w="240" w:type="dxa"/>
            <w:vAlign w:val="bottom"/>
          </w:tcPr>
          <w:p>
            <w:pPr>
              <w:spacing w:after="0"/>
              <w:rPr>
                <w:sz w:val="21"/>
                <w:szCs w:val="21"/>
                <w:color w:val="auto"/>
              </w:rPr>
            </w:pPr>
          </w:p>
        </w:tc>
        <w:tc>
          <w:tcPr>
            <w:tcW w:w="720" w:type="dxa"/>
            <w:vAlign w:val="bottom"/>
          </w:tcPr>
          <w:p>
            <w:pPr>
              <w:jc w:val="right"/>
              <w:ind w:right="10"/>
              <w:spacing w:after="0"/>
              <w:rPr>
                <w:sz w:val="20"/>
                <w:szCs w:val="20"/>
                <w:color w:val="auto"/>
              </w:rPr>
            </w:pPr>
            <w:r>
              <w:rPr>
                <w:rFonts w:ascii="Arial" w:cs="Arial" w:eastAsia="Arial" w:hAnsi="Arial"/>
                <w:sz w:val="18"/>
                <w:szCs w:val="18"/>
                <w:color w:val="auto"/>
              </w:rPr>
              <w:t>46,098</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40,128</w:t>
            </w:r>
          </w:p>
        </w:tc>
        <w:tc>
          <w:tcPr>
            <w:tcW w:w="12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14.9 %</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90,753</w:t>
            </w:r>
          </w:p>
        </w:tc>
        <w:tc>
          <w:tcPr>
            <w:tcW w:w="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860" w:type="dxa"/>
            <w:vAlign w:val="bottom"/>
          </w:tcPr>
          <w:p>
            <w:pPr>
              <w:jc w:val="right"/>
              <w:ind w:right="10"/>
              <w:spacing w:after="0"/>
              <w:rPr>
                <w:sz w:val="20"/>
                <w:szCs w:val="20"/>
                <w:color w:val="auto"/>
              </w:rPr>
            </w:pPr>
            <w:r>
              <w:rPr>
                <w:rFonts w:ascii="Arial" w:cs="Arial" w:eastAsia="Arial" w:hAnsi="Arial"/>
                <w:sz w:val="18"/>
                <w:szCs w:val="18"/>
                <w:color w:val="auto"/>
              </w:rPr>
              <w:t>77,840</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16.6 %</w:t>
            </w:r>
          </w:p>
        </w:tc>
      </w:tr>
      <w:tr>
        <w:trPr>
          <w:trHeight w:val="27"/>
        </w:trPr>
        <w:tc>
          <w:tcPr>
            <w:tcW w:w="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60" w:type="dxa"/>
            <w:vAlign w:val="bottom"/>
          </w:tcPr>
          <w:p>
            <w:pPr>
              <w:spacing w:after="0"/>
              <w:rPr>
                <w:sz w:val="2"/>
                <w:szCs w:val="2"/>
                <w:color w:val="auto"/>
              </w:rPr>
            </w:pPr>
          </w:p>
        </w:tc>
        <w:tc>
          <w:tcPr>
            <w:tcW w:w="1640" w:type="dxa"/>
            <w:vAlign w:val="bottom"/>
          </w:tcPr>
          <w:p>
            <w:pPr>
              <w:spacing w:after="0"/>
              <w:rPr>
                <w:sz w:val="2"/>
                <w:szCs w:val="2"/>
                <w:color w:val="auto"/>
              </w:rPr>
            </w:pPr>
          </w:p>
        </w:tc>
        <w:tc>
          <w:tcPr>
            <w:tcW w:w="240" w:type="dxa"/>
            <w:vAlign w:val="bottom"/>
          </w:tcPr>
          <w:p>
            <w:pPr>
              <w:spacing w:after="0"/>
              <w:rPr>
                <w:sz w:val="2"/>
                <w:szCs w:val="2"/>
                <w:color w:val="auto"/>
              </w:rPr>
            </w:pPr>
          </w:p>
        </w:tc>
        <w:tc>
          <w:tcPr>
            <w:tcW w:w="7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74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940" w:type="dxa"/>
            <w:vAlign w:val="bottom"/>
          </w:tcPr>
          <w:p>
            <w:pPr>
              <w:spacing w:after="0"/>
              <w:rPr>
                <w:sz w:val="2"/>
                <w:szCs w:val="2"/>
                <w:color w:val="auto"/>
              </w:rPr>
            </w:pPr>
          </w:p>
        </w:tc>
      </w:tr>
      <w:tr>
        <w:trPr>
          <w:trHeight w:val="250"/>
        </w:trPr>
        <w:tc>
          <w:tcPr>
            <w:tcW w:w="20" w:type="dxa"/>
            <w:vAlign w:val="bottom"/>
            <w:tcBorders>
              <w:bottom w:val="single" w:sz="8" w:color="CCEEFF"/>
            </w:tcBorders>
            <w:shd w:val="clear" w:color="auto" w:fill="CCEEFF"/>
          </w:tcPr>
          <w:p>
            <w:pPr>
              <w:spacing w:after="0"/>
              <w:rPr>
                <w:sz w:val="21"/>
                <w:szCs w:val="21"/>
                <w:color w:val="auto"/>
              </w:rPr>
            </w:pPr>
          </w:p>
        </w:tc>
        <w:tc>
          <w:tcPr>
            <w:tcW w:w="2620" w:type="dxa"/>
            <w:vAlign w:val="bottom"/>
            <w:tcBorders>
              <w:bottom w:val="single" w:sz="8" w:color="CCEEFF"/>
            </w:tcBorders>
            <w:gridSpan w:val="4"/>
            <w:shd w:val="clear" w:color="auto" w:fill="CCEEFF"/>
          </w:tcPr>
          <w:p>
            <w:pPr>
              <w:ind w:left="260"/>
              <w:spacing w:after="0"/>
              <w:rPr>
                <w:sz w:val="20"/>
                <w:szCs w:val="20"/>
                <w:color w:val="auto"/>
              </w:rPr>
            </w:pPr>
            <w:r>
              <w:rPr>
                <w:rFonts w:ascii="Arial" w:cs="Arial" w:eastAsia="Arial" w:hAnsi="Arial"/>
                <w:sz w:val="18"/>
                <w:szCs w:val="18"/>
                <w:color w:val="auto"/>
              </w:rPr>
              <w:t>TechneLite</w:t>
            </w:r>
          </w:p>
        </w:tc>
        <w:tc>
          <w:tcPr>
            <w:tcW w:w="240" w:type="dxa"/>
            <w:vAlign w:val="bottom"/>
            <w:tcBorders>
              <w:bottom w:val="single" w:sz="8" w:color="CCEEFF"/>
            </w:tcBorders>
            <w:shd w:val="clear" w:color="auto" w:fill="CCEEFF"/>
          </w:tcPr>
          <w:p>
            <w:pPr>
              <w:spacing w:after="0"/>
              <w:rPr>
                <w:sz w:val="21"/>
                <w:szCs w:val="21"/>
                <w:color w:val="auto"/>
              </w:rPr>
            </w:pPr>
          </w:p>
        </w:tc>
        <w:tc>
          <w:tcPr>
            <w:tcW w:w="7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23,478</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26,718</w:t>
            </w:r>
          </w:p>
        </w:tc>
        <w:tc>
          <w:tcPr>
            <w:tcW w:w="12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(12.1)%</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44,873</w:t>
            </w:r>
          </w:p>
        </w:tc>
        <w:tc>
          <w:tcPr>
            <w:tcW w:w="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53,544</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(16.2)%</w:t>
            </w:r>
          </w:p>
        </w:tc>
      </w:tr>
      <w:tr>
        <w:trPr>
          <w:trHeight w:val="243"/>
        </w:trPr>
        <w:tc>
          <w:tcPr>
            <w:tcW w:w="20" w:type="dxa"/>
            <w:vAlign w:val="bottom"/>
          </w:tcPr>
          <w:p>
            <w:pPr>
              <w:spacing w:after="0"/>
              <w:rPr>
                <w:sz w:val="21"/>
                <w:szCs w:val="21"/>
                <w:color w:val="auto"/>
              </w:rPr>
            </w:pPr>
          </w:p>
        </w:tc>
        <w:tc>
          <w:tcPr>
            <w:tcW w:w="2620" w:type="dxa"/>
            <w:vAlign w:val="bottom"/>
            <w:gridSpan w:val="4"/>
          </w:tcPr>
          <w:p>
            <w:pPr>
              <w:ind w:left="260"/>
              <w:spacing w:after="0"/>
              <w:rPr>
                <w:sz w:val="20"/>
                <w:szCs w:val="20"/>
                <w:color w:val="auto"/>
              </w:rPr>
            </w:pPr>
            <w:r>
              <w:rPr>
                <w:rFonts w:ascii="Arial" w:cs="Arial" w:eastAsia="Arial" w:hAnsi="Arial"/>
                <w:sz w:val="18"/>
                <w:szCs w:val="18"/>
                <w:color w:val="auto"/>
              </w:rPr>
              <w:t>Xenon</w:t>
            </w:r>
          </w:p>
        </w:tc>
        <w:tc>
          <w:tcPr>
            <w:tcW w:w="240" w:type="dxa"/>
            <w:vAlign w:val="bottom"/>
          </w:tcPr>
          <w:p>
            <w:pPr>
              <w:spacing w:after="0"/>
              <w:rPr>
                <w:sz w:val="21"/>
                <w:szCs w:val="21"/>
                <w:color w:val="auto"/>
              </w:rPr>
            </w:pPr>
          </w:p>
        </w:tc>
        <w:tc>
          <w:tcPr>
            <w:tcW w:w="720" w:type="dxa"/>
            <w:vAlign w:val="bottom"/>
          </w:tcPr>
          <w:p>
            <w:pPr>
              <w:jc w:val="right"/>
              <w:ind w:right="10"/>
              <w:spacing w:after="0"/>
              <w:rPr>
                <w:sz w:val="20"/>
                <w:szCs w:val="20"/>
                <w:color w:val="auto"/>
              </w:rPr>
            </w:pPr>
            <w:r>
              <w:rPr>
                <w:rFonts w:ascii="Arial" w:cs="Arial" w:eastAsia="Arial" w:hAnsi="Arial"/>
                <w:sz w:val="18"/>
                <w:szCs w:val="18"/>
                <w:color w:val="auto"/>
              </w:rPr>
              <w:t>7,639</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7,927</w:t>
            </w:r>
          </w:p>
        </w:tc>
        <w:tc>
          <w:tcPr>
            <w:tcW w:w="120" w:type="dxa"/>
            <w:vAlign w:val="bottom"/>
          </w:tcPr>
          <w:p>
            <w:pPr>
              <w:spacing w:after="0"/>
              <w:rPr>
                <w:sz w:val="21"/>
                <w:szCs w:val="21"/>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(3.6)%</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15,566</w:t>
            </w:r>
          </w:p>
        </w:tc>
        <w:tc>
          <w:tcPr>
            <w:tcW w:w="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860" w:type="dxa"/>
            <w:vAlign w:val="bottom"/>
          </w:tcPr>
          <w:p>
            <w:pPr>
              <w:jc w:val="right"/>
              <w:ind w:right="10"/>
              <w:spacing w:after="0"/>
              <w:rPr>
                <w:sz w:val="20"/>
                <w:szCs w:val="20"/>
                <w:color w:val="auto"/>
              </w:rPr>
            </w:pPr>
            <w:r>
              <w:rPr>
                <w:rFonts w:ascii="Arial" w:cs="Arial" w:eastAsia="Arial" w:hAnsi="Arial"/>
                <w:sz w:val="18"/>
                <w:szCs w:val="18"/>
                <w:color w:val="auto"/>
              </w:rPr>
              <w:t>15,987</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(2.6)%</w:t>
            </w:r>
          </w:p>
        </w:tc>
      </w:tr>
      <w:tr>
        <w:trPr>
          <w:trHeight w:val="27"/>
        </w:trPr>
        <w:tc>
          <w:tcPr>
            <w:tcW w:w="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60" w:type="dxa"/>
            <w:vAlign w:val="bottom"/>
          </w:tcPr>
          <w:p>
            <w:pPr>
              <w:spacing w:after="0"/>
              <w:rPr>
                <w:sz w:val="2"/>
                <w:szCs w:val="2"/>
                <w:color w:val="auto"/>
              </w:rPr>
            </w:pPr>
          </w:p>
        </w:tc>
        <w:tc>
          <w:tcPr>
            <w:tcW w:w="1640" w:type="dxa"/>
            <w:vAlign w:val="bottom"/>
          </w:tcPr>
          <w:p>
            <w:pPr>
              <w:spacing w:after="0"/>
              <w:rPr>
                <w:sz w:val="2"/>
                <w:szCs w:val="2"/>
                <w:color w:val="auto"/>
              </w:rPr>
            </w:pPr>
          </w:p>
        </w:tc>
        <w:tc>
          <w:tcPr>
            <w:tcW w:w="240" w:type="dxa"/>
            <w:vAlign w:val="bottom"/>
          </w:tcPr>
          <w:p>
            <w:pPr>
              <w:spacing w:after="0"/>
              <w:rPr>
                <w:sz w:val="2"/>
                <w:szCs w:val="2"/>
                <w:color w:val="auto"/>
              </w:rPr>
            </w:pPr>
          </w:p>
        </w:tc>
        <w:tc>
          <w:tcPr>
            <w:tcW w:w="7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74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8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940" w:type="dxa"/>
            <w:vAlign w:val="bottom"/>
          </w:tcPr>
          <w:p>
            <w:pPr>
              <w:spacing w:after="0"/>
              <w:rPr>
                <w:sz w:val="2"/>
                <w:szCs w:val="2"/>
                <w:color w:val="auto"/>
              </w:rPr>
            </w:pPr>
          </w:p>
        </w:tc>
      </w:tr>
      <w:tr>
        <w:trPr>
          <w:trHeight w:val="270"/>
        </w:trPr>
        <w:tc>
          <w:tcPr>
            <w:tcW w:w="20" w:type="dxa"/>
            <w:vAlign w:val="bottom"/>
            <w:tcBorders>
              <w:bottom w:val="single" w:sz="8" w:color="CCEEFF"/>
            </w:tcBorders>
            <w:shd w:val="clear" w:color="auto" w:fill="CCEEFF"/>
          </w:tcPr>
          <w:p>
            <w:pPr>
              <w:spacing w:after="0"/>
              <w:rPr>
                <w:sz w:val="23"/>
                <w:szCs w:val="23"/>
                <w:color w:val="auto"/>
              </w:rPr>
            </w:pPr>
          </w:p>
        </w:tc>
        <w:tc>
          <w:tcPr>
            <w:tcW w:w="2620" w:type="dxa"/>
            <w:vAlign w:val="bottom"/>
            <w:tcBorders>
              <w:bottom w:val="single" w:sz="8" w:color="CCEEFF"/>
            </w:tcBorders>
            <w:gridSpan w:val="4"/>
            <w:shd w:val="clear" w:color="auto" w:fill="CCEEFF"/>
          </w:tcPr>
          <w:p>
            <w:pPr>
              <w:ind w:left="260"/>
              <w:spacing w:after="0"/>
              <w:rPr>
                <w:sz w:val="20"/>
                <w:szCs w:val="20"/>
                <w:color w:val="auto"/>
              </w:rPr>
            </w:pPr>
            <w:r>
              <w:rPr>
                <w:rFonts w:ascii="Arial" w:cs="Arial" w:eastAsia="Arial" w:hAnsi="Arial"/>
                <w:sz w:val="18"/>
                <w:szCs w:val="18"/>
                <w:color w:val="auto"/>
              </w:rPr>
              <w:t>Other</w:t>
            </w:r>
          </w:p>
        </w:tc>
        <w:tc>
          <w:tcPr>
            <w:tcW w:w="240" w:type="dxa"/>
            <w:vAlign w:val="bottom"/>
            <w:tcBorders>
              <w:bottom w:val="single" w:sz="8" w:color="CCEEFF"/>
            </w:tcBorders>
            <w:shd w:val="clear" w:color="auto" w:fill="CCEEFF"/>
          </w:tcPr>
          <w:p>
            <w:pPr>
              <w:spacing w:after="0"/>
              <w:rPr>
                <w:sz w:val="23"/>
                <w:szCs w:val="23"/>
                <w:color w:val="auto"/>
              </w:rPr>
            </w:pPr>
          </w:p>
        </w:tc>
        <w:tc>
          <w:tcPr>
            <w:tcW w:w="7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8,358</w:t>
            </w:r>
          </w:p>
        </w:tc>
        <w:tc>
          <w:tcPr>
            <w:tcW w:w="10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14,064</w:t>
            </w:r>
          </w:p>
        </w:tc>
        <w:tc>
          <w:tcPr>
            <w:tcW w:w="12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(40.6)%</w:t>
            </w:r>
          </w:p>
        </w:tc>
        <w:tc>
          <w:tcPr>
            <w:tcW w:w="12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7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17,011</w:t>
            </w:r>
          </w:p>
        </w:tc>
        <w:tc>
          <w:tcPr>
            <w:tcW w:w="8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8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22,825</w:t>
            </w: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(25.5)%</w:t>
            </w:r>
          </w:p>
        </w:tc>
      </w:tr>
      <w:tr>
        <w:trPr>
          <w:trHeight w:val="257"/>
        </w:trPr>
        <w:tc>
          <w:tcPr>
            <w:tcW w:w="20" w:type="dxa"/>
            <w:vAlign w:val="bottom"/>
          </w:tcPr>
          <w:p>
            <w:pPr>
              <w:spacing w:after="0"/>
              <w:rPr>
                <w:sz w:val="22"/>
                <w:szCs w:val="22"/>
                <w:color w:val="auto"/>
              </w:rPr>
            </w:pPr>
          </w:p>
        </w:tc>
        <w:tc>
          <w:tcPr>
            <w:tcW w:w="2620" w:type="dxa"/>
            <w:vAlign w:val="bottom"/>
            <w:gridSpan w:val="4"/>
          </w:tcPr>
          <w:p>
            <w:pPr>
              <w:spacing w:after="0"/>
              <w:rPr>
                <w:sz w:val="20"/>
                <w:szCs w:val="20"/>
                <w:color w:val="auto"/>
              </w:rPr>
            </w:pPr>
            <w:r>
              <w:rPr>
                <w:rFonts w:ascii="Arial" w:cs="Arial" w:eastAsia="Arial" w:hAnsi="Arial"/>
                <w:sz w:val="18"/>
                <w:szCs w:val="18"/>
                <w:color w:val="auto"/>
              </w:rPr>
              <w:t>Total Revenues</w:t>
            </w:r>
          </w:p>
        </w:tc>
        <w:tc>
          <w:tcPr>
            <w:tcW w:w="24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72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85,573</w:t>
            </w:r>
          </w:p>
        </w:tc>
        <w:tc>
          <w:tcPr>
            <w:tcW w:w="100" w:type="dxa"/>
            <w:vAlign w:val="bottom"/>
          </w:tcPr>
          <w:p>
            <w:pPr>
              <w:spacing w:after="0"/>
              <w:rPr>
                <w:sz w:val="22"/>
                <w:szCs w:val="22"/>
                <w:color w:val="auto"/>
              </w:rPr>
            </w:pPr>
          </w:p>
        </w:tc>
        <w:tc>
          <w:tcPr>
            <w:tcW w:w="22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88,837</w:t>
            </w:r>
          </w:p>
        </w:tc>
        <w:tc>
          <w:tcPr>
            <w:tcW w:w="120" w:type="dxa"/>
            <w:vAlign w:val="bottom"/>
          </w:tcPr>
          <w:p>
            <w:pPr>
              <w:spacing w:after="0"/>
              <w:rPr>
                <w:sz w:val="22"/>
                <w:szCs w:val="22"/>
                <w:color w:val="auto"/>
              </w:rPr>
            </w:pPr>
          </w:p>
        </w:tc>
        <w:tc>
          <w:tcPr>
            <w:tcW w:w="1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(3.7)%</w:t>
            </w:r>
          </w:p>
        </w:tc>
        <w:tc>
          <w:tcPr>
            <w:tcW w:w="120" w:type="dxa"/>
            <w:vAlign w:val="bottom"/>
          </w:tcPr>
          <w:p>
            <w:pPr>
              <w:spacing w:after="0"/>
              <w:rPr>
                <w:sz w:val="22"/>
                <w:szCs w:val="22"/>
                <w:color w:val="auto"/>
              </w:rPr>
            </w:pPr>
          </w:p>
        </w:tc>
        <w:tc>
          <w:tcPr>
            <w:tcW w:w="22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w w:val="79"/>
              </w:rPr>
              <w:t>$</w:t>
            </w:r>
          </w:p>
        </w:tc>
        <w:tc>
          <w:tcPr>
            <w:tcW w:w="7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168,203</w:t>
            </w:r>
          </w:p>
        </w:tc>
        <w:tc>
          <w:tcPr>
            <w:tcW w:w="80" w:type="dxa"/>
            <w:vAlign w:val="bottom"/>
            <w:tcBorders>
              <w:top w:val="single" w:sz="8" w:color="auto"/>
              <w:bottom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86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rPr>
              <w:t>170,196</w:t>
            </w:r>
          </w:p>
        </w:tc>
        <w:tc>
          <w:tcPr>
            <w:tcW w:w="100" w:type="dxa"/>
            <w:vAlign w:val="bottom"/>
          </w:tcPr>
          <w:p>
            <w:pPr>
              <w:spacing w:after="0"/>
              <w:rPr>
                <w:sz w:val="22"/>
                <w:szCs w:val="22"/>
                <w:color w:val="auto"/>
              </w:rPr>
            </w:pPr>
          </w:p>
        </w:tc>
        <w:tc>
          <w:tcPr>
            <w:tcW w:w="200" w:type="dxa"/>
            <w:vAlign w:val="bottom"/>
            <w:tcBorders>
              <w:top w:val="single" w:sz="8" w:color="auto"/>
              <w:bottom w:val="single" w:sz="8" w:color="auto"/>
            </w:tcBorders>
          </w:tcPr>
          <w:p>
            <w:pPr>
              <w:spacing w:after="0"/>
              <w:rPr>
                <w:sz w:val="22"/>
                <w:szCs w:val="22"/>
                <w:color w:val="auto"/>
              </w:rPr>
            </w:pPr>
          </w:p>
        </w:tc>
        <w:tc>
          <w:tcPr>
            <w:tcW w:w="9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(1.2)%</w:t>
            </w:r>
          </w:p>
        </w:tc>
      </w:tr>
      <w:tr>
        <w:trPr>
          <w:trHeight w:val="20"/>
        </w:trPr>
        <w:tc>
          <w:tcPr>
            <w:tcW w:w="2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4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4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Page 5 of 10</w:t>
      </w:r>
    </w:p>
    <w:p>
      <w:pPr>
        <w:sectPr>
          <w:pgSz w:w="11900" w:h="16838" w:orient="portrait"/>
          <w:cols w:equalWidth="0" w:num="1">
            <w:col w:w="9540"/>
          </w:cols>
          <w:pgMar w:left="1180" w:top="850" w:right="1179" w:bottom="1440" w:gutter="0" w:footer="0" w:header="0"/>
        </w:sectPr>
      </w:pPr>
    </w:p>
    <w:bookmarkStart w:id="9" w:name="page10"/>
    <w:bookmarkEnd w:id="9"/>
    <w:p>
      <w:pPr>
        <w:ind w:left="3840"/>
        <w:spacing w:after="0"/>
        <w:rPr>
          <w:sz w:val="20"/>
          <w:szCs w:val="20"/>
          <w:color w:val="auto"/>
        </w:rPr>
      </w:pPr>
      <w:r>
        <w:rPr>
          <w:rFonts w:ascii="Arial" w:cs="Arial" w:eastAsia="Arial" w:hAnsi="Arial"/>
          <w:sz w:val="18"/>
          <w:szCs w:val="18"/>
          <w:b w:val="1"/>
          <w:bCs w:val="1"/>
          <w:color w:val="auto"/>
        </w:rPr>
        <w:t>Lantheus Holdings, Inc.</w:t>
      </w:r>
    </w:p>
    <w:p>
      <w:pPr>
        <w:spacing w:after="0" w:line="117" w:lineRule="exact"/>
        <w:rPr>
          <w:sz w:val="20"/>
          <w:szCs w:val="20"/>
          <w:color w:val="auto"/>
        </w:rPr>
      </w:pPr>
    </w:p>
    <w:p>
      <w:pPr>
        <w:ind w:left="2500"/>
        <w:spacing w:after="0"/>
        <w:rPr>
          <w:sz w:val="20"/>
          <w:szCs w:val="20"/>
          <w:color w:val="auto"/>
        </w:rPr>
      </w:pPr>
      <w:r>
        <w:rPr>
          <w:rFonts w:ascii="Arial" w:cs="Arial" w:eastAsia="Arial" w:hAnsi="Arial"/>
          <w:sz w:val="18"/>
          <w:szCs w:val="18"/>
          <w:b w:val="1"/>
          <w:bCs w:val="1"/>
          <w:color w:val="auto"/>
        </w:rPr>
        <w:t>Reconciliation of GAAP to Non-GAAP Financial Measures</w:t>
      </w:r>
    </w:p>
    <w:p>
      <w:pPr>
        <w:spacing w:after="0" w:line="67"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(in thousands – unaudited)</w:t>
      </w:r>
    </w:p>
    <w:p>
      <w:pPr>
        <w:spacing w:after="0" w:line="200" w:lineRule="exact"/>
        <w:rPr>
          <w:sz w:val="20"/>
          <w:szCs w:val="20"/>
          <w:color w:val="auto"/>
        </w:rPr>
      </w:pPr>
    </w:p>
    <w:p>
      <w:pPr>
        <w:spacing w:after="0" w:line="399"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400" w:type="dxa"/>
            <w:vAlign w:val="bottom"/>
            <w:gridSpan w:val="6"/>
          </w:tcPr>
          <w:p>
            <w:pPr>
              <w:ind w:left="180"/>
              <w:spacing w:after="0"/>
              <w:rPr>
                <w:sz w:val="20"/>
                <w:szCs w:val="20"/>
                <w:color w:val="auto"/>
              </w:rPr>
            </w:pPr>
            <w:r>
              <w:rPr>
                <w:rFonts w:ascii="Arial" w:cs="Arial" w:eastAsia="Arial" w:hAnsi="Arial"/>
                <w:sz w:val="18"/>
                <w:szCs w:val="18"/>
                <w:b w:val="1"/>
                <w:bCs w:val="1"/>
                <w:color w:val="auto"/>
              </w:rPr>
              <w:t>Three Months Ended</w:t>
            </w:r>
          </w:p>
        </w:tc>
        <w:tc>
          <w:tcPr>
            <w:tcW w:w="260" w:type="dxa"/>
            <w:vAlign w:val="bottom"/>
          </w:tcPr>
          <w:p>
            <w:pPr>
              <w:spacing w:after="0"/>
              <w:rPr>
                <w:sz w:val="18"/>
                <w:szCs w:val="18"/>
                <w:color w:val="auto"/>
              </w:rPr>
            </w:pPr>
          </w:p>
        </w:tc>
        <w:tc>
          <w:tcPr>
            <w:tcW w:w="2320" w:type="dxa"/>
            <w:vAlign w:val="bottom"/>
            <w:gridSpan w:val="5"/>
          </w:tcPr>
          <w:p>
            <w:pPr>
              <w:jc w:val="right"/>
              <w:ind w:right="510"/>
              <w:spacing w:after="0"/>
              <w:rPr>
                <w:sz w:val="20"/>
                <w:szCs w:val="20"/>
                <w:color w:val="auto"/>
              </w:rPr>
            </w:pPr>
            <w:r>
              <w:rPr>
                <w:rFonts w:ascii="Arial" w:cs="Arial" w:eastAsia="Arial" w:hAnsi="Arial"/>
                <w:sz w:val="18"/>
                <w:szCs w:val="18"/>
                <w:b w:val="1"/>
                <w:bCs w:val="1"/>
                <w:color w:val="auto"/>
              </w:rPr>
              <w:t>Six Months Ended</w:t>
            </w:r>
          </w:p>
        </w:tc>
      </w:tr>
      <w:tr>
        <w:trPr>
          <w:trHeight w:val="234"/>
        </w:trPr>
        <w:tc>
          <w:tcPr>
            <w:tcW w:w="42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740" w:type="dxa"/>
            <w:vAlign w:val="bottom"/>
            <w:gridSpan w:val="3"/>
          </w:tcPr>
          <w:p>
            <w:pPr>
              <w:jc w:val="right"/>
              <w:ind w:right="60"/>
              <w:spacing w:after="0"/>
              <w:rPr>
                <w:sz w:val="20"/>
                <w:szCs w:val="20"/>
                <w:color w:val="auto"/>
              </w:rPr>
            </w:pPr>
            <w:r>
              <w:rPr>
                <w:rFonts w:ascii="Arial" w:cs="Arial" w:eastAsia="Arial" w:hAnsi="Arial"/>
                <w:sz w:val="18"/>
                <w:szCs w:val="18"/>
                <w:b w:val="1"/>
                <w:bCs w:val="1"/>
                <w:color w:val="auto"/>
                <w:w w:val="91"/>
              </w:rPr>
              <w:t>June 30,</w:t>
            </w:r>
          </w:p>
        </w:tc>
        <w:tc>
          <w:tcPr>
            <w:tcW w:w="9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740" w:type="dxa"/>
            <w:vAlign w:val="bottom"/>
            <w:gridSpan w:val="3"/>
          </w:tcPr>
          <w:p>
            <w:pPr>
              <w:jc w:val="right"/>
              <w:ind w:right="60"/>
              <w:spacing w:after="0"/>
              <w:rPr>
                <w:sz w:val="20"/>
                <w:szCs w:val="20"/>
                <w:color w:val="auto"/>
              </w:rPr>
            </w:pPr>
            <w:r>
              <w:rPr>
                <w:rFonts w:ascii="Arial" w:cs="Arial" w:eastAsia="Arial" w:hAnsi="Arial"/>
                <w:sz w:val="18"/>
                <w:szCs w:val="18"/>
                <w:b w:val="1"/>
                <w:bCs w:val="1"/>
                <w:color w:val="auto"/>
                <w:w w:val="91"/>
              </w:rPr>
              <w:t>June 30,</w:t>
            </w:r>
          </w:p>
        </w:tc>
        <w:tc>
          <w:tcPr>
            <w:tcW w:w="900" w:type="dxa"/>
            <w:vAlign w:val="bottom"/>
          </w:tcPr>
          <w:p>
            <w:pPr>
              <w:spacing w:after="0"/>
              <w:rPr>
                <w:sz w:val="20"/>
                <w:szCs w:val="20"/>
                <w:color w:val="auto"/>
              </w:rPr>
            </w:pPr>
          </w:p>
        </w:tc>
      </w:tr>
      <w:tr>
        <w:trPr>
          <w:trHeight w:val="27"/>
        </w:trPr>
        <w:tc>
          <w:tcPr>
            <w:tcW w:w="428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r>
      <w:tr>
        <w:trPr>
          <w:trHeight w:val="237"/>
        </w:trPr>
        <w:tc>
          <w:tcPr>
            <w:tcW w:w="42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660" w:type="dxa"/>
            <w:vAlign w:val="bottom"/>
          </w:tcPr>
          <w:p>
            <w:pPr>
              <w:jc w:val="right"/>
              <w:ind w:right="50"/>
              <w:spacing w:after="0"/>
              <w:rPr>
                <w:sz w:val="20"/>
                <w:szCs w:val="20"/>
                <w:color w:val="auto"/>
              </w:rPr>
            </w:pPr>
            <w:r>
              <w:rPr>
                <w:rFonts w:ascii="Arial" w:cs="Arial" w:eastAsia="Arial" w:hAnsi="Arial"/>
                <w:sz w:val="18"/>
                <w:szCs w:val="18"/>
                <w:b w:val="1"/>
                <w:bCs w:val="1"/>
                <w:color w:val="auto"/>
              </w:rPr>
              <w:t>2018</w:t>
            </w:r>
          </w:p>
        </w:tc>
        <w:tc>
          <w:tcPr>
            <w:tcW w:w="3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900" w:type="dxa"/>
            <w:vAlign w:val="bottom"/>
          </w:tcPr>
          <w:p>
            <w:pPr>
              <w:jc w:val="right"/>
              <w:ind w:right="350"/>
              <w:spacing w:after="0"/>
              <w:rPr>
                <w:sz w:val="20"/>
                <w:szCs w:val="20"/>
                <w:color w:val="auto"/>
              </w:rPr>
            </w:pPr>
            <w:r>
              <w:rPr>
                <w:rFonts w:ascii="Arial" w:cs="Arial" w:eastAsia="Arial" w:hAnsi="Arial"/>
                <w:sz w:val="18"/>
                <w:szCs w:val="18"/>
                <w:b w:val="1"/>
                <w:bCs w:val="1"/>
                <w:color w:val="auto"/>
              </w:rPr>
              <w:t>2017</w:t>
            </w: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680" w:type="dxa"/>
            <w:vAlign w:val="bottom"/>
          </w:tcPr>
          <w:p>
            <w:pPr>
              <w:jc w:val="right"/>
              <w:ind w:right="50"/>
              <w:spacing w:after="0"/>
              <w:rPr>
                <w:sz w:val="20"/>
                <w:szCs w:val="20"/>
                <w:color w:val="auto"/>
              </w:rPr>
            </w:pPr>
            <w:r>
              <w:rPr>
                <w:rFonts w:ascii="Arial" w:cs="Arial" w:eastAsia="Arial" w:hAnsi="Arial"/>
                <w:sz w:val="18"/>
                <w:szCs w:val="18"/>
                <w:b w:val="1"/>
                <w:bCs w:val="1"/>
                <w:color w:val="auto"/>
              </w:rPr>
              <w:t>2018</w:t>
            </w:r>
          </w:p>
        </w:tc>
        <w:tc>
          <w:tcPr>
            <w:tcW w:w="3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900" w:type="dxa"/>
            <w:vAlign w:val="bottom"/>
          </w:tcPr>
          <w:p>
            <w:pPr>
              <w:jc w:val="right"/>
              <w:ind w:right="350"/>
              <w:spacing w:after="0"/>
              <w:rPr>
                <w:sz w:val="20"/>
                <w:szCs w:val="20"/>
                <w:color w:val="auto"/>
              </w:rPr>
            </w:pPr>
            <w:r>
              <w:rPr>
                <w:rFonts w:ascii="Arial" w:cs="Arial" w:eastAsia="Arial" w:hAnsi="Arial"/>
                <w:sz w:val="18"/>
                <w:szCs w:val="18"/>
                <w:b w:val="1"/>
                <w:bCs w:val="1"/>
                <w:color w:val="auto"/>
              </w:rPr>
              <w:t>2017</w:t>
            </w:r>
          </w:p>
        </w:tc>
      </w:tr>
      <w:tr>
        <w:trPr>
          <w:trHeight w:val="27"/>
        </w:trPr>
        <w:tc>
          <w:tcPr>
            <w:tcW w:w="428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r>
      <w:tr>
        <w:trPr>
          <w:trHeight w:val="244"/>
        </w:trPr>
        <w:tc>
          <w:tcPr>
            <w:tcW w:w="42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Operating income</w:t>
            </w:r>
          </w:p>
        </w:tc>
        <w:tc>
          <w:tcPr>
            <w:tcW w:w="26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79"/>
              </w:rPr>
              <w:t>$</w:t>
            </w:r>
          </w:p>
        </w:tc>
        <w:tc>
          <w:tcPr>
            <w:tcW w:w="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15,926</w:t>
            </w:r>
          </w:p>
        </w:tc>
        <w:tc>
          <w:tcPr>
            <w:tcW w:w="740" w:type="dxa"/>
            <w:vAlign w:val="bottom"/>
            <w:tcBorders>
              <w:bottom w:val="single" w:sz="8" w:color="CCEEFF"/>
            </w:tcBorders>
            <w:gridSpan w:val="3"/>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900" w:type="dxa"/>
            <w:vAlign w:val="bottom"/>
            <w:tcBorders>
              <w:bottom w:val="single" w:sz="8" w:color="CCEEFF"/>
            </w:tcBorders>
            <w:shd w:val="clear" w:color="auto" w:fill="CCEEFF"/>
          </w:tcPr>
          <w:p>
            <w:pPr>
              <w:jc w:val="right"/>
              <w:ind w:right="250"/>
              <w:spacing w:after="0"/>
              <w:rPr>
                <w:sz w:val="20"/>
                <w:szCs w:val="20"/>
                <w:color w:val="auto"/>
              </w:rPr>
            </w:pPr>
            <w:r>
              <w:rPr>
                <w:rFonts w:ascii="Arial" w:cs="Arial" w:eastAsia="Arial" w:hAnsi="Arial"/>
                <w:sz w:val="18"/>
                <w:szCs w:val="18"/>
                <w:color w:val="auto"/>
                <w:w w:val="98"/>
              </w:rPr>
              <w:t>17,897</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31,063</w:t>
            </w:r>
          </w:p>
        </w:tc>
        <w:tc>
          <w:tcPr>
            <w:tcW w:w="740" w:type="dxa"/>
            <w:vAlign w:val="bottom"/>
            <w:tcBorders>
              <w:bottom w:val="single" w:sz="8" w:color="CCEEFF"/>
            </w:tcBorders>
            <w:gridSpan w:val="3"/>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900" w:type="dxa"/>
            <w:vAlign w:val="bottom"/>
            <w:tcBorders>
              <w:bottom w:val="single" w:sz="8" w:color="CCEEFF"/>
            </w:tcBorders>
            <w:shd w:val="clear" w:color="auto" w:fill="CCEEFF"/>
          </w:tcPr>
          <w:p>
            <w:pPr>
              <w:jc w:val="right"/>
              <w:ind w:right="250"/>
              <w:spacing w:after="0"/>
              <w:rPr>
                <w:sz w:val="20"/>
                <w:szCs w:val="20"/>
                <w:color w:val="auto"/>
              </w:rPr>
            </w:pPr>
            <w:r>
              <w:rPr>
                <w:rFonts w:ascii="Arial" w:cs="Arial" w:eastAsia="Arial" w:hAnsi="Arial"/>
                <w:sz w:val="18"/>
                <w:szCs w:val="18"/>
                <w:color w:val="auto"/>
                <w:w w:val="98"/>
              </w:rPr>
              <w:t>29,824</w:t>
            </w:r>
          </w:p>
        </w:tc>
      </w:tr>
      <w:tr>
        <w:trPr>
          <w:trHeight w:val="243"/>
        </w:trPr>
        <w:tc>
          <w:tcPr>
            <w:tcW w:w="4280" w:type="dxa"/>
            <w:vAlign w:val="bottom"/>
          </w:tcPr>
          <w:p>
            <w:pPr>
              <w:ind w:left="280"/>
              <w:spacing w:after="0"/>
              <w:rPr>
                <w:sz w:val="20"/>
                <w:szCs w:val="20"/>
                <w:color w:val="auto"/>
              </w:rPr>
            </w:pPr>
            <w:r>
              <w:rPr>
                <w:rFonts w:ascii="Arial" w:cs="Arial" w:eastAsia="Arial" w:hAnsi="Arial"/>
                <w:sz w:val="18"/>
                <w:szCs w:val="18"/>
                <w:color w:val="auto"/>
                <w:w w:val="98"/>
              </w:rPr>
              <w:t>Campus consolidation costs including depreciation</w:t>
            </w:r>
          </w:p>
        </w:tc>
        <w:tc>
          <w:tcPr>
            <w:tcW w:w="260" w:type="dxa"/>
            <w:vAlign w:val="bottom"/>
          </w:tcPr>
          <w:p>
            <w:pPr>
              <w:spacing w:after="0"/>
              <w:rPr>
                <w:sz w:val="21"/>
                <w:szCs w:val="21"/>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587</w:t>
            </w:r>
          </w:p>
        </w:tc>
        <w:tc>
          <w:tcPr>
            <w:tcW w:w="3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900" w:type="dxa"/>
            <w:vAlign w:val="bottom"/>
          </w:tcPr>
          <w:p>
            <w:pPr>
              <w:jc w:val="right"/>
              <w:ind w:right="250"/>
              <w:spacing w:after="0"/>
              <w:rPr>
                <w:sz w:val="20"/>
                <w:szCs w:val="20"/>
                <w:color w:val="auto"/>
              </w:rPr>
            </w:pPr>
            <w:r>
              <w:rPr>
                <w:rFonts w:ascii="Arial" w:cs="Arial" w:eastAsia="Arial" w:hAnsi="Arial"/>
                <w:sz w:val="18"/>
                <w:szCs w:val="18"/>
                <w:color w:val="auto"/>
              </w:rPr>
              <w:t>2,441</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1,070</w:t>
            </w:r>
          </w:p>
        </w:tc>
        <w:tc>
          <w:tcPr>
            <w:tcW w:w="3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900" w:type="dxa"/>
            <w:vAlign w:val="bottom"/>
          </w:tcPr>
          <w:p>
            <w:pPr>
              <w:jc w:val="right"/>
              <w:ind w:right="250"/>
              <w:spacing w:after="0"/>
              <w:rPr>
                <w:sz w:val="20"/>
                <w:szCs w:val="20"/>
                <w:color w:val="auto"/>
              </w:rPr>
            </w:pPr>
            <w:r>
              <w:rPr>
                <w:rFonts w:ascii="Arial" w:cs="Arial" w:eastAsia="Arial" w:hAnsi="Arial"/>
                <w:sz w:val="18"/>
                <w:szCs w:val="18"/>
                <w:color w:val="auto"/>
              </w:rPr>
              <w:t>4,982</w:t>
            </w:r>
          </w:p>
        </w:tc>
      </w:tr>
      <w:tr>
        <w:trPr>
          <w:trHeight w:val="27"/>
        </w:trPr>
        <w:tc>
          <w:tcPr>
            <w:tcW w:w="4280" w:type="dxa"/>
            <w:vAlign w:val="bottom"/>
          </w:tcPr>
          <w:p>
            <w:pPr>
              <w:spacing w:after="0"/>
              <w:rPr>
                <w:sz w:val="2"/>
                <w:szCs w:val="2"/>
                <w:color w:val="auto"/>
              </w:rPr>
            </w:pPr>
          </w:p>
        </w:tc>
        <w:tc>
          <w:tcPr>
            <w:tcW w:w="260" w:type="dxa"/>
            <w:vAlign w:val="bottom"/>
          </w:tcPr>
          <w:p>
            <w:pPr>
              <w:spacing w:after="0"/>
              <w:rPr>
                <w:sz w:val="2"/>
                <w:szCs w:val="2"/>
                <w:color w:val="auto"/>
              </w:rPr>
            </w:pPr>
          </w:p>
        </w:tc>
        <w:tc>
          <w:tcPr>
            <w:tcW w:w="66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68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900" w:type="dxa"/>
            <w:vAlign w:val="bottom"/>
          </w:tcPr>
          <w:p>
            <w:pPr>
              <w:spacing w:after="0"/>
              <w:rPr>
                <w:sz w:val="2"/>
                <w:szCs w:val="2"/>
                <w:color w:val="auto"/>
              </w:rPr>
            </w:pPr>
          </w:p>
        </w:tc>
      </w:tr>
      <w:tr>
        <w:trPr>
          <w:trHeight w:val="250"/>
        </w:trPr>
        <w:tc>
          <w:tcPr>
            <w:tcW w:w="42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Offering and other costs</w:t>
            </w:r>
          </w:p>
        </w:tc>
        <w:tc>
          <w:tcPr>
            <w:tcW w:w="260" w:type="dxa"/>
            <w:vAlign w:val="bottom"/>
            <w:tcBorders>
              <w:bottom w:val="single" w:sz="8" w:color="CCEEFF"/>
            </w:tcBorders>
            <w:shd w:val="clear" w:color="auto" w:fill="CCEEFF"/>
          </w:tcPr>
          <w:p>
            <w:pPr>
              <w:spacing w:after="0"/>
              <w:rPr>
                <w:sz w:val="21"/>
                <w:szCs w:val="21"/>
                <w:color w:val="auto"/>
              </w:rPr>
            </w:pPr>
          </w:p>
        </w:tc>
        <w:tc>
          <w:tcPr>
            <w:tcW w:w="6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3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250"/>
              <w:spacing w:after="0"/>
              <w:rPr>
                <w:sz w:val="20"/>
                <w:szCs w:val="20"/>
                <w:color w:val="auto"/>
              </w:rPr>
            </w:pPr>
            <w:r>
              <w:rPr>
                <w:rFonts w:ascii="Arial" w:cs="Arial" w:eastAsia="Arial" w:hAnsi="Arial"/>
                <w:sz w:val="18"/>
                <w:szCs w:val="18"/>
                <w:color w:val="auto"/>
              </w:rPr>
              <w:t>351</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3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250"/>
              <w:spacing w:after="0"/>
              <w:rPr>
                <w:sz w:val="20"/>
                <w:szCs w:val="20"/>
                <w:color w:val="auto"/>
              </w:rPr>
            </w:pPr>
            <w:r>
              <w:rPr>
                <w:rFonts w:ascii="Arial" w:cs="Arial" w:eastAsia="Arial" w:hAnsi="Arial"/>
                <w:sz w:val="18"/>
                <w:szCs w:val="18"/>
                <w:color w:val="auto"/>
              </w:rPr>
              <w:t>529</w:t>
            </w:r>
          </w:p>
        </w:tc>
      </w:tr>
      <w:tr>
        <w:trPr>
          <w:trHeight w:val="243"/>
        </w:trPr>
        <w:tc>
          <w:tcPr>
            <w:tcW w:w="4280" w:type="dxa"/>
            <w:vAlign w:val="bottom"/>
          </w:tcPr>
          <w:p>
            <w:pPr>
              <w:ind w:left="280"/>
              <w:spacing w:after="0"/>
              <w:rPr>
                <w:sz w:val="20"/>
                <w:szCs w:val="20"/>
                <w:color w:val="auto"/>
              </w:rPr>
            </w:pPr>
            <w:r>
              <w:rPr>
                <w:rFonts w:ascii="Arial" w:cs="Arial" w:eastAsia="Arial" w:hAnsi="Arial"/>
                <w:sz w:val="18"/>
                <w:szCs w:val="18"/>
                <w:color w:val="auto"/>
              </w:rPr>
              <w:t>Non-recurring refinancing related fees</w:t>
            </w:r>
          </w:p>
        </w:tc>
        <w:tc>
          <w:tcPr>
            <w:tcW w:w="260" w:type="dxa"/>
            <w:vAlign w:val="bottom"/>
          </w:tcPr>
          <w:p>
            <w:pPr>
              <w:spacing w:after="0"/>
              <w:rPr>
                <w:sz w:val="21"/>
                <w:szCs w:val="21"/>
                <w:color w:val="auto"/>
              </w:rPr>
            </w:pPr>
          </w:p>
        </w:tc>
        <w:tc>
          <w:tcPr>
            <w:tcW w:w="660" w:type="dxa"/>
            <w:vAlign w:val="bottom"/>
          </w:tcPr>
          <w:p>
            <w:pPr>
              <w:jc w:val="right"/>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900" w:type="dxa"/>
            <w:vAlign w:val="bottom"/>
          </w:tcPr>
          <w:p>
            <w:pPr>
              <w:jc w:val="right"/>
              <w:ind w:right="250"/>
              <w:spacing w:after="0"/>
              <w:rPr>
                <w:sz w:val="20"/>
                <w:szCs w:val="20"/>
                <w:color w:val="auto"/>
              </w:rPr>
            </w:pPr>
            <w:r>
              <w:rPr>
                <w:rFonts w:ascii="Arial" w:cs="Arial" w:eastAsia="Arial" w:hAnsi="Arial"/>
                <w:sz w:val="18"/>
                <w:szCs w:val="18"/>
                <w:color w:val="auto"/>
              </w:rPr>
              <w:t>26</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900" w:type="dxa"/>
            <w:vAlign w:val="bottom"/>
          </w:tcPr>
          <w:p>
            <w:pPr>
              <w:jc w:val="right"/>
              <w:ind w:right="250"/>
              <w:spacing w:after="0"/>
              <w:rPr>
                <w:sz w:val="20"/>
                <w:szCs w:val="20"/>
                <w:color w:val="auto"/>
              </w:rPr>
            </w:pPr>
            <w:r>
              <w:rPr>
                <w:rFonts w:ascii="Arial" w:cs="Arial" w:eastAsia="Arial" w:hAnsi="Arial"/>
                <w:sz w:val="18"/>
                <w:szCs w:val="18"/>
                <w:color w:val="auto"/>
              </w:rPr>
              <w:t>1,721</w:t>
            </w:r>
          </w:p>
        </w:tc>
      </w:tr>
      <w:tr>
        <w:trPr>
          <w:trHeight w:val="27"/>
        </w:trPr>
        <w:tc>
          <w:tcPr>
            <w:tcW w:w="428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r>
      <w:tr>
        <w:trPr>
          <w:trHeight w:val="257"/>
        </w:trPr>
        <w:tc>
          <w:tcPr>
            <w:tcW w:w="4280" w:type="dxa"/>
            <w:vAlign w:val="bottom"/>
            <w:shd w:val="clear" w:color="auto" w:fill="CCEEFF"/>
          </w:tcPr>
          <w:p>
            <w:pPr>
              <w:ind w:left="20"/>
              <w:spacing w:after="0"/>
              <w:rPr>
                <w:sz w:val="20"/>
                <w:szCs w:val="20"/>
                <w:color w:val="auto"/>
              </w:rPr>
            </w:pPr>
            <w:r>
              <w:rPr>
                <w:rFonts w:ascii="Arial" w:cs="Arial" w:eastAsia="Arial" w:hAnsi="Arial"/>
                <w:sz w:val="18"/>
                <w:szCs w:val="18"/>
                <w:color w:val="auto"/>
              </w:rPr>
              <w:t>Adjusted operating income</w:t>
            </w:r>
          </w:p>
        </w:tc>
        <w:tc>
          <w:tcPr>
            <w:tcW w:w="260" w:type="dxa"/>
            <w:vAlign w:val="bottom"/>
            <w:shd w:val="clear" w:color="auto" w:fill="CCEEFF"/>
          </w:tcPr>
          <w:p>
            <w:pPr>
              <w:jc w:val="right"/>
              <w:ind w:right="70"/>
              <w:spacing w:after="0"/>
              <w:rPr>
                <w:sz w:val="20"/>
                <w:szCs w:val="20"/>
                <w:color w:val="auto"/>
              </w:rPr>
            </w:pPr>
            <w:r>
              <w:rPr>
                <w:rFonts w:ascii="Arial" w:cs="Arial" w:eastAsia="Arial" w:hAnsi="Arial"/>
                <w:sz w:val="18"/>
                <w:szCs w:val="18"/>
                <w:color w:val="auto"/>
                <w:w w:val="79"/>
              </w:rPr>
              <w:t>$</w:t>
            </w: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16,513</w:t>
            </w:r>
          </w:p>
        </w:tc>
        <w:tc>
          <w:tcPr>
            <w:tcW w:w="740" w:type="dxa"/>
            <w:vAlign w:val="bottom"/>
            <w:gridSpan w:val="3"/>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900" w:type="dxa"/>
            <w:vAlign w:val="bottom"/>
            <w:shd w:val="clear" w:color="auto" w:fill="CCEEFF"/>
          </w:tcPr>
          <w:p>
            <w:pPr>
              <w:jc w:val="right"/>
              <w:ind w:right="250"/>
              <w:spacing w:after="0"/>
              <w:rPr>
                <w:sz w:val="20"/>
                <w:szCs w:val="20"/>
                <w:color w:val="auto"/>
              </w:rPr>
            </w:pPr>
            <w:r>
              <w:rPr>
                <w:rFonts w:ascii="Arial" w:cs="Arial" w:eastAsia="Arial" w:hAnsi="Arial"/>
                <w:sz w:val="18"/>
                <w:szCs w:val="18"/>
                <w:color w:val="auto"/>
                <w:w w:val="98"/>
              </w:rPr>
              <w:t>20,715</w:t>
            </w:r>
          </w:p>
        </w:tc>
        <w:tc>
          <w:tcPr>
            <w:tcW w:w="100" w:type="dxa"/>
            <w:vAlign w:val="bottom"/>
            <w:shd w:val="clear" w:color="auto" w:fill="CCEEFF"/>
          </w:tcPr>
          <w:p>
            <w:pPr>
              <w:spacing w:after="0"/>
              <w:rPr>
                <w:sz w:val="22"/>
                <w:szCs w:val="22"/>
                <w:color w:val="auto"/>
              </w:rPr>
            </w:pPr>
          </w:p>
        </w:tc>
        <w:tc>
          <w:tcPr>
            <w:tcW w:w="26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32,133</w:t>
            </w:r>
          </w:p>
        </w:tc>
        <w:tc>
          <w:tcPr>
            <w:tcW w:w="740" w:type="dxa"/>
            <w:vAlign w:val="bottom"/>
            <w:gridSpan w:val="3"/>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900" w:type="dxa"/>
            <w:vAlign w:val="bottom"/>
            <w:shd w:val="clear" w:color="auto" w:fill="CCEEFF"/>
          </w:tcPr>
          <w:p>
            <w:pPr>
              <w:jc w:val="right"/>
              <w:ind w:right="250"/>
              <w:spacing w:after="0"/>
              <w:rPr>
                <w:sz w:val="20"/>
                <w:szCs w:val="20"/>
                <w:color w:val="auto"/>
              </w:rPr>
            </w:pPr>
            <w:r>
              <w:rPr>
                <w:rFonts w:ascii="Arial" w:cs="Arial" w:eastAsia="Arial" w:hAnsi="Arial"/>
                <w:sz w:val="18"/>
                <w:szCs w:val="18"/>
                <w:color w:val="auto"/>
                <w:w w:val="98"/>
              </w:rPr>
              <w:t>37,056</w:t>
            </w:r>
          </w:p>
        </w:tc>
      </w:tr>
      <w:tr>
        <w:trPr>
          <w:trHeight w:val="20"/>
        </w:trPr>
        <w:tc>
          <w:tcPr>
            <w:tcW w:w="428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gridSpan w:val="2"/>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gridSpan w:val="2"/>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r>
      <w:tr>
        <w:trPr>
          <w:trHeight w:val="251"/>
        </w:trPr>
        <w:tc>
          <w:tcPr>
            <w:tcW w:w="4280" w:type="dxa"/>
            <w:vAlign w:val="bottom"/>
          </w:tcPr>
          <w:p>
            <w:pPr>
              <w:ind w:left="20"/>
              <w:spacing w:after="0"/>
              <w:rPr>
                <w:sz w:val="20"/>
                <w:szCs w:val="20"/>
                <w:color w:val="auto"/>
              </w:rPr>
            </w:pPr>
            <w:r>
              <w:rPr>
                <w:rFonts w:ascii="Arial" w:cs="Arial" w:eastAsia="Arial" w:hAnsi="Arial"/>
                <w:sz w:val="18"/>
                <w:szCs w:val="18"/>
                <w:color w:val="auto"/>
                <w:w w:val="93"/>
              </w:rPr>
              <w:t>Adjusted operating income, as a percentage of revenues</w:t>
            </w:r>
          </w:p>
        </w:tc>
        <w:tc>
          <w:tcPr>
            <w:tcW w:w="260" w:type="dxa"/>
            <w:vAlign w:val="bottom"/>
            <w:tcBorders>
              <w:bottom w:val="single" w:sz="8" w:color="auto"/>
            </w:tcBorders>
          </w:tcPr>
          <w:p>
            <w:pPr>
              <w:spacing w:after="0"/>
              <w:rPr>
                <w:sz w:val="21"/>
                <w:szCs w:val="21"/>
                <w:color w:val="auto"/>
              </w:rPr>
            </w:pPr>
          </w:p>
        </w:tc>
        <w:tc>
          <w:tcPr>
            <w:tcW w:w="960" w:type="dxa"/>
            <w:vAlign w:val="bottom"/>
            <w:tcBorders>
              <w:bottom w:val="single" w:sz="8" w:color="auto"/>
            </w:tcBorders>
            <w:gridSpan w:val="2"/>
          </w:tcPr>
          <w:p>
            <w:pPr>
              <w:jc w:val="right"/>
              <w:ind w:right="90"/>
              <w:spacing w:after="0"/>
              <w:rPr>
                <w:sz w:val="20"/>
                <w:szCs w:val="20"/>
                <w:color w:val="auto"/>
              </w:rPr>
            </w:pPr>
            <w:r>
              <w:rPr>
                <w:rFonts w:ascii="Arial" w:cs="Arial" w:eastAsia="Arial" w:hAnsi="Arial"/>
                <w:sz w:val="18"/>
                <w:szCs w:val="18"/>
                <w:color w:val="auto"/>
              </w:rPr>
              <w:t>19.3%</w:t>
            </w:r>
          </w:p>
        </w:tc>
        <w:tc>
          <w:tcPr>
            <w:tcW w:w="120" w:type="dxa"/>
            <w:vAlign w:val="bottom"/>
          </w:tcPr>
          <w:p>
            <w:pPr>
              <w:spacing w:after="0"/>
              <w:rPr>
                <w:sz w:val="21"/>
                <w:szCs w:val="21"/>
                <w:color w:val="auto"/>
              </w:rPr>
            </w:pPr>
          </w:p>
        </w:tc>
        <w:tc>
          <w:tcPr>
            <w:tcW w:w="320" w:type="dxa"/>
            <w:vAlign w:val="bottom"/>
            <w:tcBorders>
              <w:bottom w:val="single" w:sz="8" w:color="auto"/>
            </w:tcBorders>
          </w:tcPr>
          <w:p>
            <w:pPr>
              <w:spacing w:after="0"/>
              <w:rPr>
                <w:sz w:val="21"/>
                <w:szCs w:val="21"/>
                <w:color w:val="auto"/>
              </w:rPr>
            </w:pPr>
          </w:p>
        </w:tc>
        <w:tc>
          <w:tcPr>
            <w:tcW w:w="900" w:type="dxa"/>
            <w:vAlign w:val="bottom"/>
            <w:tcBorders>
              <w:bottom w:val="single" w:sz="8" w:color="auto"/>
            </w:tcBorders>
          </w:tcPr>
          <w:p>
            <w:pPr>
              <w:jc w:val="right"/>
              <w:ind w:right="90"/>
              <w:spacing w:after="0"/>
              <w:rPr>
                <w:sz w:val="20"/>
                <w:szCs w:val="20"/>
                <w:color w:val="auto"/>
              </w:rPr>
            </w:pPr>
            <w:r>
              <w:rPr>
                <w:rFonts w:ascii="Arial" w:cs="Arial" w:eastAsia="Arial" w:hAnsi="Arial"/>
                <w:sz w:val="18"/>
                <w:szCs w:val="18"/>
                <w:color w:val="auto"/>
              </w:rPr>
              <w:t>23.3%</w:t>
            </w:r>
          </w:p>
        </w:tc>
        <w:tc>
          <w:tcPr>
            <w:tcW w:w="100" w:type="dxa"/>
            <w:vAlign w:val="bottom"/>
          </w:tcPr>
          <w:p>
            <w:pPr>
              <w:spacing w:after="0"/>
              <w:rPr>
                <w:sz w:val="21"/>
                <w:szCs w:val="21"/>
                <w:color w:val="auto"/>
              </w:rPr>
            </w:pPr>
          </w:p>
        </w:tc>
        <w:tc>
          <w:tcPr>
            <w:tcW w:w="260" w:type="dxa"/>
            <w:vAlign w:val="bottom"/>
            <w:tcBorders>
              <w:bottom w:val="single" w:sz="8" w:color="auto"/>
            </w:tcBorders>
          </w:tcPr>
          <w:p>
            <w:pPr>
              <w:spacing w:after="0"/>
              <w:rPr>
                <w:sz w:val="21"/>
                <w:szCs w:val="21"/>
                <w:color w:val="auto"/>
              </w:rPr>
            </w:pPr>
          </w:p>
        </w:tc>
        <w:tc>
          <w:tcPr>
            <w:tcW w:w="980" w:type="dxa"/>
            <w:vAlign w:val="bottom"/>
            <w:tcBorders>
              <w:bottom w:val="single" w:sz="8" w:color="auto"/>
            </w:tcBorders>
            <w:gridSpan w:val="2"/>
          </w:tcPr>
          <w:p>
            <w:pPr>
              <w:jc w:val="right"/>
              <w:ind w:right="90"/>
              <w:spacing w:after="0"/>
              <w:rPr>
                <w:sz w:val="20"/>
                <w:szCs w:val="20"/>
                <w:color w:val="auto"/>
              </w:rPr>
            </w:pPr>
            <w:r>
              <w:rPr>
                <w:rFonts w:ascii="Arial" w:cs="Arial" w:eastAsia="Arial" w:hAnsi="Arial"/>
                <w:sz w:val="18"/>
                <w:szCs w:val="18"/>
                <w:color w:val="auto"/>
              </w:rPr>
              <w:t>19.1%</w:t>
            </w:r>
          </w:p>
        </w:tc>
        <w:tc>
          <w:tcPr>
            <w:tcW w:w="100" w:type="dxa"/>
            <w:vAlign w:val="bottom"/>
          </w:tcPr>
          <w:p>
            <w:pPr>
              <w:spacing w:after="0"/>
              <w:rPr>
                <w:sz w:val="21"/>
                <w:szCs w:val="21"/>
                <w:color w:val="auto"/>
              </w:rPr>
            </w:pPr>
          </w:p>
        </w:tc>
        <w:tc>
          <w:tcPr>
            <w:tcW w:w="340" w:type="dxa"/>
            <w:vAlign w:val="bottom"/>
            <w:tcBorders>
              <w:bottom w:val="single" w:sz="8" w:color="auto"/>
            </w:tcBorders>
          </w:tcPr>
          <w:p>
            <w:pPr>
              <w:spacing w:after="0"/>
              <w:rPr>
                <w:sz w:val="21"/>
                <w:szCs w:val="21"/>
                <w:color w:val="auto"/>
              </w:rPr>
            </w:pPr>
          </w:p>
        </w:tc>
        <w:tc>
          <w:tcPr>
            <w:tcW w:w="900" w:type="dxa"/>
            <w:vAlign w:val="bottom"/>
            <w:tcBorders>
              <w:bottom w:val="single" w:sz="8" w:color="auto"/>
            </w:tcBorders>
          </w:tcPr>
          <w:p>
            <w:pPr>
              <w:jc w:val="right"/>
              <w:ind w:right="90"/>
              <w:spacing w:after="0"/>
              <w:rPr>
                <w:sz w:val="20"/>
                <w:szCs w:val="20"/>
                <w:color w:val="auto"/>
              </w:rPr>
            </w:pPr>
            <w:r>
              <w:rPr>
                <w:rFonts w:ascii="Arial" w:cs="Arial" w:eastAsia="Arial" w:hAnsi="Arial"/>
                <w:sz w:val="18"/>
                <w:szCs w:val="18"/>
                <w:color w:val="auto"/>
              </w:rPr>
              <w:t>21.8%</w:t>
            </w:r>
          </w:p>
        </w:tc>
      </w:tr>
      <w:tr>
        <w:trPr>
          <w:trHeight w:val="20"/>
        </w:trPr>
        <w:tc>
          <w:tcPr>
            <w:tcW w:w="428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Page 6 of 10</w:t>
      </w:r>
    </w:p>
    <w:p>
      <w:pPr>
        <w:sectPr>
          <w:pgSz w:w="11900" w:h="16838" w:orient="portrait"/>
          <w:cols w:equalWidth="0" w:num="1">
            <w:col w:w="9520"/>
          </w:cols>
          <w:pgMar w:left="1200" w:top="850" w:right="1179" w:bottom="1440" w:gutter="0" w:footer="0" w:header="0"/>
        </w:sectPr>
      </w:pPr>
    </w:p>
    <w:bookmarkStart w:id="10" w:name="page11"/>
    <w:bookmarkEnd w:id="10"/>
    <w:p>
      <w:pPr>
        <w:ind w:left="4280"/>
        <w:spacing w:after="0"/>
        <w:rPr>
          <w:sz w:val="20"/>
          <w:szCs w:val="20"/>
          <w:color w:val="auto"/>
        </w:rPr>
      </w:pPr>
      <w:r>
        <w:rPr>
          <w:rFonts w:ascii="Arial" w:cs="Arial" w:eastAsia="Arial" w:hAnsi="Arial"/>
          <w:sz w:val="18"/>
          <w:szCs w:val="18"/>
          <w:b w:val="1"/>
          <w:bCs w:val="1"/>
          <w:color w:val="auto"/>
        </w:rPr>
        <w:t>Lantheus Holdings, Inc.</w:t>
      </w:r>
    </w:p>
    <w:p>
      <w:pPr>
        <w:spacing w:after="0" w:line="117" w:lineRule="exact"/>
        <w:rPr>
          <w:sz w:val="20"/>
          <w:szCs w:val="20"/>
          <w:color w:val="auto"/>
        </w:rPr>
      </w:pPr>
    </w:p>
    <w:p>
      <w:pPr>
        <w:ind w:left="2940"/>
        <w:spacing w:after="0"/>
        <w:rPr>
          <w:sz w:val="20"/>
          <w:szCs w:val="20"/>
          <w:color w:val="auto"/>
        </w:rPr>
      </w:pPr>
      <w:r>
        <w:rPr>
          <w:rFonts w:ascii="Arial" w:cs="Arial" w:eastAsia="Arial" w:hAnsi="Arial"/>
          <w:sz w:val="18"/>
          <w:szCs w:val="18"/>
          <w:b w:val="1"/>
          <w:bCs w:val="1"/>
          <w:color w:val="auto"/>
        </w:rPr>
        <w:t>Reconciliation of GAAP to Non-GAAP Financial Measures</w:t>
      </w:r>
    </w:p>
    <w:p>
      <w:pPr>
        <w:spacing w:after="0" w:line="67" w:lineRule="exact"/>
        <w:rPr>
          <w:sz w:val="20"/>
          <w:szCs w:val="20"/>
          <w:color w:val="auto"/>
        </w:rPr>
      </w:pPr>
    </w:p>
    <w:p>
      <w:pPr>
        <w:ind w:left="3440"/>
        <w:spacing w:after="0"/>
        <w:rPr>
          <w:sz w:val="20"/>
          <w:szCs w:val="20"/>
          <w:color w:val="auto"/>
        </w:rPr>
      </w:pPr>
      <w:r>
        <w:rPr>
          <w:rFonts w:ascii="Arial" w:cs="Arial" w:eastAsia="Arial" w:hAnsi="Arial"/>
          <w:sz w:val="18"/>
          <w:szCs w:val="18"/>
          <w:color w:val="auto"/>
        </w:rPr>
        <w:t>(in thousands, except per share data – unaudited)</w:t>
      </w:r>
    </w:p>
    <w:p>
      <w:pPr>
        <w:spacing w:after="0" w:line="200" w:lineRule="exact"/>
        <w:rPr>
          <w:sz w:val="20"/>
          <w:szCs w:val="20"/>
          <w:color w:val="auto"/>
        </w:rPr>
      </w:pPr>
    </w:p>
    <w:p>
      <w:pPr>
        <w:spacing w:after="0" w:line="399" w:lineRule="exact"/>
        <w:rPr>
          <w:sz w:val="20"/>
          <w:szCs w:val="20"/>
          <w:color w:val="auto"/>
        </w:rPr>
      </w:pPr>
    </w:p>
    <w:tbl>
      <w:tblPr>
        <w:tblLayout w:type="fixed"/>
        <w:tblInd w:w="20" w:type="dxa"/>
        <w:tblCellMar>
          <w:top w:w="0" w:type="dxa"/>
          <w:left w:w="0" w:type="dxa"/>
          <w:bottom w:w="0" w:type="dxa"/>
          <w:right w:w="0" w:type="dxa"/>
        </w:tblCellMar>
      </w:tblPr>
      <w:tr>
        <w:trPr>
          <w:trHeight w:val="216"/>
        </w:trPr>
        <w:tc>
          <w:tcPr>
            <w:tcW w:w="49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560" w:type="dxa"/>
            <w:vAlign w:val="bottom"/>
            <w:gridSpan w:val="6"/>
          </w:tcPr>
          <w:p>
            <w:pPr>
              <w:ind w:left="240"/>
              <w:spacing w:after="0"/>
              <w:rPr>
                <w:sz w:val="20"/>
                <w:szCs w:val="20"/>
                <w:color w:val="auto"/>
              </w:rPr>
            </w:pPr>
            <w:r>
              <w:rPr>
                <w:rFonts w:ascii="Arial" w:cs="Arial" w:eastAsia="Arial" w:hAnsi="Arial"/>
                <w:sz w:val="18"/>
                <w:szCs w:val="18"/>
                <w:b w:val="1"/>
                <w:bCs w:val="1"/>
                <w:color w:val="auto"/>
              </w:rPr>
              <w:t>Three Months Ended</w:t>
            </w:r>
          </w:p>
        </w:tc>
        <w:tc>
          <w:tcPr>
            <w:tcW w:w="280" w:type="dxa"/>
            <w:vAlign w:val="bottom"/>
          </w:tcPr>
          <w:p>
            <w:pPr>
              <w:spacing w:after="0"/>
              <w:rPr>
                <w:sz w:val="18"/>
                <w:szCs w:val="18"/>
                <w:color w:val="auto"/>
              </w:rPr>
            </w:pPr>
          </w:p>
        </w:tc>
        <w:tc>
          <w:tcPr>
            <w:tcW w:w="2340" w:type="dxa"/>
            <w:vAlign w:val="bottom"/>
            <w:gridSpan w:val="4"/>
          </w:tcPr>
          <w:p>
            <w:pPr>
              <w:jc w:val="right"/>
              <w:ind w:right="530"/>
              <w:spacing w:after="0"/>
              <w:rPr>
                <w:sz w:val="20"/>
                <w:szCs w:val="20"/>
                <w:color w:val="auto"/>
              </w:rPr>
            </w:pPr>
            <w:r>
              <w:rPr>
                <w:rFonts w:ascii="Arial" w:cs="Arial" w:eastAsia="Arial" w:hAnsi="Arial"/>
                <w:sz w:val="18"/>
                <w:szCs w:val="18"/>
                <w:b w:val="1"/>
                <w:bCs w:val="1"/>
                <w:color w:val="auto"/>
              </w:rPr>
              <w:t>Six Months Ended</w:t>
            </w:r>
          </w:p>
        </w:tc>
        <w:tc>
          <w:tcPr>
            <w:tcW w:w="0" w:type="dxa"/>
            <w:vAlign w:val="bottom"/>
          </w:tcPr>
          <w:p>
            <w:pPr>
              <w:spacing w:after="0"/>
              <w:rPr>
                <w:sz w:val="1"/>
                <w:szCs w:val="1"/>
                <w:color w:val="auto"/>
              </w:rPr>
            </w:pPr>
          </w:p>
        </w:tc>
      </w:tr>
      <w:tr>
        <w:trPr>
          <w:trHeight w:val="234"/>
        </w:trPr>
        <w:tc>
          <w:tcPr>
            <w:tcW w:w="49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740" w:type="dxa"/>
            <w:vAlign w:val="bottom"/>
            <w:gridSpan w:val="3"/>
          </w:tcPr>
          <w:p>
            <w:pPr>
              <w:jc w:val="right"/>
              <w:ind w:right="100"/>
              <w:spacing w:after="0"/>
              <w:rPr>
                <w:sz w:val="20"/>
                <w:szCs w:val="20"/>
                <w:color w:val="auto"/>
              </w:rPr>
            </w:pPr>
            <w:r>
              <w:rPr>
                <w:rFonts w:ascii="Arial" w:cs="Arial" w:eastAsia="Arial" w:hAnsi="Arial"/>
                <w:sz w:val="18"/>
                <w:szCs w:val="18"/>
                <w:b w:val="1"/>
                <w:bCs w:val="1"/>
                <w:color w:val="auto"/>
                <w:w w:val="85"/>
              </w:rPr>
              <w:t>June 30,</w:t>
            </w:r>
          </w:p>
        </w:tc>
        <w:tc>
          <w:tcPr>
            <w:tcW w:w="9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440" w:type="dxa"/>
            <w:vAlign w:val="bottom"/>
            <w:gridSpan w:val="3"/>
          </w:tcPr>
          <w:p>
            <w:pPr>
              <w:jc w:val="right"/>
              <w:spacing w:after="0"/>
              <w:rPr>
                <w:sz w:val="20"/>
                <w:szCs w:val="20"/>
                <w:color w:val="auto"/>
              </w:rPr>
            </w:pPr>
            <w:r>
              <w:rPr>
                <w:rFonts w:ascii="Arial" w:cs="Arial" w:eastAsia="Arial" w:hAnsi="Arial"/>
                <w:sz w:val="18"/>
                <w:szCs w:val="18"/>
                <w:b w:val="1"/>
                <w:bCs w:val="1"/>
                <w:color w:val="auto"/>
              </w:rPr>
              <w:t>June 30,</w:t>
            </w:r>
          </w:p>
        </w:tc>
        <w:tc>
          <w:tcPr>
            <w:tcW w:w="9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490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49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760" w:type="dxa"/>
            <w:vAlign w:val="bottom"/>
          </w:tcPr>
          <w:p>
            <w:pPr>
              <w:jc w:val="right"/>
              <w:ind w:right="130"/>
              <w:spacing w:after="0"/>
              <w:rPr>
                <w:sz w:val="20"/>
                <w:szCs w:val="20"/>
                <w:color w:val="auto"/>
              </w:rPr>
            </w:pPr>
            <w:r>
              <w:rPr>
                <w:rFonts w:ascii="Arial" w:cs="Arial" w:eastAsia="Arial" w:hAnsi="Arial"/>
                <w:sz w:val="18"/>
                <w:szCs w:val="18"/>
                <w:b w:val="1"/>
                <w:bCs w:val="1"/>
                <w:color w:val="auto"/>
              </w:rPr>
              <w:t>2018</w:t>
            </w:r>
          </w:p>
        </w:tc>
        <w:tc>
          <w:tcPr>
            <w:tcW w:w="2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940" w:type="dxa"/>
            <w:vAlign w:val="bottom"/>
          </w:tcPr>
          <w:p>
            <w:pPr>
              <w:jc w:val="right"/>
              <w:ind w:right="390"/>
              <w:spacing w:after="0"/>
              <w:rPr>
                <w:sz w:val="20"/>
                <w:szCs w:val="20"/>
                <w:color w:val="auto"/>
              </w:rPr>
            </w:pPr>
            <w:r>
              <w:rPr>
                <w:rFonts w:ascii="Arial" w:cs="Arial" w:eastAsia="Arial" w:hAnsi="Arial"/>
                <w:sz w:val="18"/>
                <w:szCs w:val="18"/>
                <w:b w:val="1"/>
                <w:bCs w:val="1"/>
                <w:color w:val="auto"/>
              </w:rPr>
              <w:t>2017</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20" w:type="dxa"/>
            <w:vAlign w:val="bottom"/>
          </w:tcPr>
          <w:p>
            <w:pPr>
              <w:jc w:val="right"/>
              <w:ind w:right="390"/>
              <w:spacing w:after="0"/>
              <w:rPr>
                <w:sz w:val="20"/>
                <w:szCs w:val="20"/>
                <w:color w:val="auto"/>
              </w:rPr>
            </w:pPr>
            <w:r>
              <w:rPr>
                <w:rFonts w:ascii="Arial" w:cs="Arial" w:eastAsia="Arial" w:hAnsi="Arial"/>
                <w:sz w:val="18"/>
                <w:szCs w:val="18"/>
                <w:b w:val="1"/>
                <w:bCs w:val="1"/>
                <w:color w:val="auto"/>
              </w:rPr>
              <w:t>2018</w:t>
            </w:r>
          </w:p>
        </w:tc>
        <w:tc>
          <w:tcPr>
            <w:tcW w:w="1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900" w:type="dxa"/>
            <w:vAlign w:val="bottom"/>
          </w:tcPr>
          <w:p>
            <w:pPr>
              <w:jc w:val="right"/>
              <w:ind w:right="330"/>
              <w:spacing w:after="0"/>
              <w:rPr>
                <w:sz w:val="20"/>
                <w:szCs w:val="20"/>
                <w:color w:val="auto"/>
              </w:rPr>
            </w:pPr>
            <w:r>
              <w:rPr>
                <w:rFonts w:ascii="Arial" w:cs="Arial" w:eastAsia="Arial" w:hAnsi="Arial"/>
                <w:sz w:val="18"/>
                <w:szCs w:val="18"/>
                <w:b w:val="1"/>
                <w:bCs w:val="1"/>
                <w:color w:val="auto"/>
              </w:rPr>
              <w:t>2017</w:t>
            </w:r>
          </w:p>
        </w:tc>
        <w:tc>
          <w:tcPr>
            <w:tcW w:w="0" w:type="dxa"/>
            <w:vAlign w:val="bottom"/>
          </w:tcPr>
          <w:p>
            <w:pPr>
              <w:spacing w:after="0"/>
              <w:rPr>
                <w:sz w:val="1"/>
                <w:szCs w:val="1"/>
                <w:color w:val="auto"/>
              </w:rPr>
            </w:pPr>
          </w:p>
        </w:tc>
      </w:tr>
      <w:tr>
        <w:trPr>
          <w:trHeight w:val="27"/>
        </w:trPr>
        <w:tc>
          <w:tcPr>
            <w:tcW w:w="49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4900" w:type="dxa"/>
            <w:vAlign w:val="bottom"/>
            <w:shd w:val="clear" w:color="auto" w:fill="CCEEFF"/>
          </w:tcPr>
          <w:p>
            <w:pPr>
              <w:ind w:left="20"/>
              <w:spacing w:after="0"/>
              <w:rPr>
                <w:sz w:val="20"/>
                <w:szCs w:val="20"/>
                <w:color w:val="auto"/>
              </w:rPr>
            </w:pPr>
            <w:r>
              <w:rPr>
                <w:rFonts w:ascii="Arial" w:cs="Arial" w:eastAsia="Arial" w:hAnsi="Arial"/>
                <w:sz w:val="18"/>
                <w:szCs w:val="18"/>
                <w:color w:val="auto"/>
              </w:rPr>
              <w:t>Net income</w:t>
            </w:r>
          </w:p>
        </w:tc>
        <w:tc>
          <w:tcPr>
            <w:tcW w:w="28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9,745</w:t>
            </w:r>
          </w:p>
        </w:tc>
        <w:tc>
          <w:tcPr>
            <w:tcW w:w="740" w:type="dxa"/>
            <w:vAlign w:val="bottom"/>
            <w:gridSpan w:val="3"/>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940" w:type="dxa"/>
            <w:vAlign w:val="bottom"/>
            <w:shd w:val="clear" w:color="auto" w:fill="CCEEFF"/>
          </w:tcPr>
          <w:p>
            <w:pPr>
              <w:jc w:val="right"/>
              <w:ind w:right="230"/>
              <w:spacing w:after="0"/>
              <w:rPr>
                <w:sz w:val="20"/>
                <w:szCs w:val="20"/>
                <w:color w:val="auto"/>
              </w:rPr>
            </w:pPr>
            <w:r>
              <w:rPr>
                <w:rFonts w:ascii="Arial" w:cs="Arial" w:eastAsia="Arial" w:hAnsi="Arial"/>
                <w:sz w:val="18"/>
                <w:szCs w:val="18"/>
                <w:color w:val="auto"/>
              </w:rPr>
              <w:t>13,595</w:t>
            </w:r>
          </w:p>
        </w:tc>
        <w:tc>
          <w:tcPr>
            <w:tcW w:w="120" w:type="dxa"/>
            <w:vAlign w:val="bottom"/>
            <w:shd w:val="clear" w:color="auto" w:fill="CCEEFF"/>
          </w:tcPr>
          <w:p>
            <w:pPr>
              <w:spacing w:after="0"/>
              <w:rPr>
                <w:sz w:val="22"/>
                <w:szCs w:val="22"/>
                <w:color w:val="auto"/>
              </w:rPr>
            </w:pPr>
          </w:p>
        </w:tc>
        <w:tc>
          <w:tcPr>
            <w:tcW w:w="28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1020" w:type="dxa"/>
            <w:vAlign w:val="bottom"/>
            <w:shd w:val="clear" w:color="auto" w:fill="CCEEFF"/>
          </w:tcPr>
          <w:p>
            <w:pPr>
              <w:jc w:val="right"/>
              <w:ind w:right="230"/>
              <w:spacing w:after="0"/>
              <w:rPr>
                <w:sz w:val="20"/>
                <w:szCs w:val="20"/>
                <w:color w:val="auto"/>
              </w:rPr>
            </w:pPr>
            <w:r>
              <w:rPr>
                <w:rFonts w:ascii="Arial" w:cs="Arial" w:eastAsia="Arial" w:hAnsi="Arial"/>
                <w:sz w:val="18"/>
                <w:szCs w:val="18"/>
                <w:color w:val="auto"/>
              </w:rPr>
              <w:t>17,956</w:t>
            </w:r>
          </w:p>
        </w:tc>
        <w:tc>
          <w:tcPr>
            <w:tcW w:w="120" w:type="dxa"/>
            <w:vAlign w:val="bottom"/>
            <w:shd w:val="clear" w:color="auto" w:fill="CCEEFF"/>
          </w:tcPr>
          <w:p>
            <w:pPr>
              <w:spacing w:after="0"/>
              <w:rPr>
                <w:sz w:val="22"/>
                <w:szCs w:val="22"/>
                <w:color w:val="auto"/>
              </w:rPr>
            </w:pPr>
          </w:p>
        </w:tc>
        <w:tc>
          <w:tcPr>
            <w:tcW w:w="30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w w:val="79"/>
              </w:rPr>
              <w:t>$</w:t>
            </w:r>
          </w:p>
        </w:tc>
        <w:tc>
          <w:tcPr>
            <w:tcW w:w="900" w:type="dxa"/>
            <w:vAlign w:val="bottom"/>
            <w:shd w:val="clear" w:color="auto" w:fill="CCEEFF"/>
          </w:tcPr>
          <w:p>
            <w:pPr>
              <w:jc w:val="right"/>
              <w:ind w:right="230"/>
              <w:spacing w:after="0"/>
              <w:rPr>
                <w:sz w:val="20"/>
                <w:szCs w:val="20"/>
                <w:color w:val="auto"/>
              </w:rPr>
            </w:pPr>
            <w:r>
              <w:rPr>
                <w:rFonts w:ascii="Arial" w:cs="Arial" w:eastAsia="Arial" w:hAnsi="Arial"/>
                <w:sz w:val="18"/>
                <w:szCs w:val="18"/>
                <w:color w:val="auto"/>
              </w:rPr>
              <w:t>17,733</w:t>
            </w:r>
          </w:p>
        </w:tc>
        <w:tc>
          <w:tcPr>
            <w:tcW w:w="0" w:type="dxa"/>
            <w:vAlign w:val="bottom"/>
          </w:tcPr>
          <w:p>
            <w:pPr>
              <w:spacing w:after="0"/>
              <w:rPr>
                <w:sz w:val="1"/>
                <w:szCs w:val="1"/>
                <w:color w:val="auto"/>
              </w:rPr>
            </w:pPr>
          </w:p>
        </w:tc>
      </w:tr>
      <w:tr>
        <w:trPr>
          <w:trHeight w:val="20"/>
        </w:trPr>
        <w:tc>
          <w:tcPr>
            <w:tcW w:w="4900" w:type="dxa"/>
            <w:vAlign w:val="bottom"/>
            <w:tcBorders>
              <w:top w:val="single" w:sz="8" w:color="CCEEFF"/>
              <w:bottom w:val="single" w:sz="8" w:color="CCEEFF"/>
            </w:tcBorders>
            <w:vMerge w:val="restart"/>
          </w:tcPr>
          <w:p>
            <w:pPr>
              <w:ind w:left="20"/>
              <w:spacing w:after="0"/>
              <w:rPr>
                <w:sz w:val="20"/>
                <w:szCs w:val="20"/>
                <w:color w:val="auto"/>
              </w:rPr>
            </w:pPr>
            <w:r>
              <w:rPr>
                <w:rFonts w:ascii="Arial" w:cs="Arial" w:eastAsia="Arial" w:hAnsi="Arial"/>
                <w:sz w:val="18"/>
                <w:szCs w:val="18"/>
                <w:i w:val="1"/>
                <w:iCs w:val="1"/>
                <w:color w:val="auto"/>
              </w:rPr>
              <w:t>Reconciling items impacting operating income:</w:t>
            </w:r>
          </w:p>
        </w:tc>
        <w:tc>
          <w:tcPr>
            <w:tcW w:w="28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4900" w:type="dxa"/>
            <w:vAlign w:val="bottom"/>
            <w:vMerge w:val="continue"/>
          </w:tcPr>
          <w:p>
            <w:pPr>
              <w:spacing w:after="0"/>
              <w:rPr>
                <w:sz w:val="20"/>
                <w:szCs w:val="20"/>
                <w:color w:val="auto"/>
              </w:rPr>
            </w:pPr>
          </w:p>
        </w:tc>
        <w:tc>
          <w:tcPr>
            <w:tcW w:w="28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4900" w:type="dxa"/>
            <w:vAlign w:val="bottom"/>
          </w:tcPr>
          <w:p>
            <w:pPr>
              <w:spacing w:after="0"/>
              <w:rPr>
                <w:sz w:val="2"/>
                <w:szCs w:val="2"/>
                <w:color w:val="auto"/>
              </w:rPr>
            </w:pPr>
          </w:p>
        </w:tc>
        <w:tc>
          <w:tcPr>
            <w:tcW w:w="280" w:type="dxa"/>
            <w:vAlign w:val="bottom"/>
          </w:tcPr>
          <w:p>
            <w:pPr>
              <w:spacing w:after="0"/>
              <w:rPr>
                <w:sz w:val="2"/>
                <w:szCs w:val="2"/>
                <w:color w:val="auto"/>
              </w:rPr>
            </w:pPr>
          </w:p>
        </w:tc>
        <w:tc>
          <w:tcPr>
            <w:tcW w:w="7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9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90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Campus consolidation costs including depreciation</w:t>
            </w:r>
          </w:p>
        </w:tc>
        <w:tc>
          <w:tcPr>
            <w:tcW w:w="28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587</w:t>
            </w:r>
          </w:p>
        </w:tc>
        <w:tc>
          <w:tcPr>
            <w:tcW w:w="2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230"/>
              <w:spacing w:after="0"/>
              <w:rPr>
                <w:sz w:val="20"/>
                <w:szCs w:val="20"/>
                <w:color w:val="auto"/>
              </w:rPr>
            </w:pPr>
            <w:r>
              <w:rPr>
                <w:rFonts w:ascii="Arial" w:cs="Arial" w:eastAsia="Arial" w:hAnsi="Arial"/>
                <w:sz w:val="18"/>
                <w:szCs w:val="18"/>
                <w:color w:val="auto"/>
              </w:rPr>
              <w:t>2,441</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230"/>
              <w:spacing w:after="0"/>
              <w:rPr>
                <w:sz w:val="20"/>
                <w:szCs w:val="20"/>
                <w:color w:val="auto"/>
              </w:rPr>
            </w:pPr>
            <w:r>
              <w:rPr>
                <w:rFonts w:ascii="Arial" w:cs="Arial" w:eastAsia="Arial" w:hAnsi="Arial"/>
                <w:sz w:val="18"/>
                <w:szCs w:val="18"/>
                <w:color w:val="auto"/>
              </w:rPr>
              <w:t>1,070</w:t>
            </w:r>
          </w:p>
        </w:tc>
        <w:tc>
          <w:tcPr>
            <w:tcW w:w="12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230"/>
              <w:spacing w:after="0"/>
              <w:rPr>
                <w:sz w:val="20"/>
                <w:szCs w:val="20"/>
                <w:color w:val="auto"/>
              </w:rPr>
            </w:pPr>
            <w:r>
              <w:rPr>
                <w:rFonts w:ascii="Arial" w:cs="Arial" w:eastAsia="Arial" w:hAnsi="Arial"/>
                <w:sz w:val="18"/>
                <w:szCs w:val="18"/>
                <w:color w:val="auto"/>
              </w:rPr>
              <w:t>4,982</w:t>
            </w:r>
          </w:p>
        </w:tc>
        <w:tc>
          <w:tcPr>
            <w:tcW w:w="0" w:type="dxa"/>
            <w:vAlign w:val="bottom"/>
          </w:tcPr>
          <w:p>
            <w:pPr>
              <w:spacing w:after="0"/>
              <w:rPr>
                <w:sz w:val="1"/>
                <w:szCs w:val="1"/>
                <w:color w:val="auto"/>
              </w:rPr>
            </w:pPr>
          </w:p>
        </w:tc>
      </w:tr>
      <w:tr>
        <w:trPr>
          <w:trHeight w:val="243"/>
        </w:trPr>
        <w:tc>
          <w:tcPr>
            <w:tcW w:w="4900" w:type="dxa"/>
            <w:vAlign w:val="bottom"/>
          </w:tcPr>
          <w:p>
            <w:pPr>
              <w:ind w:left="260"/>
              <w:spacing w:after="0"/>
              <w:rPr>
                <w:sz w:val="20"/>
                <w:szCs w:val="20"/>
                <w:color w:val="auto"/>
              </w:rPr>
            </w:pPr>
            <w:r>
              <w:rPr>
                <w:rFonts w:ascii="Arial" w:cs="Arial" w:eastAsia="Arial" w:hAnsi="Arial"/>
                <w:sz w:val="18"/>
                <w:szCs w:val="18"/>
                <w:color w:val="auto"/>
              </w:rPr>
              <w:t>Offering and other costs</w:t>
            </w:r>
          </w:p>
        </w:tc>
        <w:tc>
          <w:tcPr>
            <w:tcW w:w="280" w:type="dxa"/>
            <w:vAlign w:val="bottom"/>
          </w:tcPr>
          <w:p>
            <w:pPr>
              <w:spacing w:after="0"/>
              <w:rPr>
                <w:sz w:val="21"/>
                <w:szCs w:val="21"/>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940" w:type="dxa"/>
            <w:vAlign w:val="bottom"/>
          </w:tcPr>
          <w:p>
            <w:pPr>
              <w:jc w:val="right"/>
              <w:ind w:right="230"/>
              <w:spacing w:after="0"/>
              <w:rPr>
                <w:sz w:val="20"/>
                <w:szCs w:val="20"/>
                <w:color w:val="auto"/>
              </w:rPr>
            </w:pPr>
            <w:r>
              <w:rPr>
                <w:rFonts w:ascii="Arial" w:cs="Arial" w:eastAsia="Arial" w:hAnsi="Arial"/>
                <w:sz w:val="18"/>
                <w:szCs w:val="18"/>
                <w:color w:val="auto"/>
              </w:rPr>
              <w:t>351</w:t>
            </w: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140" w:type="dxa"/>
            <w:vAlign w:val="bottom"/>
            <w:gridSpan w:val="2"/>
          </w:tcPr>
          <w:p>
            <w:pPr>
              <w:jc w:val="right"/>
              <w:ind w:right="44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21"/>
                <w:szCs w:val="21"/>
                <w:color w:val="auto"/>
              </w:rPr>
            </w:pPr>
          </w:p>
        </w:tc>
        <w:tc>
          <w:tcPr>
            <w:tcW w:w="900" w:type="dxa"/>
            <w:vAlign w:val="bottom"/>
          </w:tcPr>
          <w:p>
            <w:pPr>
              <w:jc w:val="right"/>
              <w:ind w:right="230"/>
              <w:spacing w:after="0"/>
              <w:rPr>
                <w:sz w:val="20"/>
                <w:szCs w:val="20"/>
                <w:color w:val="auto"/>
              </w:rPr>
            </w:pPr>
            <w:r>
              <w:rPr>
                <w:rFonts w:ascii="Arial" w:cs="Arial" w:eastAsia="Arial" w:hAnsi="Arial"/>
                <w:sz w:val="18"/>
                <w:szCs w:val="18"/>
                <w:color w:val="auto"/>
              </w:rPr>
              <w:t>529</w:t>
            </w:r>
          </w:p>
        </w:tc>
        <w:tc>
          <w:tcPr>
            <w:tcW w:w="0" w:type="dxa"/>
            <w:vAlign w:val="bottom"/>
          </w:tcPr>
          <w:p>
            <w:pPr>
              <w:spacing w:after="0"/>
              <w:rPr>
                <w:sz w:val="1"/>
                <w:szCs w:val="1"/>
                <w:color w:val="auto"/>
              </w:rPr>
            </w:pPr>
          </w:p>
        </w:tc>
      </w:tr>
      <w:tr>
        <w:trPr>
          <w:trHeight w:val="27"/>
        </w:trPr>
        <w:tc>
          <w:tcPr>
            <w:tcW w:w="4900" w:type="dxa"/>
            <w:vAlign w:val="bottom"/>
          </w:tcPr>
          <w:p>
            <w:pPr>
              <w:spacing w:after="0"/>
              <w:rPr>
                <w:sz w:val="2"/>
                <w:szCs w:val="2"/>
                <w:color w:val="auto"/>
              </w:rPr>
            </w:pPr>
          </w:p>
        </w:tc>
        <w:tc>
          <w:tcPr>
            <w:tcW w:w="280" w:type="dxa"/>
            <w:vAlign w:val="bottom"/>
          </w:tcPr>
          <w:p>
            <w:pPr>
              <w:spacing w:after="0"/>
              <w:rPr>
                <w:sz w:val="2"/>
                <w:szCs w:val="2"/>
                <w:color w:val="auto"/>
              </w:rPr>
            </w:pPr>
          </w:p>
        </w:tc>
        <w:tc>
          <w:tcPr>
            <w:tcW w:w="7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9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90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Non-recurring refinancing related fees</w:t>
            </w:r>
          </w:p>
        </w:tc>
        <w:tc>
          <w:tcPr>
            <w:tcW w:w="28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ind w:right="230"/>
              <w:spacing w:after="0"/>
              <w:rPr>
                <w:sz w:val="20"/>
                <w:szCs w:val="20"/>
                <w:color w:val="auto"/>
              </w:rPr>
            </w:pPr>
            <w:r>
              <w:rPr>
                <w:rFonts w:ascii="Arial" w:cs="Arial" w:eastAsia="Arial" w:hAnsi="Arial"/>
                <w:sz w:val="18"/>
                <w:szCs w:val="18"/>
                <w:color w:val="auto"/>
              </w:rPr>
              <w:t>26</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w:t>
            </w:r>
          </w:p>
        </w:tc>
        <w:tc>
          <w:tcPr>
            <w:tcW w:w="30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230"/>
              <w:spacing w:after="0"/>
              <w:rPr>
                <w:sz w:val="20"/>
                <w:szCs w:val="20"/>
                <w:color w:val="auto"/>
              </w:rPr>
            </w:pPr>
            <w:r>
              <w:rPr>
                <w:rFonts w:ascii="Arial" w:cs="Arial" w:eastAsia="Arial" w:hAnsi="Arial"/>
                <w:sz w:val="18"/>
                <w:szCs w:val="18"/>
                <w:color w:val="auto"/>
              </w:rPr>
              <w:t>1,721</w:t>
            </w:r>
          </w:p>
        </w:tc>
        <w:tc>
          <w:tcPr>
            <w:tcW w:w="0" w:type="dxa"/>
            <w:vAlign w:val="bottom"/>
          </w:tcPr>
          <w:p>
            <w:pPr>
              <w:spacing w:after="0"/>
              <w:rPr>
                <w:sz w:val="1"/>
                <w:szCs w:val="1"/>
                <w:color w:val="auto"/>
              </w:rPr>
            </w:pPr>
          </w:p>
        </w:tc>
      </w:tr>
      <w:tr>
        <w:trPr>
          <w:trHeight w:val="229"/>
        </w:trPr>
        <w:tc>
          <w:tcPr>
            <w:tcW w:w="4900" w:type="dxa"/>
            <w:vAlign w:val="bottom"/>
          </w:tcPr>
          <w:p>
            <w:pPr>
              <w:ind w:left="20"/>
              <w:spacing w:after="0"/>
              <w:rPr>
                <w:sz w:val="20"/>
                <w:szCs w:val="20"/>
                <w:color w:val="auto"/>
              </w:rPr>
            </w:pPr>
            <w:r>
              <w:rPr>
                <w:rFonts w:ascii="Arial" w:cs="Arial" w:eastAsia="Arial" w:hAnsi="Arial"/>
                <w:sz w:val="18"/>
                <w:szCs w:val="18"/>
                <w:i w:val="1"/>
                <w:iCs w:val="1"/>
                <w:color w:val="auto"/>
                <w:w w:val="93"/>
              </w:rPr>
              <w:t>Reconciling items impacting non-operating expenses and income</w:t>
            </w:r>
          </w:p>
        </w:tc>
        <w:tc>
          <w:tcPr>
            <w:tcW w:w="28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4900" w:type="dxa"/>
            <w:vAlign w:val="bottom"/>
          </w:tcPr>
          <w:p>
            <w:pPr>
              <w:ind w:left="20"/>
              <w:spacing w:after="0"/>
              <w:rPr>
                <w:sz w:val="20"/>
                <w:szCs w:val="20"/>
                <w:color w:val="auto"/>
              </w:rPr>
            </w:pPr>
            <w:r>
              <w:rPr>
                <w:rFonts w:ascii="Arial" w:cs="Arial" w:eastAsia="Arial" w:hAnsi="Arial"/>
                <w:sz w:val="18"/>
                <w:szCs w:val="18"/>
                <w:i w:val="1"/>
                <w:iCs w:val="1"/>
                <w:color w:val="auto"/>
              </w:rPr>
              <w:t>taxes:</w:t>
            </w:r>
          </w:p>
        </w:tc>
        <w:tc>
          <w:tcPr>
            <w:tcW w:w="28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4900" w:type="dxa"/>
            <w:vAlign w:val="bottom"/>
          </w:tcPr>
          <w:p>
            <w:pPr>
              <w:spacing w:after="0"/>
              <w:rPr>
                <w:sz w:val="2"/>
                <w:szCs w:val="2"/>
                <w:color w:val="auto"/>
              </w:rPr>
            </w:pPr>
          </w:p>
        </w:tc>
        <w:tc>
          <w:tcPr>
            <w:tcW w:w="280" w:type="dxa"/>
            <w:vAlign w:val="bottom"/>
          </w:tcPr>
          <w:p>
            <w:pPr>
              <w:spacing w:after="0"/>
              <w:rPr>
                <w:sz w:val="2"/>
                <w:szCs w:val="2"/>
                <w:color w:val="auto"/>
              </w:rPr>
            </w:pPr>
          </w:p>
        </w:tc>
        <w:tc>
          <w:tcPr>
            <w:tcW w:w="7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360" w:type="dxa"/>
            <w:vAlign w:val="bottom"/>
          </w:tcPr>
          <w:p>
            <w:pPr>
              <w:spacing w:after="0"/>
              <w:rPr>
                <w:sz w:val="2"/>
                <w:szCs w:val="2"/>
                <w:color w:val="auto"/>
              </w:rPr>
            </w:pPr>
          </w:p>
        </w:tc>
        <w:tc>
          <w:tcPr>
            <w:tcW w:w="9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00" w:type="dxa"/>
            <w:vAlign w:val="bottom"/>
          </w:tcPr>
          <w:p>
            <w:pPr>
              <w:spacing w:after="0"/>
              <w:rPr>
                <w:sz w:val="2"/>
                <w:szCs w:val="2"/>
                <w:color w:val="auto"/>
              </w:rPr>
            </w:pPr>
          </w:p>
        </w:tc>
        <w:tc>
          <w:tcPr>
            <w:tcW w:w="9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90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Loss on debt extinguishment and retirement costs</w:t>
            </w:r>
          </w:p>
        </w:tc>
        <w:tc>
          <w:tcPr>
            <w:tcW w:w="28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w:t>
            </w:r>
          </w:p>
        </w:tc>
        <w:tc>
          <w:tcPr>
            <w:tcW w:w="28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w:t>
            </w:r>
          </w:p>
        </w:tc>
        <w:tc>
          <w:tcPr>
            <w:tcW w:w="30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230"/>
              <w:spacing w:after="0"/>
              <w:rPr>
                <w:sz w:val="20"/>
                <w:szCs w:val="20"/>
                <w:color w:val="auto"/>
              </w:rPr>
            </w:pPr>
            <w:r>
              <w:rPr>
                <w:rFonts w:ascii="Arial" w:cs="Arial" w:eastAsia="Arial" w:hAnsi="Arial"/>
                <w:sz w:val="18"/>
                <w:szCs w:val="18"/>
                <w:color w:val="auto"/>
              </w:rPr>
              <w:t>2,161</w:t>
            </w:r>
          </w:p>
        </w:tc>
        <w:tc>
          <w:tcPr>
            <w:tcW w:w="0" w:type="dxa"/>
            <w:vAlign w:val="bottom"/>
          </w:tcPr>
          <w:p>
            <w:pPr>
              <w:spacing w:after="0"/>
              <w:rPr>
                <w:sz w:val="1"/>
                <w:szCs w:val="1"/>
                <w:color w:val="auto"/>
              </w:rPr>
            </w:pPr>
          </w:p>
        </w:tc>
      </w:tr>
      <w:tr>
        <w:trPr>
          <w:trHeight w:val="270"/>
        </w:trPr>
        <w:tc>
          <w:tcPr>
            <w:tcW w:w="4900" w:type="dxa"/>
            <w:vAlign w:val="bottom"/>
            <w:tcBorders>
              <w:bottom w:val="single" w:sz="8" w:color="CCEEFF"/>
            </w:tcBorders>
          </w:tcPr>
          <w:p>
            <w:pPr>
              <w:ind w:left="260"/>
              <w:spacing w:after="0" w:line="270" w:lineRule="exact"/>
              <w:rPr>
                <w:sz w:val="20"/>
                <w:szCs w:val="20"/>
                <w:color w:val="auto"/>
              </w:rPr>
            </w:pPr>
            <w:r>
              <w:rPr>
                <w:rFonts w:ascii="Arial" w:cs="Arial" w:eastAsia="Arial" w:hAnsi="Arial"/>
                <w:sz w:val="18"/>
                <w:szCs w:val="18"/>
                <w:color w:val="auto"/>
              </w:rPr>
              <w:t>Income tax effect of non-GAAP adjustments</w:t>
            </w:r>
            <w:r>
              <w:rPr>
                <w:rFonts w:ascii="Arial" w:cs="Arial" w:eastAsia="Arial" w:hAnsi="Arial"/>
                <w:sz w:val="25"/>
                <w:szCs w:val="25"/>
                <w:color w:val="auto"/>
                <w:vertAlign w:val="superscript"/>
              </w:rPr>
              <w:t>(a) (b)</w:t>
            </w:r>
          </w:p>
        </w:tc>
        <w:tc>
          <w:tcPr>
            <w:tcW w:w="280" w:type="dxa"/>
            <w:vAlign w:val="bottom"/>
            <w:tcBorders>
              <w:bottom w:val="single" w:sz="8" w:color="auto"/>
            </w:tcBorders>
          </w:tcPr>
          <w:p>
            <w:pPr>
              <w:spacing w:after="0"/>
              <w:rPr>
                <w:sz w:val="23"/>
                <w:szCs w:val="23"/>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(148)</w:t>
            </w:r>
          </w:p>
        </w:tc>
        <w:tc>
          <w:tcPr>
            <w:tcW w:w="260" w:type="dxa"/>
            <w:vAlign w:val="bottom"/>
            <w:tcBorders>
              <w:bottom w:val="single" w:sz="8" w:color="auto"/>
            </w:tcBorders>
          </w:tcPr>
          <w:p>
            <w:pPr>
              <w:spacing w:after="0"/>
              <w:rPr>
                <w:sz w:val="23"/>
                <w:szCs w:val="23"/>
                <w:color w:val="auto"/>
              </w:rPr>
            </w:pPr>
          </w:p>
        </w:tc>
        <w:tc>
          <w:tcPr>
            <w:tcW w:w="120" w:type="dxa"/>
            <w:vAlign w:val="bottom"/>
            <w:tcBorders>
              <w:bottom w:val="single" w:sz="8" w:color="CCEEFF"/>
            </w:tcBorders>
          </w:tcPr>
          <w:p>
            <w:pPr>
              <w:spacing w:after="0"/>
              <w:rPr>
                <w:sz w:val="23"/>
                <w:szCs w:val="23"/>
                <w:color w:val="auto"/>
              </w:rPr>
            </w:pPr>
          </w:p>
        </w:tc>
        <w:tc>
          <w:tcPr>
            <w:tcW w:w="360" w:type="dxa"/>
            <w:vAlign w:val="bottom"/>
            <w:tcBorders>
              <w:bottom w:val="single" w:sz="8" w:color="auto"/>
            </w:tcBorders>
          </w:tcPr>
          <w:p>
            <w:pPr>
              <w:spacing w:after="0"/>
              <w:rPr>
                <w:sz w:val="23"/>
                <w:szCs w:val="23"/>
                <w:color w:val="auto"/>
              </w:rPr>
            </w:pPr>
          </w:p>
        </w:tc>
        <w:tc>
          <w:tcPr>
            <w:tcW w:w="940" w:type="dxa"/>
            <w:vAlign w:val="bottom"/>
            <w:tcBorders>
              <w:bottom w:val="single" w:sz="8" w:color="auto"/>
            </w:tcBorders>
          </w:tcPr>
          <w:p>
            <w:pPr>
              <w:jc w:val="right"/>
              <w:ind w:right="170"/>
              <w:spacing w:after="0"/>
              <w:rPr>
                <w:sz w:val="20"/>
                <w:szCs w:val="20"/>
                <w:color w:val="auto"/>
              </w:rPr>
            </w:pPr>
            <w:r>
              <w:rPr>
                <w:rFonts w:ascii="Arial" w:cs="Arial" w:eastAsia="Arial" w:hAnsi="Arial"/>
                <w:sz w:val="18"/>
                <w:szCs w:val="18"/>
                <w:color w:val="auto"/>
              </w:rPr>
              <w:t>(712)</w:t>
            </w:r>
          </w:p>
        </w:tc>
        <w:tc>
          <w:tcPr>
            <w:tcW w:w="120" w:type="dxa"/>
            <w:vAlign w:val="bottom"/>
            <w:tcBorders>
              <w:bottom w:val="single" w:sz="8" w:color="CCEEFF"/>
            </w:tcBorders>
          </w:tcPr>
          <w:p>
            <w:pPr>
              <w:spacing w:after="0"/>
              <w:rPr>
                <w:sz w:val="23"/>
                <w:szCs w:val="23"/>
                <w:color w:val="auto"/>
              </w:rPr>
            </w:pPr>
          </w:p>
        </w:tc>
        <w:tc>
          <w:tcPr>
            <w:tcW w:w="280" w:type="dxa"/>
            <w:vAlign w:val="bottom"/>
            <w:tcBorders>
              <w:bottom w:val="single" w:sz="8" w:color="auto"/>
            </w:tcBorders>
          </w:tcPr>
          <w:p>
            <w:pPr>
              <w:spacing w:after="0"/>
              <w:rPr>
                <w:sz w:val="23"/>
                <w:szCs w:val="23"/>
                <w:color w:val="auto"/>
              </w:rPr>
            </w:pPr>
          </w:p>
        </w:tc>
        <w:tc>
          <w:tcPr>
            <w:tcW w:w="1020" w:type="dxa"/>
            <w:vAlign w:val="bottom"/>
            <w:tcBorders>
              <w:bottom w:val="single" w:sz="8" w:color="auto"/>
            </w:tcBorders>
          </w:tcPr>
          <w:p>
            <w:pPr>
              <w:jc w:val="right"/>
              <w:ind w:right="170"/>
              <w:spacing w:after="0"/>
              <w:rPr>
                <w:sz w:val="20"/>
                <w:szCs w:val="20"/>
                <w:color w:val="auto"/>
              </w:rPr>
            </w:pPr>
            <w:r>
              <w:rPr>
                <w:rFonts w:ascii="Arial" w:cs="Arial" w:eastAsia="Arial" w:hAnsi="Arial"/>
                <w:sz w:val="18"/>
                <w:szCs w:val="18"/>
                <w:color w:val="auto"/>
              </w:rPr>
              <w:t>(270)</w:t>
            </w:r>
          </w:p>
        </w:tc>
        <w:tc>
          <w:tcPr>
            <w:tcW w:w="120" w:type="dxa"/>
            <w:vAlign w:val="bottom"/>
            <w:tcBorders>
              <w:bottom w:val="single" w:sz="8" w:color="CCEEFF"/>
            </w:tcBorders>
          </w:tcPr>
          <w:p>
            <w:pPr>
              <w:spacing w:after="0"/>
              <w:rPr>
                <w:sz w:val="23"/>
                <w:szCs w:val="23"/>
                <w:color w:val="auto"/>
              </w:rPr>
            </w:pPr>
          </w:p>
        </w:tc>
        <w:tc>
          <w:tcPr>
            <w:tcW w:w="300" w:type="dxa"/>
            <w:vAlign w:val="bottom"/>
            <w:tcBorders>
              <w:bottom w:val="single" w:sz="8" w:color="auto"/>
            </w:tcBorders>
          </w:tcPr>
          <w:p>
            <w:pPr>
              <w:spacing w:after="0"/>
              <w:rPr>
                <w:sz w:val="23"/>
                <w:szCs w:val="23"/>
                <w:color w:val="auto"/>
              </w:rPr>
            </w:pPr>
          </w:p>
        </w:tc>
        <w:tc>
          <w:tcPr>
            <w:tcW w:w="900" w:type="dxa"/>
            <w:vAlign w:val="bottom"/>
            <w:tcBorders>
              <w:bottom w:val="single" w:sz="8" w:color="auto"/>
            </w:tcBorders>
          </w:tcPr>
          <w:p>
            <w:pPr>
              <w:jc w:val="right"/>
              <w:ind w:right="170"/>
              <w:spacing w:after="0"/>
              <w:rPr>
                <w:sz w:val="20"/>
                <w:szCs w:val="20"/>
                <w:color w:val="auto"/>
              </w:rPr>
            </w:pPr>
            <w:r>
              <w:rPr>
                <w:rFonts w:ascii="Arial" w:cs="Arial" w:eastAsia="Arial" w:hAnsi="Arial"/>
                <w:sz w:val="18"/>
                <w:szCs w:val="18"/>
                <w:color w:val="auto"/>
              </w:rPr>
              <w:t>(2,372)</w:t>
            </w:r>
          </w:p>
        </w:tc>
        <w:tc>
          <w:tcPr>
            <w:tcW w:w="0" w:type="dxa"/>
            <w:vAlign w:val="bottom"/>
          </w:tcPr>
          <w:p>
            <w:pPr>
              <w:spacing w:after="0"/>
              <w:rPr>
                <w:sz w:val="1"/>
                <w:szCs w:val="1"/>
                <w:color w:val="auto"/>
              </w:rPr>
            </w:pPr>
          </w:p>
        </w:tc>
      </w:tr>
      <w:tr>
        <w:trPr>
          <w:trHeight w:val="257"/>
        </w:trPr>
        <w:tc>
          <w:tcPr>
            <w:tcW w:w="4900" w:type="dxa"/>
            <w:vAlign w:val="bottom"/>
            <w:shd w:val="clear" w:color="auto" w:fill="CCEEFF"/>
          </w:tcPr>
          <w:p>
            <w:pPr>
              <w:ind w:left="20"/>
              <w:spacing w:after="0"/>
              <w:rPr>
                <w:sz w:val="20"/>
                <w:szCs w:val="20"/>
                <w:color w:val="auto"/>
              </w:rPr>
            </w:pPr>
            <w:r>
              <w:rPr>
                <w:rFonts w:ascii="Arial" w:cs="Arial" w:eastAsia="Arial" w:hAnsi="Arial"/>
                <w:sz w:val="18"/>
                <w:szCs w:val="18"/>
                <w:color w:val="auto"/>
              </w:rPr>
              <w:t>Adjusted net income</w:t>
            </w:r>
          </w:p>
        </w:tc>
        <w:tc>
          <w:tcPr>
            <w:tcW w:w="28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10,184</w:t>
            </w:r>
          </w:p>
        </w:tc>
        <w:tc>
          <w:tcPr>
            <w:tcW w:w="740" w:type="dxa"/>
            <w:vAlign w:val="bottom"/>
            <w:gridSpan w:val="3"/>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940" w:type="dxa"/>
            <w:vAlign w:val="bottom"/>
            <w:shd w:val="clear" w:color="auto" w:fill="CCEEFF"/>
          </w:tcPr>
          <w:p>
            <w:pPr>
              <w:jc w:val="right"/>
              <w:ind w:right="230"/>
              <w:spacing w:after="0"/>
              <w:rPr>
                <w:sz w:val="20"/>
                <w:szCs w:val="20"/>
                <w:color w:val="auto"/>
              </w:rPr>
            </w:pPr>
            <w:r>
              <w:rPr>
                <w:rFonts w:ascii="Arial" w:cs="Arial" w:eastAsia="Arial" w:hAnsi="Arial"/>
                <w:sz w:val="18"/>
                <w:szCs w:val="18"/>
                <w:color w:val="auto"/>
              </w:rPr>
              <w:t>15,701</w:t>
            </w:r>
          </w:p>
        </w:tc>
        <w:tc>
          <w:tcPr>
            <w:tcW w:w="120" w:type="dxa"/>
            <w:vAlign w:val="bottom"/>
            <w:shd w:val="clear" w:color="auto" w:fill="CCEEFF"/>
          </w:tcPr>
          <w:p>
            <w:pPr>
              <w:spacing w:after="0"/>
              <w:rPr>
                <w:sz w:val="22"/>
                <w:szCs w:val="22"/>
                <w:color w:val="auto"/>
              </w:rPr>
            </w:pPr>
          </w:p>
        </w:tc>
        <w:tc>
          <w:tcPr>
            <w:tcW w:w="28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1020" w:type="dxa"/>
            <w:vAlign w:val="bottom"/>
            <w:shd w:val="clear" w:color="auto" w:fill="CCEEFF"/>
          </w:tcPr>
          <w:p>
            <w:pPr>
              <w:jc w:val="right"/>
              <w:ind w:right="230"/>
              <w:spacing w:after="0"/>
              <w:rPr>
                <w:sz w:val="20"/>
                <w:szCs w:val="20"/>
                <w:color w:val="auto"/>
              </w:rPr>
            </w:pPr>
            <w:r>
              <w:rPr>
                <w:rFonts w:ascii="Arial" w:cs="Arial" w:eastAsia="Arial" w:hAnsi="Arial"/>
                <w:sz w:val="18"/>
                <w:szCs w:val="18"/>
                <w:color w:val="auto"/>
              </w:rPr>
              <w:t>18,756</w:t>
            </w:r>
          </w:p>
        </w:tc>
        <w:tc>
          <w:tcPr>
            <w:tcW w:w="120" w:type="dxa"/>
            <w:vAlign w:val="bottom"/>
            <w:shd w:val="clear" w:color="auto" w:fill="CCEEFF"/>
          </w:tcPr>
          <w:p>
            <w:pPr>
              <w:spacing w:after="0"/>
              <w:rPr>
                <w:sz w:val="22"/>
                <w:szCs w:val="22"/>
                <w:color w:val="auto"/>
              </w:rPr>
            </w:pPr>
          </w:p>
        </w:tc>
        <w:tc>
          <w:tcPr>
            <w:tcW w:w="30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w w:val="79"/>
              </w:rPr>
              <w:t>$</w:t>
            </w:r>
          </w:p>
        </w:tc>
        <w:tc>
          <w:tcPr>
            <w:tcW w:w="900" w:type="dxa"/>
            <w:vAlign w:val="bottom"/>
            <w:shd w:val="clear" w:color="auto" w:fill="CCEEFF"/>
          </w:tcPr>
          <w:p>
            <w:pPr>
              <w:jc w:val="right"/>
              <w:ind w:right="230"/>
              <w:spacing w:after="0"/>
              <w:rPr>
                <w:sz w:val="20"/>
                <w:szCs w:val="20"/>
                <w:color w:val="auto"/>
              </w:rPr>
            </w:pPr>
            <w:r>
              <w:rPr>
                <w:rFonts w:ascii="Arial" w:cs="Arial" w:eastAsia="Arial" w:hAnsi="Arial"/>
                <w:sz w:val="18"/>
                <w:szCs w:val="18"/>
                <w:color w:val="auto"/>
              </w:rPr>
              <w:t>24,754</w:t>
            </w:r>
          </w:p>
        </w:tc>
        <w:tc>
          <w:tcPr>
            <w:tcW w:w="0" w:type="dxa"/>
            <w:vAlign w:val="bottom"/>
          </w:tcPr>
          <w:p>
            <w:pPr>
              <w:spacing w:after="0"/>
              <w:rPr>
                <w:sz w:val="1"/>
                <w:szCs w:val="1"/>
                <w:color w:val="auto"/>
              </w:rPr>
            </w:pPr>
          </w:p>
        </w:tc>
      </w:tr>
      <w:tr>
        <w:trPr>
          <w:trHeight w:val="20"/>
        </w:trPr>
        <w:tc>
          <w:tcPr>
            <w:tcW w:w="49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gridSpan w:val="2"/>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1"/>
        </w:trPr>
        <w:tc>
          <w:tcPr>
            <w:tcW w:w="4900" w:type="dxa"/>
            <w:vAlign w:val="bottom"/>
          </w:tcPr>
          <w:p>
            <w:pPr>
              <w:ind w:left="20"/>
              <w:spacing w:after="0"/>
              <w:rPr>
                <w:sz w:val="20"/>
                <w:szCs w:val="20"/>
                <w:color w:val="auto"/>
              </w:rPr>
            </w:pPr>
            <w:r>
              <w:rPr>
                <w:rFonts w:ascii="Arial" w:cs="Arial" w:eastAsia="Arial" w:hAnsi="Arial"/>
                <w:sz w:val="18"/>
                <w:szCs w:val="18"/>
                <w:color w:val="auto"/>
              </w:rPr>
              <w:t>Adjusted net income, as a percentage of revenues</w:t>
            </w:r>
          </w:p>
        </w:tc>
        <w:tc>
          <w:tcPr>
            <w:tcW w:w="280" w:type="dxa"/>
            <w:vAlign w:val="bottom"/>
            <w:tcBorders>
              <w:bottom w:val="single" w:sz="8" w:color="auto"/>
            </w:tcBorders>
          </w:tcPr>
          <w:p>
            <w:pPr>
              <w:spacing w:after="0"/>
              <w:rPr>
                <w:sz w:val="21"/>
                <w:szCs w:val="21"/>
                <w:color w:val="auto"/>
              </w:rPr>
            </w:pPr>
          </w:p>
        </w:tc>
        <w:tc>
          <w:tcPr>
            <w:tcW w:w="1020" w:type="dxa"/>
            <w:vAlign w:val="bottom"/>
            <w:tcBorders>
              <w:bottom w:val="single" w:sz="8" w:color="auto"/>
            </w:tcBorders>
            <w:gridSpan w:val="2"/>
          </w:tcPr>
          <w:p>
            <w:pPr>
              <w:jc w:val="right"/>
              <w:ind w:right="90"/>
              <w:spacing w:after="0"/>
              <w:rPr>
                <w:sz w:val="20"/>
                <w:szCs w:val="20"/>
                <w:color w:val="auto"/>
              </w:rPr>
            </w:pPr>
            <w:r>
              <w:rPr>
                <w:rFonts w:ascii="Arial" w:cs="Arial" w:eastAsia="Arial" w:hAnsi="Arial"/>
                <w:sz w:val="18"/>
                <w:szCs w:val="18"/>
                <w:color w:val="auto"/>
              </w:rPr>
              <w:t>11.9%</w:t>
            </w:r>
          </w:p>
        </w:tc>
        <w:tc>
          <w:tcPr>
            <w:tcW w:w="120" w:type="dxa"/>
            <w:vAlign w:val="bottom"/>
          </w:tcPr>
          <w:p>
            <w:pPr>
              <w:spacing w:after="0"/>
              <w:rPr>
                <w:sz w:val="21"/>
                <w:szCs w:val="21"/>
                <w:color w:val="auto"/>
              </w:rPr>
            </w:pPr>
          </w:p>
        </w:tc>
        <w:tc>
          <w:tcPr>
            <w:tcW w:w="360" w:type="dxa"/>
            <w:vAlign w:val="bottom"/>
            <w:tcBorders>
              <w:bottom w:val="single" w:sz="8" w:color="auto"/>
            </w:tcBorders>
          </w:tcPr>
          <w:p>
            <w:pPr>
              <w:spacing w:after="0"/>
              <w:rPr>
                <w:sz w:val="21"/>
                <w:szCs w:val="21"/>
                <w:color w:val="auto"/>
              </w:rPr>
            </w:pPr>
          </w:p>
        </w:tc>
        <w:tc>
          <w:tcPr>
            <w:tcW w:w="940" w:type="dxa"/>
            <w:vAlign w:val="bottom"/>
            <w:tcBorders>
              <w:bottom w:val="single" w:sz="8" w:color="auto"/>
            </w:tcBorders>
          </w:tcPr>
          <w:p>
            <w:pPr>
              <w:jc w:val="right"/>
              <w:ind w:right="90"/>
              <w:spacing w:after="0"/>
              <w:rPr>
                <w:sz w:val="20"/>
                <w:szCs w:val="20"/>
                <w:color w:val="auto"/>
              </w:rPr>
            </w:pPr>
            <w:r>
              <w:rPr>
                <w:rFonts w:ascii="Arial" w:cs="Arial" w:eastAsia="Arial" w:hAnsi="Arial"/>
                <w:sz w:val="18"/>
                <w:szCs w:val="18"/>
                <w:color w:val="auto"/>
              </w:rPr>
              <w:t>17.7%</w:t>
            </w:r>
          </w:p>
        </w:tc>
        <w:tc>
          <w:tcPr>
            <w:tcW w:w="120" w:type="dxa"/>
            <w:vAlign w:val="bottom"/>
          </w:tcPr>
          <w:p>
            <w:pPr>
              <w:spacing w:after="0"/>
              <w:rPr>
                <w:sz w:val="21"/>
                <w:szCs w:val="21"/>
                <w:color w:val="auto"/>
              </w:rPr>
            </w:pPr>
          </w:p>
        </w:tc>
        <w:tc>
          <w:tcPr>
            <w:tcW w:w="280" w:type="dxa"/>
            <w:vAlign w:val="bottom"/>
            <w:tcBorders>
              <w:bottom w:val="single" w:sz="8" w:color="auto"/>
            </w:tcBorders>
          </w:tcPr>
          <w:p>
            <w:pPr>
              <w:spacing w:after="0"/>
              <w:rPr>
                <w:sz w:val="21"/>
                <w:szCs w:val="21"/>
                <w:color w:val="auto"/>
              </w:rPr>
            </w:pPr>
          </w:p>
        </w:tc>
        <w:tc>
          <w:tcPr>
            <w:tcW w:w="1020" w:type="dxa"/>
            <w:vAlign w:val="bottom"/>
            <w:tcBorders>
              <w:bottom w:val="single" w:sz="8" w:color="auto"/>
            </w:tcBorders>
          </w:tcPr>
          <w:p>
            <w:pPr>
              <w:jc w:val="right"/>
              <w:ind w:right="90"/>
              <w:spacing w:after="0"/>
              <w:rPr>
                <w:sz w:val="20"/>
                <w:szCs w:val="20"/>
                <w:color w:val="auto"/>
              </w:rPr>
            </w:pPr>
            <w:r>
              <w:rPr>
                <w:rFonts w:ascii="Arial" w:cs="Arial" w:eastAsia="Arial" w:hAnsi="Arial"/>
                <w:sz w:val="18"/>
                <w:szCs w:val="18"/>
                <w:color w:val="auto"/>
              </w:rPr>
              <w:t>11.2%</w:t>
            </w:r>
          </w:p>
        </w:tc>
        <w:tc>
          <w:tcPr>
            <w:tcW w:w="120" w:type="dxa"/>
            <w:vAlign w:val="bottom"/>
          </w:tcPr>
          <w:p>
            <w:pPr>
              <w:spacing w:after="0"/>
              <w:rPr>
                <w:sz w:val="21"/>
                <w:szCs w:val="21"/>
                <w:color w:val="auto"/>
              </w:rPr>
            </w:pPr>
          </w:p>
        </w:tc>
        <w:tc>
          <w:tcPr>
            <w:tcW w:w="300" w:type="dxa"/>
            <w:vAlign w:val="bottom"/>
            <w:tcBorders>
              <w:bottom w:val="single" w:sz="8" w:color="auto"/>
            </w:tcBorders>
          </w:tcPr>
          <w:p>
            <w:pPr>
              <w:spacing w:after="0"/>
              <w:rPr>
                <w:sz w:val="21"/>
                <w:szCs w:val="21"/>
                <w:color w:val="auto"/>
              </w:rPr>
            </w:pPr>
          </w:p>
        </w:tc>
        <w:tc>
          <w:tcPr>
            <w:tcW w:w="900" w:type="dxa"/>
            <w:vAlign w:val="bottom"/>
            <w:tcBorders>
              <w:bottom w:val="single" w:sz="8" w:color="auto"/>
            </w:tcBorders>
          </w:tcPr>
          <w:p>
            <w:pPr>
              <w:jc w:val="right"/>
              <w:ind w:right="90"/>
              <w:spacing w:after="0"/>
              <w:rPr>
                <w:sz w:val="20"/>
                <w:szCs w:val="20"/>
                <w:color w:val="auto"/>
              </w:rPr>
            </w:pPr>
            <w:r>
              <w:rPr>
                <w:rFonts w:ascii="Arial" w:cs="Arial" w:eastAsia="Arial" w:hAnsi="Arial"/>
                <w:sz w:val="18"/>
                <w:szCs w:val="18"/>
                <w:color w:val="auto"/>
              </w:rPr>
              <w:t>14.5%</w:t>
            </w:r>
          </w:p>
        </w:tc>
        <w:tc>
          <w:tcPr>
            <w:tcW w:w="0" w:type="dxa"/>
            <w:vAlign w:val="bottom"/>
          </w:tcPr>
          <w:p>
            <w:pPr>
              <w:spacing w:after="0"/>
              <w:rPr>
                <w:sz w:val="1"/>
                <w:szCs w:val="1"/>
                <w:color w:val="auto"/>
              </w:rPr>
            </w:pPr>
          </w:p>
        </w:tc>
      </w:tr>
      <w:tr>
        <w:trPr>
          <w:trHeight w:val="20"/>
        </w:trPr>
        <w:tc>
          <w:tcPr>
            <w:tcW w:w="49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60"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4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60" w:type="dxa"/>
            <w:vAlign w:val="bottom"/>
            <w:gridSpan w:val="5"/>
          </w:tcPr>
          <w:p>
            <w:pPr>
              <w:jc w:val="right"/>
              <w:ind w:right="500"/>
              <w:spacing w:after="0"/>
              <w:rPr>
                <w:sz w:val="20"/>
                <w:szCs w:val="20"/>
                <w:color w:val="auto"/>
              </w:rPr>
            </w:pPr>
            <w:r>
              <w:rPr>
                <w:rFonts w:ascii="Arial" w:cs="Arial" w:eastAsia="Arial" w:hAnsi="Arial"/>
                <w:sz w:val="18"/>
                <w:szCs w:val="18"/>
                <w:b w:val="1"/>
                <w:bCs w:val="1"/>
                <w:color w:val="auto"/>
                <w:w w:val="97"/>
              </w:rPr>
              <w:t>Three Months Ended</w:t>
            </w:r>
          </w:p>
        </w:tc>
        <w:tc>
          <w:tcPr>
            <w:tcW w:w="260" w:type="dxa"/>
            <w:vAlign w:val="bottom"/>
          </w:tcPr>
          <w:p>
            <w:pPr>
              <w:spacing w:after="0"/>
              <w:rPr>
                <w:sz w:val="18"/>
                <w:szCs w:val="18"/>
                <w:color w:val="auto"/>
              </w:rPr>
            </w:pPr>
          </w:p>
        </w:tc>
        <w:tc>
          <w:tcPr>
            <w:tcW w:w="2140" w:type="dxa"/>
            <w:vAlign w:val="bottom"/>
            <w:gridSpan w:val="4"/>
          </w:tcPr>
          <w:p>
            <w:pPr>
              <w:jc w:val="right"/>
              <w:ind w:right="410"/>
              <w:spacing w:after="0"/>
              <w:rPr>
                <w:sz w:val="20"/>
                <w:szCs w:val="20"/>
                <w:color w:val="auto"/>
              </w:rPr>
            </w:pPr>
            <w:r>
              <w:rPr>
                <w:rFonts w:ascii="Arial" w:cs="Arial" w:eastAsia="Arial" w:hAnsi="Arial"/>
                <w:sz w:val="18"/>
                <w:szCs w:val="18"/>
                <w:b w:val="1"/>
                <w:bCs w:val="1"/>
                <w:color w:val="auto"/>
              </w:rPr>
              <w:t>Six Months Ended</w:t>
            </w:r>
          </w:p>
        </w:tc>
        <w:tc>
          <w:tcPr>
            <w:tcW w:w="0" w:type="dxa"/>
            <w:vAlign w:val="bottom"/>
          </w:tcPr>
          <w:p>
            <w:pPr>
              <w:spacing w:after="0"/>
              <w:rPr>
                <w:sz w:val="1"/>
                <w:szCs w:val="1"/>
                <w:color w:val="auto"/>
              </w:rPr>
            </w:pPr>
          </w:p>
        </w:tc>
      </w:tr>
      <w:tr>
        <w:trPr>
          <w:trHeight w:val="234"/>
        </w:trPr>
        <w:tc>
          <w:tcPr>
            <w:tcW w:w="54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340" w:type="dxa"/>
            <w:vAlign w:val="bottom"/>
            <w:gridSpan w:val="3"/>
          </w:tcPr>
          <w:p>
            <w:pPr>
              <w:jc w:val="right"/>
              <w:spacing w:after="0"/>
              <w:rPr>
                <w:sz w:val="20"/>
                <w:szCs w:val="20"/>
                <w:color w:val="auto"/>
              </w:rPr>
            </w:pPr>
            <w:r>
              <w:rPr>
                <w:rFonts w:ascii="Arial" w:cs="Arial" w:eastAsia="Arial" w:hAnsi="Arial"/>
                <w:sz w:val="18"/>
                <w:szCs w:val="18"/>
                <w:b w:val="1"/>
                <w:bCs w:val="1"/>
                <w:color w:val="auto"/>
              </w:rPr>
              <w:t>June 30,</w:t>
            </w:r>
          </w:p>
        </w:tc>
        <w:tc>
          <w:tcPr>
            <w:tcW w:w="8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340" w:type="dxa"/>
            <w:vAlign w:val="bottom"/>
            <w:gridSpan w:val="3"/>
          </w:tcPr>
          <w:p>
            <w:pPr>
              <w:jc w:val="right"/>
              <w:spacing w:after="0"/>
              <w:rPr>
                <w:sz w:val="20"/>
                <w:szCs w:val="20"/>
                <w:color w:val="auto"/>
              </w:rPr>
            </w:pPr>
            <w:r>
              <w:rPr>
                <w:rFonts w:ascii="Arial" w:cs="Arial" w:eastAsia="Arial" w:hAnsi="Arial"/>
                <w:sz w:val="18"/>
                <w:szCs w:val="18"/>
                <w:b w:val="1"/>
                <w:bCs w:val="1"/>
                <w:color w:val="auto"/>
              </w:rPr>
              <w:t>June 30,</w:t>
            </w:r>
          </w:p>
        </w:tc>
        <w:tc>
          <w:tcPr>
            <w:tcW w:w="8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548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7"/>
        </w:trPr>
        <w:tc>
          <w:tcPr>
            <w:tcW w:w="54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900" w:type="dxa"/>
            <w:vAlign w:val="bottom"/>
          </w:tcPr>
          <w:p>
            <w:pPr>
              <w:jc w:val="right"/>
              <w:ind w:right="310"/>
              <w:spacing w:after="0"/>
              <w:rPr>
                <w:sz w:val="20"/>
                <w:szCs w:val="20"/>
                <w:color w:val="auto"/>
              </w:rPr>
            </w:pPr>
            <w:r>
              <w:rPr>
                <w:rFonts w:ascii="Arial" w:cs="Arial" w:eastAsia="Arial" w:hAnsi="Arial"/>
                <w:sz w:val="18"/>
                <w:szCs w:val="18"/>
                <w:b w:val="1"/>
                <w:bCs w:val="1"/>
                <w:color w:val="auto"/>
              </w:rPr>
              <w:t>2018</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820" w:type="dxa"/>
            <w:vAlign w:val="bottom"/>
          </w:tcPr>
          <w:p>
            <w:pPr>
              <w:jc w:val="right"/>
              <w:ind w:right="310"/>
              <w:spacing w:after="0"/>
              <w:rPr>
                <w:sz w:val="20"/>
                <w:szCs w:val="20"/>
                <w:color w:val="auto"/>
              </w:rPr>
            </w:pPr>
            <w:r>
              <w:rPr>
                <w:rFonts w:ascii="Arial" w:cs="Arial" w:eastAsia="Arial" w:hAnsi="Arial"/>
                <w:sz w:val="18"/>
                <w:szCs w:val="18"/>
                <w:b w:val="1"/>
                <w:bCs w:val="1"/>
                <w:color w:val="auto"/>
                <w:w w:val="99"/>
              </w:rPr>
              <w:t>2017</w:t>
            </w: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900" w:type="dxa"/>
            <w:vAlign w:val="bottom"/>
          </w:tcPr>
          <w:p>
            <w:pPr>
              <w:jc w:val="right"/>
              <w:ind w:right="310"/>
              <w:spacing w:after="0"/>
              <w:rPr>
                <w:sz w:val="20"/>
                <w:szCs w:val="20"/>
                <w:color w:val="auto"/>
              </w:rPr>
            </w:pPr>
            <w:r>
              <w:rPr>
                <w:rFonts w:ascii="Arial" w:cs="Arial" w:eastAsia="Arial" w:hAnsi="Arial"/>
                <w:sz w:val="18"/>
                <w:szCs w:val="18"/>
                <w:b w:val="1"/>
                <w:bCs w:val="1"/>
                <w:color w:val="auto"/>
              </w:rPr>
              <w:t>2018</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800" w:type="dxa"/>
            <w:vAlign w:val="bottom"/>
          </w:tcPr>
          <w:p>
            <w:pPr>
              <w:jc w:val="right"/>
              <w:ind w:right="290"/>
              <w:spacing w:after="0"/>
              <w:rPr>
                <w:sz w:val="20"/>
                <w:szCs w:val="20"/>
                <w:color w:val="auto"/>
              </w:rPr>
            </w:pPr>
            <w:r>
              <w:rPr>
                <w:rFonts w:ascii="Arial" w:cs="Arial" w:eastAsia="Arial" w:hAnsi="Arial"/>
                <w:sz w:val="18"/>
                <w:szCs w:val="18"/>
                <w:b w:val="1"/>
                <w:bCs w:val="1"/>
                <w:color w:val="auto"/>
                <w:w w:val="99"/>
              </w:rPr>
              <w:t>2017</w:t>
            </w:r>
          </w:p>
        </w:tc>
        <w:tc>
          <w:tcPr>
            <w:tcW w:w="0" w:type="dxa"/>
            <w:vAlign w:val="bottom"/>
          </w:tcPr>
          <w:p>
            <w:pPr>
              <w:spacing w:after="0"/>
              <w:rPr>
                <w:sz w:val="1"/>
                <w:szCs w:val="1"/>
                <w:color w:val="auto"/>
              </w:rPr>
            </w:pPr>
          </w:p>
        </w:tc>
      </w:tr>
      <w:tr>
        <w:trPr>
          <w:trHeight w:val="27"/>
        </w:trPr>
        <w:tc>
          <w:tcPr>
            <w:tcW w:w="548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54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Net income per share - diluted</w:t>
            </w:r>
          </w:p>
        </w:tc>
        <w:tc>
          <w:tcPr>
            <w:tcW w:w="24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9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0.25</w:t>
            </w:r>
          </w:p>
        </w:tc>
        <w:tc>
          <w:tcPr>
            <w:tcW w:w="10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8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0.35</w:t>
            </w:r>
          </w:p>
        </w:tc>
        <w:tc>
          <w:tcPr>
            <w:tcW w:w="10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90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0.45</w:t>
            </w:r>
          </w:p>
        </w:tc>
        <w:tc>
          <w:tcPr>
            <w:tcW w:w="10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0.46</w:t>
            </w:r>
          </w:p>
        </w:tc>
        <w:tc>
          <w:tcPr>
            <w:tcW w:w="0" w:type="dxa"/>
            <w:vAlign w:val="bottom"/>
          </w:tcPr>
          <w:p>
            <w:pPr>
              <w:spacing w:after="0"/>
              <w:rPr>
                <w:sz w:val="1"/>
                <w:szCs w:val="1"/>
                <w:color w:val="auto"/>
              </w:rPr>
            </w:pPr>
          </w:p>
        </w:tc>
      </w:tr>
      <w:tr>
        <w:trPr>
          <w:trHeight w:val="20"/>
        </w:trPr>
        <w:tc>
          <w:tcPr>
            <w:tcW w:w="5480" w:type="dxa"/>
            <w:vAlign w:val="bottom"/>
            <w:vMerge w:val="restart"/>
          </w:tcPr>
          <w:p>
            <w:pPr>
              <w:ind w:left="20"/>
              <w:spacing w:after="0"/>
              <w:rPr>
                <w:sz w:val="20"/>
                <w:szCs w:val="20"/>
                <w:color w:val="auto"/>
              </w:rPr>
            </w:pPr>
            <w:r>
              <w:rPr>
                <w:rFonts w:ascii="Arial" w:cs="Arial" w:eastAsia="Arial" w:hAnsi="Arial"/>
                <w:sz w:val="18"/>
                <w:szCs w:val="18"/>
                <w:i w:val="1"/>
                <w:iCs w:val="1"/>
                <w:color w:val="auto"/>
              </w:rPr>
              <w:t>Reconciling items impacting operating income:</w:t>
            </w:r>
          </w:p>
        </w:tc>
        <w:tc>
          <w:tcPr>
            <w:tcW w:w="24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5480" w:type="dxa"/>
            <w:vAlign w:val="bottom"/>
            <w:vMerge w:val="continue"/>
          </w:tcPr>
          <w:p>
            <w:pPr>
              <w:spacing w:after="0"/>
              <w:rPr>
                <w:sz w:val="20"/>
                <w:szCs w:val="20"/>
                <w:color w:val="auto"/>
              </w:rPr>
            </w:pPr>
          </w:p>
        </w:tc>
        <w:tc>
          <w:tcPr>
            <w:tcW w:w="24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5480" w:type="dxa"/>
            <w:vAlign w:val="bottom"/>
          </w:tcPr>
          <w:p>
            <w:pPr>
              <w:spacing w:after="0"/>
              <w:rPr>
                <w:sz w:val="2"/>
                <w:szCs w:val="2"/>
                <w:color w:val="auto"/>
              </w:rPr>
            </w:pPr>
          </w:p>
        </w:tc>
        <w:tc>
          <w:tcPr>
            <w:tcW w:w="24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8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4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Campus consolidation costs including depreciation</w:t>
            </w:r>
          </w:p>
        </w:tc>
        <w:tc>
          <w:tcPr>
            <w:tcW w:w="24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0.01</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0.06</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0.03</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0.13</w:t>
            </w:r>
          </w:p>
        </w:tc>
        <w:tc>
          <w:tcPr>
            <w:tcW w:w="0" w:type="dxa"/>
            <w:vAlign w:val="bottom"/>
          </w:tcPr>
          <w:p>
            <w:pPr>
              <w:spacing w:after="0"/>
              <w:rPr>
                <w:sz w:val="1"/>
                <w:szCs w:val="1"/>
                <w:color w:val="auto"/>
              </w:rPr>
            </w:pPr>
          </w:p>
        </w:tc>
      </w:tr>
      <w:tr>
        <w:trPr>
          <w:trHeight w:val="243"/>
        </w:trPr>
        <w:tc>
          <w:tcPr>
            <w:tcW w:w="5480" w:type="dxa"/>
            <w:vAlign w:val="bottom"/>
          </w:tcPr>
          <w:p>
            <w:pPr>
              <w:ind w:left="280"/>
              <w:spacing w:after="0"/>
              <w:rPr>
                <w:sz w:val="20"/>
                <w:szCs w:val="20"/>
                <w:color w:val="auto"/>
              </w:rPr>
            </w:pPr>
            <w:r>
              <w:rPr>
                <w:rFonts w:ascii="Arial" w:cs="Arial" w:eastAsia="Arial" w:hAnsi="Arial"/>
                <w:sz w:val="18"/>
                <w:szCs w:val="18"/>
                <w:color w:val="auto"/>
              </w:rPr>
              <w:t>Offering and other costs</w:t>
            </w:r>
          </w:p>
        </w:tc>
        <w:tc>
          <w:tcPr>
            <w:tcW w:w="240" w:type="dxa"/>
            <w:vAlign w:val="bottom"/>
          </w:tcPr>
          <w:p>
            <w:pPr>
              <w:spacing w:after="0"/>
              <w:rPr>
                <w:sz w:val="21"/>
                <w:szCs w:val="21"/>
                <w:color w:val="auto"/>
              </w:rPr>
            </w:pPr>
          </w:p>
        </w:tc>
        <w:tc>
          <w:tcPr>
            <w:tcW w:w="10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21"/>
                <w:szCs w:val="21"/>
                <w:color w:val="auto"/>
              </w:rPr>
            </w:pPr>
          </w:p>
        </w:tc>
        <w:tc>
          <w:tcPr>
            <w:tcW w:w="820" w:type="dxa"/>
            <w:vAlign w:val="bottom"/>
          </w:tcPr>
          <w:p>
            <w:pPr>
              <w:jc w:val="right"/>
              <w:ind w:right="10"/>
              <w:spacing w:after="0"/>
              <w:rPr>
                <w:sz w:val="20"/>
                <w:szCs w:val="20"/>
                <w:color w:val="auto"/>
              </w:rPr>
            </w:pPr>
            <w:r>
              <w:rPr>
                <w:rFonts w:ascii="Arial" w:cs="Arial" w:eastAsia="Arial" w:hAnsi="Arial"/>
                <w:sz w:val="18"/>
                <w:szCs w:val="18"/>
                <w:color w:val="auto"/>
              </w:rPr>
              <w:t>0.01</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0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0.01</w:t>
            </w:r>
          </w:p>
        </w:tc>
        <w:tc>
          <w:tcPr>
            <w:tcW w:w="0" w:type="dxa"/>
            <w:vAlign w:val="bottom"/>
          </w:tcPr>
          <w:p>
            <w:pPr>
              <w:spacing w:after="0"/>
              <w:rPr>
                <w:sz w:val="1"/>
                <w:szCs w:val="1"/>
                <w:color w:val="auto"/>
              </w:rPr>
            </w:pPr>
          </w:p>
        </w:tc>
      </w:tr>
      <w:tr>
        <w:trPr>
          <w:trHeight w:val="27"/>
        </w:trPr>
        <w:tc>
          <w:tcPr>
            <w:tcW w:w="5480" w:type="dxa"/>
            <w:vAlign w:val="bottom"/>
          </w:tcPr>
          <w:p>
            <w:pPr>
              <w:spacing w:after="0"/>
              <w:rPr>
                <w:sz w:val="2"/>
                <w:szCs w:val="2"/>
                <w:color w:val="auto"/>
              </w:rPr>
            </w:pPr>
          </w:p>
        </w:tc>
        <w:tc>
          <w:tcPr>
            <w:tcW w:w="24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8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4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Non-recurring refinancing related fees</w:t>
            </w:r>
          </w:p>
        </w:tc>
        <w:tc>
          <w:tcPr>
            <w:tcW w:w="24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34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3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0.04</w:t>
            </w:r>
          </w:p>
        </w:tc>
        <w:tc>
          <w:tcPr>
            <w:tcW w:w="0" w:type="dxa"/>
            <w:vAlign w:val="bottom"/>
          </w:tcPr>
          <w:p>
            <w:pPr>
              <w:spacing w:after="0"/>
              <w:rPr>
                <w:sz w:val="1"/>
                <w:szCs w:val="1"/>
                <w:color w:val="auto"/>
              </w:rPr>
            </w:pPr>
          </w:p>
        </w:tc>
      </w:tr>
      <w:tr>
        <w:trPr>
          <w:trHeight w:val="243"/>
        </w:trPr>
        <w:tc>
          <w:tcPr>
            <w:tcW w:w="5480" w:type="dxa"/>
            <w:vAlign w:val="bottom"/>
          </w:tcPr>
          <w:p>
            <w:pPr>
              <w:ind w:left="20"/>
              <w:spacing w:after="0"/>
              <w:rPr>
                <w:sz w:val="20"/>
                <w:szCs w:val="20"/>
                <w:color w:val="auto"/>
              </w:rPr>
            </w:pPr>
            <w:r>
              <w:rPr>
                <w:rFonts w:ascii="Arial" w:cs="Arial" w:eastAsia="Arial" w:hAnsi="Arial"/>
                <w:sz w:val="18"/>
                <w:szCs w:val="18"/>
                <w:i w:val="1"/>
                <w:iCs w:val="1"/>
                <w:color w:val="auto"/>
                <w:w w:val="95"/>
              </w:rPr>
              <w:t>Reconciling items impacting non-operating expenses and income taxes:</w:t>
            </w:r>
          </w:p>
        </w:tc>
        <w:tc>
          <w:tcPr>
            <w:tcW w:w="24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5480" w:type="dxa"/>
            <w:vAlign w:val="bottom"/>
          </w:tcPr>
          <w:p>
            <w:pPr>
              <w:spacing w:after="0"/>
              <w:rPr>
                <w:sz w:val="2"/>
                <w:szCs w:val="2"/>
                <w:color w:val="auto"/>
              </w:rPr>
            </w:pPr>
          </w:p>
        </w:tc>
        <w:tc>
          <w:tcPr>
            <w:tcW w:w="24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8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4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Loss on debt extinguishment and retirement costs</w:t>
            </w:r>
          </w:p>
        </w:tc>
        <w:tc>
          <w:tcPr>
            <w:tcW w:w="24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34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260" w:type="dxa"/>
            <w:vAlign w:val="bottom"/>
            <w:tcBorders>
              <w:bottom w:val="single" w:sz="8" w:color="CCEEFF"/>
            </w:tcBorders>
            <w:shd w:val="clear" w:color="auto" w:fill="CCEEFF"/>
          </w:tcPr>
          <w:p>
            <w:pPr>
              <w:spacing w:after="0"/>
              <w:rPr>
                <w:sz w:val="21"/>
                <w:szCs w:val="21"/>
                <w:color w:val="auto"/>
              </w:rPr>
            </w:pPr>
          </w:p>
        </w:tc>
        <w:tc>
          <w:tcPr>
            <w:tcW w:w="100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34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0.06</w:t>
            </w:r>
          </w:p>
        </w:tc>
        <w:tc>
          <w:tcPr>
            <w:tcW w:w="0" w:type="dxa"/>
            <w:vAlign w:val="bottom"/>
          </w:tcPr>
          <w:p>
            <w:pPr>
              <w:spacing w:after="0"/>
              <w:rPr>
                <w:sz w:val="1"/>
                <w:szCs w:val="1"/>
                <w:color w:val="auto"/>
              </w:rPr>
            </w:pPr>
          </w:p>
        </w:tc>
      </w:tr>
      <w:tr>
        <w:trPr>
          <w:trHeight w:val="270"/>
        </w:trPr>
        <w:tc>
          <w:tcPr>
            <w:tcW w:w="5480" w:type="dxa"/>
            <w:vAlign w:val="bottom"/>
          </w:tcPr>
          <w:p>
            <w:pPr>
              <w:ind w:left="280"/>
              <w:spacing w:after="0" w:line="270" w:lineRule="exact"/>
              <w:rPr>
                <w:sz w:val="20"/>
                <w:szCs w:val="20"/>
                <w:color w:val="auto"/>
              </w:rPr>
            </w:pPr>
            <w:r>
              <w:rPr>
                <w:rFonts w:ascii="Arial" w:cs="Arial" w:eastAsia="Arial" w:hAnsi="Arial"/>
                <w:sz w:val="18"/>
                <w:szCs w:val="18"/>
                <w:color w:val="auto"/>
              </w:rPr>
              <w:t>Tax effect of non-GAAP adjustments</w:t>
            </w:r>
            <w:r>
              <w:rPr>
                <w:rFonts w:ascii="Arial" w:cs="Arial" w:eastAsia="Arial" w:hAnsi="Arial"/>
                <w:sz w:val="25"/>
                <w:szCs w:val="25"/>
                <w:color w:val="auto"/>
                <w:vertAlign w:val="superscript"/>
              </w:rPr>
              <w:t>(a) (b)</w:t>
            </w:r>
          </w:p>
        </w:tc>
        <w:tc>
          <w:tcPr>
            <w:tcW w:w="240" w:type="dxa"/>
            <w:vAlign w:val="bottom"/>
          </w:tcPr>
          <w:p>
            <w:pPr>
              <w:spacing w:after="0"/>
              <w:rPr>
                <w:sz w:val="23"/>
                <w:szCs w:val="23"/>
                <w:color w:val="auto"/>
              </w:rPr>
            </w:pPr>
          </w:p>
        </w:tc>
        <w:tc>
          <w:tcPr>
            <w:tcW w:w="10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23"/>
                <w:szCs w:val="23"/>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(0.02)</w:t>
            </w:r>
          </w:p>
        </w:tc>
        <w:tc>
          <w:tcPr>
            <w:tcW w:w="10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100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23"/>
                <w:szCs w:val="23"/>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(0.06)</w:t>
            </w:r>
          </w:p>
        </w:tc>
        <w:tc>
          <w:tcPr>
            <w:tcW w:w="0" w:type="dxa"/>
            <w:vAlign w:val="bottom"/>
          </w:tcPr>
          <w:p>
            <w:pPr>
              <w:spacing w:after="0"/>
              <w:rPr>
                <w:sz w:val="1"/>
                <w:szCs w:val="1"/>
                <w:color w:val="auto"/>
              </w:rPr>
            </w:pPr>
          </w:p>
        </w:tc>
      </w:tr>
      <w:tr>
        <w:trPr>
          <w:trHeight w:val="257"/>
        </w:trPr>
        <w:tc>
          <w:tcPr>
            <w:tcW w:w="548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Adjusted net income per share - diluted</w:t>
            </w:r>
          </w:p>
        </w:tc>
        <w:tc>
          <w:tcPr>
            <w:tcW w:w="240" w:type="dxa"/>
            <w:vAlign w:val="bottom"/>
            <w:tcBorders>
              <w:top w:val="single" w:sz="8" w:color="auto"/>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900" w:type="dxa"/>
            <w:vAlign w:val="bottom"/>
            <w:tcBorders>
              <w:top w:val="single" w:sz="8" w:color="auto"/>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0.26</w:t>
            </w:r>
          </w:p>
        </w:tc>
        <w:tc>
          <w:tcPr>
            <w:tcW w:w="100" w:type="dxa"/>
            <w:vAlign w:val="bottom"/>
            <w:tcBorders>
              <w:top w:val="single" w:sz="8" w:color="CCEEFF"/>
              <w:bottom w:val="single" w:sz="8" w:color="CCEEFF"/>
            </w:tcBorders>
            <w:shd w:val="clear" w:color="auto" w:fill="CCEEFF"/>
          </w:tcPr>
          <w:p>
            <w:pPr>
              <w:spacing w:after="0"/>
              <w:rPr>
                <w:sz w:val="22"/>
                <w:szCs w:val="22"/>
                <w:color w:val="auto"/>
              </w:rPr>
            </w:pPr>
          </w:p>
        </w:tc>
        <w:tc>
          <w:tcPr>
            <w:tcW w:w="340" w:type="dxa"/>
            <w:vAlign w:val="bottom"/>
            <w:tcBorders>
              <w:top w:val="single" w:sz="8" w:color="auto"/>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820" w:type="dxa"/>
            <w:vAlign w:val="bottom"/>
            <w:tcBorders>
              <w:top w:val="single" w:sz="8" w:color="auto"/>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0.40</w:t>
            </w:r>
          </w:p>
        </w:tc>
        <w:tc>
          <w:tcPr>
            <w:tcW w:w="100" w:type="dxa"/>
            <w:vAlign w:val="bottom"/>
            <w:tcBorders>
              <w:top w:val="single" w:sz="8" w:color="CCEEFF"/>
              <w:bottom w:val="single" w:sz="8" w:color="CCEEFF"/>
            </w:tcBorders>
            <w:shd w:val="clear" w:color="auto" w:fill="CCEEFF"/>
          </w:tcPr>
          <w:p>
            <w:pPr>
              <w:spacing w:after="0"/>
              <w:rPr>
                <w:sz w:val="22"/>
                <w:szCs w:val="22"/>
                <w:color w:val="auto"/>
              </w:rPr>
            </w:pPr>
          </w:p>
        </w:tc>
        <w:tc>
          <w:tcPr>
            <w:tcW w:w="260" w:type="dxa"/>
            <w:vAlign w:val="bottom"/>
            <w:tcBorders>
              <w:top w:val="single" w:sz="8" w:color="auto"/>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900" w:type="dxa"/>
            <w:vAlign w:val="bottom"/>
            <w:tcBorders>
              <w:top w:val="single" w:sz="8" w:color="auto"/>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0.48</w:t>
            </w:r>
          </w:p>
        </w:tc>
        <w:tc>
          <w:tcPr>
            <w:tcW w:w="100" w:type="dxa"/>
            <w:vAlign w:val="bottom"/>
            <w:tcBorders>
              <w:top w:val="single" w:sz="8" w:color="CCEEFF"/>
              <w:bottom w:val="single" w:sz="8" w:color="CCEEFF"/>
            </w:tcBorders>
            <w:shd w:val="clear" w:color="auto" w:fill="CCEEFF"/>
          </w:tcPr>
          <w:p>
            <w:pPr>
              <w:spacing w:after="0"/>
              <w:rPr>
                <w:sz w:val="22"/>
                <w:szCs w:val="22"/>
                <w:color w:val="auto"/>
              </w:rPr>
            </w:pPr>
          </w:p>
        </w:tc>
        <w:tc>
          <w:tcPr>
            <w:tcW w:w="340" w:type="dxa"/>
            <w:vAlign w:val="bottom"/>
            <w:tcBorders>
              <w:top w:val="single" w:sz="8" w:color="auto"/>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8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0.64</w:t>
            </w:r>
          </w:p>
        </w:tc>
        <w:tc>
          <w:tcPr>
            <w:tcW w:w="0" w:type="dxa"/>
            <w:vAlign w:val="bottom"/>
          </w:tcPr>
          <w:p>
            <w:pPr>
              <w:spacing w:after="0"/>
              <w:rPr>
                <w:sz w:val="1"/>
                <w:szCs w:val="1"/>
                <w:color w:val="auto"/>
              </w:rPr>
            </w:pPr>
          </w:p>
        </w:tc>
      </w:tr>
      <w:tr>
        <w:trPr>
          <w:trHeight w:val="20"/>
        </w:trPr>
        <w:tc>
          <w:tcPr>
            <w:tcW w:w="548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1"/>
        </w:trPr>
        <w:tc>
          <w:tcPr>
            <w:tcW w:w="5480" w:type="dxa"/>
            <w:vAlign w:val="bottom"/>
          </w:tcPr>
          <w:p>
            <w:pPr>
              <w:ind w:left="20"/>
              <w:spacing w:after="0"/>
              <w:rPr>
                <w:sz w:val="20"/>
                <w:szCs w:val="20"/>
                <w:color w:val="auto"/>
              </w:rPr>
            </w:pPr>
            <w:r>
              <w:rPr>
                <w:rFonts w:ascii="Arial" w:cs="Arial" w:eastAsia="Arial" w:hAnsi="Arial"/>
                <w:sz w:val="18"/>
                <w:szCs w:val="18"/>
                <w:color w:val="auto"/>
              </w:rPr>
              <w:t>Weighted-average common shares outstanding - diluted</w:t>
            </w:r>
          </w:p>
        </w:tc>
        <w:tc>
          <w:tcPr>
            <w:tcW w:w="240" w:type="dxa"/>
            <w:vAlign w:val="bottom"/>
            <w:tcBorders>
              <w:bottom w:val="single" w:sz="8" w:color="auto"/>
            </w:tcBorders>
          </w:tcPr>
          <w:p>
            <w:pPr>
              <w:spacing w:after="0"/>
              <w:rPr>
                <w:sz w:val="21"/>
                <w:szCs w:val="21"/>
                <w:color w:val="auto"/>
              </w:rPr>
            </w:pPr>
          </w:p>
        </w:tc>
        <w:tc>
          <w:tcPr>
            <w:tcW w:w="9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39,398</w:t>
            </w:r>
          </w:p>
        </w:tc>
        <w:tc>
          <w:tcPr>
            <w:tcW w:w="100" w:type="dxa"/>
            <w:vAlign w:val="bottom"/>
          </w:tcPr>
          <w:p>
            <w:pPr>
              <w:spacing w:after="0"/>
              <w:rPr>
                <w:sz w:val="21"/>
                <w:szCs w:val="21"/>
                <w:color w:val="auto"/>
              </w:rPr>
            </w:pPr>
          </w:p>
        </w:tc>
        <w:tc>
          <w:tcPr>
            <w:tcW w:w="340" w:type="dxa"/>
            <w:vAlign w:val="bottom"/>
            <w:tcBorders>
              <w:bottom w:val="single" w:sz="8" w:color="auto"/>
            </w:tcBorders>
          </w:tcPr>
          <w:p>
            <w:pPr>
              <w:spacing w:after="0"/>
              <w:rPr>
                <w:sz w:val="21"/>
                <w:szCs w:val="21"/>
                <w:color w:val="auto"/>
              </w:rPr>
            </w:pPr>
          </w:p>
        </w:tc>
        <w:tc>
          <w:tcPr>
            <w:tcW w:w="82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38,900</w:t>
            </w:r>
          </w:p>
        </w:tc>
        <w:tc>
          <w:tcPr>
            <w:tcW w:w="100" w:type="dxa"/>
            <w:vAlign w:val="bottom"/>
          </w:tcPr>
          <w:p>
            <w:pPr>
              <w:spacing w:after="0"/>
              <w:rPr>
                <w:sz w:val="21"/>
                <w:szCs w:val="21"/>
                <w:color w:val="auto"/>
              </w:rPr>
            </w:pPr>
          </w:p>
        </w:tc>
        <w:tc>
          <w:tcPr>
            <w:tcW w:w="260" w:type="dxa"/>
            <w:vAlign w:val="bottom"/>
            <w:tcBorders>
              <w:bottom w:val="single" w:sz="8" w:color="auto"/>
            </w:tcBorders>
          </w:tcPr>
          <w:p>
            <w:pPr>
              <w:spacing w:after="0"/>
              <w:rPr>
                <w:sz w:val="21"/>
                <w:szCs w:val="21"/>
                <w:color w:val="auto"/>
              </w:rPr>
            </w:pPr>
          </w:p>
        </w:tc>
        <w:tc>
          <w:tcPr>
            <w:tcW w:w="9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39,468</w:t>
            </w:r>
          </w:p>
        </w:tc>
        <w:tc>
          <w:tcPr>
            <w:tcW w:w="100" w:type="dxa"/>
            <w:vAlign w:val="bottom"/>
          </w:tcPr>
          <w:p>
            <w:pPr>
              <w:spacing w:after="0"/>
              <w:rPr>
                <w:sz w:val="21"/>
                <w:szCs w:val="21"/>
                <w:color w:val="auto"/>
              </w:rPr>
            </w:pPr>
          </w:p>
        </w:tc>
        <w:tc>
          <w:tcPr>
            <w:tcW w:w="340" w:type="dxa"/>
            <w:vAlign w:val="bottom"/>
            <w:tcBorders>
              <w:bottom w:val="single" w:sz="8" w:color="auto"/>
            </w:tcBorders>
          </w:tcPr>
          <w:p>
            <w:pPr>
              <w:spacing w:after="0"/>
              <w:rPr>
                <w:sz w:val="21"/>
                <w:szCs w:val="21"/>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38,726</w:t>
            </w:r>
          </w:p>
        </w:tc>
        <w:tc>
          <w:tcPr>
            <w:tcW w:w="0" w:type="dxa"/>
            <w:vAlign w:val="bottom"/>
          </w:tcPr>
          <w:p>
            <w:pPr>
              <w:spacing w:after="0"/>
              <w:rPr>
                <w:sz w:val="1"/>
                <w:szCs w:val="1"/>
                <w:color w:val="auto"/>
              </w:rPr>
            </w:pPr>
          </w:p>
        </w:tc>
      </w:tr>
      <w:tr>
        <w:trPr>
          <w:trHeight w:val="20"/>
        </w:trPr>
        <w:tc>
          <w:tcPr>
            <w:tcW w:w="548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4" w:lineRule="exact"/>
        <w:rPr>
          <w:sz w:val="20"/>
          <w:szCs w:val="20"/>
          <w:color w:val="auto"/>
        </w:rPr>
      </w:pPr>
    </w:p>
    <w:p>
      <w:pPr>
        <w:ind w:left="780" w:right="580" w:hanging="644"/>
        <w:spacing w:after="0" w:line="277" w:lineRule="auto"/>
        <w:tabs>
          <w:tab w:leader="none" w:pos="78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income tax effect of the adjustments between GAAP net income and non-GAAP adjusted net income takes into account the tax treatment and related tax rate that apply to each adjustment in the applicable tax jurisdiction.</w:t>
      </w:r>
    </w:p>
    <w:p>
      <w:pPr>
        <w:spacing w:after="0" w:line="278" w:lineRule="exact"/>
        <w:rPr>
          <w:rFonts w:ascii="Arial" w:cs="Arial" w:eastAsia="Arial" w:hAnsi="Arial"/>
          <w:sz w:val="18"/>
          <w:szCs w:val="18"/>
          <w:color w:val="auto"/>
        </w:rPr>
      </w:pPr>
    </w:p>
    <w:p>
      <w:pPr>
        <w:ind w:left="780" w:hanging="644"/>
        <w:spacing w:after="0" w:line="312" w:lineRule="auto"/>
        <w:tabs>
          <w:tab w:leader="none" w:pos="780" w:val="left"/>
        </w:tabs>
        <w:numPr>
          <w:ilvl w:val="0"/>
          <w:numId w:val="4"/>
        </w:numPr>
        <w:rPr>
          <w:rFonts w:ascii="Arial" w:cs="Arial" w:eastAsia="Arial" w:hAnsi="Arial"/>
          <w:sz w:val="16"/>
          <w:szCs w:val="16"/>
          <w:color w:val="auto"/>
        </w:rPr>
      </w:pPr>
      <w:r>
        <w:rPr>
          <w:rFonts w:ascii="Arial" w:cs="Arial" w:eastAsia="Arial" w:hAnsi="Arial"/>
          <w:sz w:val="16"/>
          <w:szCs w:val="16"/>
          <w:color w:val="auto"/>
        </w:rPr>
        <w:t>During the fourth quarter of 2017, we released the valuation allowance previously recorded against our domestic net deferred tax assets. As a result, we included the tax effect of non-GAAP adjustments starting in the fourth quarter of 2017. Presentation of 2017 Adjusted Net Income has been modified to allow better go-forward comparability by including the tax effect of non-GAAP reconciling items.</w:t>
      </w:r>
    </w:p>
    <w:p>
      <w:pPr>
        <w:spacing w:after="0" w:line="390" w:lineRule="exact"/>
        <w:rPr>
          <w:sz w:val="20"/>
          <w:szCs w:val="20"/>
          <w:color w:val="auto"/>
        </w:rPr>
      </w:pPr>
    </w:p>
    <w:p>
      <w:pPr>
        <w:jc w:val="center"/>
        <w:ind w:right="460"/>
        <w:spacing w:after="0"/>
        <w:rPr>
          <w:sz w:val="20"/>
          <w:szCs w:val="20"/>
          <w:color w:val="auto"/>
        </w:rPr>
      </w:pPr>
      <w:r>
        <w:rPr>
          <w:rFonts w:ascii="Arial" w:cs="Arial" w:eastAsia="Arial" w:hAnsi="Arial"/>
          <w:sz w:val="18"/>
          <w:szCs w:val="18"/>
          <w:color w:val="auto"/>
        </w:rPr>
        <w:t>Page 7 of 10</w:t>
      </w:r>
    </w:p>
    <w:p>
      <w:pPr>
        <w:sectPr>
          <w:pgSz w:w="11900" w:h="16838" w:orient="portrait"/>
          <w:cols w:equalWidth="0" w:num="1">
            <w:col w:w="10840"/>
          </w:cols>
          <w:pgMar w:left="760" w:top="850" w:right="299" w:bottom="1440" w:gutter="0" w:footer="0" w:header="0"/>
        </w:sectPr>
      </w:pPr>
    </w:p>
    <w:bookmarkStart w:id="11" w:name="page12"/>
    <w:bookmarkEnd w:id="11"/>
    <w:p>
      <w:pPr>
        <w:ind w:left="4144"/>
        <w:spacing w:after="0"/>
        <w:rPr>
          <w:sz w:val="20"/>
          <w:szCs w:val="20"/>
          <w:color w:val="auto"/>
        </w:rPr>
      </w:pPr>
      <w:r>
        <w:rPr>
          <w:rFonts w:ascii="Arial" w:cs="Arial" w:eastAsia="Arial" w:hAnsi="Arial"/>
          <w:sz w:val="18"/>
          <w:szCs w:val="18"/>
          <w:b w:val="1"/>
          <w:bCs w:val="1"/>
          <w:color w:val="auto"/>
        </w:rPr>
        <w:t>Lantheus Holdings, Inc.</w:t>
      </w:r>
    </w:p>
    <w:p>
      <w:pPr>
        <w:spacing w:after="0" w:line="117" w:lineRule="exact"/>
        <w:rPr>
          <w:sz w:val="20"/>
          <w:szCs w:val="20"/>
          <w:color w:val="auto"/>
        </w:rPr>
      </w:pPr>
    </w:p>
    <w:p>
      <w:pPr>
        <w:ind w:left="2804"/>
        <w:spacing w:after="0"/>
        <w:rPr>
          <w:sz w:val="20"/>
          <w:szCs w:val="20"/>
          <w:color w:val="auto"/>
        </w:rPr>
      </w:pPr>
      <w:r>
        <w:rPr>
          <w:rFonts w:ascii="Arial" w:cs="Arial" w:eastAsia="Arial" w:hAnsi="Arial"/>
          <w:sz w:val="18"/>
          <w:szCs w:val="18"/>
          <w:b w:val="1"/>
          <w:bCs w:val="1"/>
          <w:color w:val="auto"/>
        </w:rPr>
        <w:t>Reconciliation of GAAP to Non-GAAP Financial Measures</w:t>
      </w:r>
    </w:p>
    <w:p>
      <w:pPr>
        <w:spacing w:after="0" w:line="67" w:lineRule="exact"/>
        <w:rPr>
          <w:sz w:val="20"/>
          <w:szCs w:val="20"/>
          <w:color w:val="auto"/>
        </w:rPr>
      </w:pPr>
    </w:p>
    <w:p>
      <w:pPr>
        <w:jc w:val="center"/>
        <w:ind w:right="376"/>
        <w:spacing w:after="0"/>
        <w:rPr>
          <w:sz w:val="20"/>
          <w:szCs w:val="20"/>
          <w:color w:val="auto"/>
        </w:rPr>
      </w:pPr>
      <w:r>
        <w:rPr>
          <w:rFonts w:ascii="Arial" w:cs="Arial" w:eastAsia="Arial" w:hAnsi="Arial"/>
          <w:sz w:val="18"/>
          <w:szCs w:val="18"/>
          <w:color w:val="auto"/>
        </w:rPr>
        <w:t>(in thousands – unaudited)</w:t>
      </w:r>
    </w:p>
    <w:p>
      <w:pPr>
        <w:spacing w:after="0" w:line="200" w:lineRule="exact"/>
        <w:rPr>
          <w:sz w:val="20"/>
          <w:szCs w:val="20"/>
          <w:color w:val="auto"/>
        </w:rPr>
      </w:pPr>
    </w:p>
    <w:p>
      <w:pPr>
        <w:spacing w:after="0" w:line="399" w:lineRule="exact"/>
        <w:rPr>
          <w:sz w:val="20"/>
          <w:szCs w:val="20"/>
          <w:color w:val="auto"/>
        </w:rPr>
      </w:pPr>
    </w:p>
    <w:tbl>
      <w:tblPr>
        <w:tblLayout w:type="fixed"/>
        <w:tblInd w:w="384" w:type="dxa"/>
        <w:tblCellMar>
          <w:top w:w="0" w:type="dxa"/>
          <w:left w:w="0" w:type="dxa"/>
          <w:bottom w:w="0" w:type="dxa"/>
          <w:right w:w="0" w:type="dxa"/>
        </w:tblCellMar>
      </w:tblPr>
      <w:tr>
        <w:trPr>
          <w:trHeight w:val="216"/>
        </w:trPr>
        <w:tc>
          <w:tcPr>
            <w:tcW w:w="39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440" w:type="dxa"/>
            <w:vAlign w:val="bottom"/>
            <w:gridSpan w:val="6"/>
          </w:tcPr>
          <w:p>
            <w:pPr>
              <w:ind w:left="180"/>
              <w:spacing w:after="0"/>
              <w:rPr>
                <w:sz w:val="20"/>
                <w:szCs w:val="20"/>
                <w:color w:val="auto"/>
              </w:rPr>
            </w:pPr>
            <w:r>
              <w:rPr>
                <w:rFonts w:ascii="Arial" w:cs="Arial" w:eastAsia="Arial" w:hAnsi="Arial"/>
                <w:sz w:val="18"/>
                <w:szCs w:val="18"/>
                <w:b w:val="1"/>
                <w:bCs w:val="1"/>
                <w:color w:val="auto"/>
              </w:rPr>
              <w:t>Three Months Ended</w:t>
            </w:r>
          </w:p>
        </w:tc>
        <w:tc>
          <w:tcPr>
            <w:tcW w:w="280" w:type="dxa"/>
            <w:vAlign w:val="bottom"/>
          </w:tcPr>
          <w:p>
            <w:pPr>
              <w:spacing w:after="0"/>
              <w:rPr>
                <w:sz w:val="18"/>
                <w:szCs w:val="18"/>
                <w:color w:val="auto"/>
              </w:rPr>
            </w:pPr>
          </w:p>
        </w:tc>
        <w:tc>
          <w:tcPr>
            <w:tcW w:w="2380" w:type="dxa"/>
            <w:vAlign w:val="bottom"/>
            <w:gridSpan w:val="5"/>
          </w:tcPr>
          <w:p>
            <w:pPr>
              <w:jc w:val="right"/>
              <w:ind w:right="550"/>
              <w:spacing w:after="0"/>
              <w:rPr>
                <w:sz w:val="20"/>
                <w:szCs w:val="20"/>
                <w:color w:val="auto"/>
              </w:rPr>
            </w:pPr>
            <w:r>
              <w:rPr>
                <w:rFonts w:ascii="Arial" w:cs="Arial" w:eastAsia="Arial" w:hAnsi="Arial"/>
                <w:sz w:val="18"/>
                <w:szCs w:val="18"/>
                <w:b w:val="1"/>
                <w:bCs w:val="1"/>
                <w:color w:val="auto"/>
              </w:rPr>
              <w:t>Six Months Ended</w:t>
            </w:r>
          </w:p>
        </w:tc>
      </w:tr>
      <w:tr>
        <w:trPr>
          <w:trHeight w:val="234"/>
        </w:trPr>
        <w:tc>
          <w:tcPr>
            <w:tcW w:w="39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740" w:type="dxa"/>
            <w:vAlign w:val="bottom"/>
            <w:gridSpan w:val="3"/>
          </w:tcPr>
          <w:p>
            <w:pPr>
              <w:jc w:val="right"/>
              <w:ind w:right="80"/>
              <w:spacing w:after="0"/>
              <w:rPr>
                <w:sz w:val="20"/>
                <w:szCs w:val="20"/>
                <w:color w:val="auto"/>
              </w:rPr>
            </w:pPr>
            <w:r>
              <w:rPr>
                <w:rFonts w:ascii="Arial" w:cs="Arial" w:eastAsia="Arial" w:hAnsi="Arial"/>
                <w:sz w:val="18"/>
                <w:szCs w:val="18"/>
                <w:b w:val="1"/>
                <w:bCs w:val="1"/>
                <w:color w:val="auto"/>
                <w:w w:val="88"/>
              </w:rPr>
              <w:t>June 30,</w:t>
            </w:r>
          </w:p>
        </w:tc>
        <w:tc>
          <w:tcPr>
            <w:tcW w:w="9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760" w:type="dxa"/>
            <w:vAlign w:val="bottom"/>
            <w:gridSpan w:val="3"/>
          </w:tcPr>
          <w:p>
            <w:pPr>
              <w:jc w:val="right"/>
              <w:ind w:right="80"/>
              <w:spacing w:after="0"/>
              <w:rPr>
                <w:sz w:val="20"/>
                <w:szCs w:val="20"/>
                <w:color w:val="auto"/>
              </w:rPr>
            </w:pPr>
            <w:r>
              <w:rPr>
                <w:rFonts w:ascii="Arial" w:cs="Arial" w:eastAsia="Arial" w:hAnsi="Arial"/>
                <w:sz w:val="18"/>
                <w:szCs w:val="18"/>
                <w:b w:val="1"/>
                <w:bCs w:val="1"/>
                <w:color w:val="auto"/>
                <w:w w:val="91"/>
              </w:rPr>
              <w:t>June 30,</w:t>
            </w:r>
          </w:p>
        </w:tc>
        <w:tc>
          <w:tcPr>
            <w:tcW w:w="920" w:type="dxa"/>
            <w:vAlign w:val="bottom"/>
          </w:tcPr>
          <w:p>
            <w:pPr>
              <w:spacing w:after="0"/>
              <w:rPr>
                <w:sz w:val="20"/>
                <w:szCs w:val="20"/>
                <w:color w:val="auto"/>
              </w:rPr>
            </w:pPr>
          </w:p>
        </w:tc>
      </w:tr>
      <w:tr>
        <w:trPr>
          <w:trHeight w:val="27"/>
        </w:trPr>
        <w:tc>
          <w:tcPr>
            <w:tcW w:w="398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r>
      <w:tr>
        <w:trPr>
          <w:trHeight w:val="237"/>
        </w:trPr>
        <w:tc>
          <w:tcPr>
            <w:tcW w:w="39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680" w:type="dxa"/>
            <w:vAlign w:val="bottom"/>
          </w:tcPr>
          <w:p>
            <w:pPr>
              <w:jc w:val="right"/>
              <w:ind w:right="50"/>
              <w:spacing w:after="0"/>
              <w:rPr>
                <w:sz w:val="20"/>
                <w:szCs w:val="20"/>
                <w:color w:val="auto"/>
              </w:rPr>
            </w:pPr>
            <w:r>
              <w:rPr>
                <w:rFonts w:ascii="Arial" w:cs="Arial" w:eastAsia="Arial" w:hAnsi="Arial"/>
                <w:sz w:val="18"/>
                <w:szCs w:val="18"/>
                <w:b w:val="1"/>
                <w:bCs w:val="1"/>
                <w:color w:val="auto"/>
              </w:rPr>
              <w:t>2018</w:t>
            </w:r>
          </w:p>
        </w:tc>
        <w:tc>
          <w:tcPr>
            <w:tcW w:w="3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900" w:type="dxa"/>
            <w:vAlign w:val="bottom"/>
          </w:tcPr>
          <w:p>
            <w:pPr>
              <w:jc w:val="right"/>
              <w:ind w:right="330"/>
              <w:spacing w:after="0"/>
              <w:rPr>
                <w:sz w:val="20"/>
                <w:szCs w:val="20"/>
                <w:color w:val="auto"/>
              </w:rPr>
            </w:pPr>
            <w:r>
              <w:rPr>
                <w:rFonts w:ascii="Arial" w:cs="Arial" w:eastAsia="Arial" w:hAnsi="Arial"/>
                <w:sz w:val="18"/>
                <w:szCs w:val="18"/>
                <w:b w:val="1"/>
                <w:bCs w:val="1"/>
                <w:color w:val="auto"/>
              </w:rPr>
              <w:t>2017</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700" w:type="dxa"/>
            <w:vAlign w:val="bottom"/>
          </w:tcPr>
          <w:p>
            <w:pPr>
              <w:jc w:val="right"/>
              <w:ind w:right="90"/>
              <w:spacing w:after="0"/>
              <w:rPr>
                <w:sz w:val="20"/>
                <w:szCs w:val="20"/>
                <w:color w:val="auto"/>
              </w:rPr>
            </w:pPr>
            <w:r>
              <w:rPr>
                <w:rFonts w:ascii="Arial" w:cs="Arial" w:eastAsia="Arial" w:hAnsi="Arial"/>
                <w:sz w:val="18"/>
                <w:szCs w:val="18"/>
                <w:b w:val="1"/>
                <w:bCs w:val="1"/>
                <w:color w:val="auto"/>
              </w:rPr>
              <w:t>2018</w:t>
            </w:r>
          </w:p>
        </w:tc>
        <w:tc>
          <w:tcPr>
            <w:tcW w:w="3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920" w:type="dxa"/>
            <w:vAlign w:val="bottom"/>
          </w:tcPr>
          <w:p>
            <w:pPr>
              <w:jc w:val="right"/>
              <w:ind w:right="370"/>
              <w:spacing w:after="0"/>
              <w:rPr>
                <w:sz w:val="20"/>
                <w:szCs w:val="20"/>
                <w:color w:val="auto"/>
              </w:rPr>
            </w:pPr>
            <w:r>
              <w:rPr>
                <w:rFonts w:ascii="Arial" w:cs="Arial" w:eastAsia="Arial" w:hAnsi="Arial"/>
                <w:sz w:val="18"/>
                <w:szCs w:val="18"/>
                <w:b w:val="1"/>
                <w:bCs w:val="1"/>
                <w:color w:val="auto"/>
              </w:rPr>
              <w:t>2017</w:t>
            </w:r>
          </w:p>
        </w:tc>
      </w:tr>
      <w:tr>
        <w:trPr>
          <w:trHeight w:val="27"/>
        </w:trPr>
        <w:tc>
          <w:tcPr>
            <w:tcW w:w="398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r>
      <w:tr>
        <w:trPr>
          <w:trHeight w:val="244"/>
        </w:trPr>
        <w:tc>
          <w:tcPr>
            <w:tcW w:w="39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Net income</w:t>
            </w:r>
          </w:p>
        </w:tc>
        <w:tc>
          <w:tcPr>
            <w:tcW w:w="28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9,745</w:t>
            </w:r>
          </w:p>
        </w:tc>
        <w:tc>
          <w:tcPr>
            <w:tcW w:w="740" w:type="dxa"/>
            <w:vAlign w:val="bottom"/>
            <w:tcBorders>
              <w:bottom w:val="single" w:sz="8" w:color="CCEEFF"/>
            </w:tcBorders>
            <w:gridSpan w:val="3"/>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900" w:type="dxa"/>
            <w:vAlign w:val="bottom"/>
            <w:tcBorders>
              <w:bottom w:val="single" w:sz="8" w:color="CCEEFF"/>
            </w:tcBorders>
            <w:shd w:val="clear" w:color="auto" w:fill="CCEEFF"/>
          </w:tcPr>
          <w:p>
            <w:pPr>
              <w:jc w:val="right"/>
              <w:ind w:right="230"/>
              <w:spacing w:after="0"/>
              <w:rPr>
                <w:sz w:val="20"/>
                <w:szCs w:val="20"/>
                <w:color w:val="auto"/>
              </w:rPr>
            </w:pPr>
            <w:r>
              <w:rPr>
                <w:rFonts w:ascii="Arial" w:cs="Arial" w:eastAsia="Arial" w:hAnsi="Arial"/>
                <w:sz w:val="18"/>
                <w:szCs w:val="18"/>
                <w:color w:val="auto"/>
              </w:rPr>
              <w:t>13,595</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7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17,956</w:t>
            </w:r>
          </w:p>
        </w:tc>
        <w:tc>
          <w:tcPr>
            <w:tcW w:w="760" w:type="dxa"/>
            <w:vAlign w:val="bottom"/>
            <w:tcBorders>
              <w:bottom w:val="single" w:sz="8" w:color="CCEEFF"/>
            </w:tcBorders>
            <w:gridSpan w:val="3"/>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920" w:type="dxa"/>
            <w:vAlign w:val="bottom"/>
            <w:tcBorders>
              <w:bottom w:val="single" w:sz="8" w:color="CCEEFF"/>
            </w:tcBorders>
            <w:shd w:val="clear" w:color="auto" w:fill="CCEEFF"/>
          </w:tcPr>
          <w:p>
            <w:pPr>
              <w:jc w:val="right"/>
              <w:ind w:right="230"/>
              <w:spacing w:after="0"/>
              <w:rPr>
                <w:sz w:val="20"/>
                <w:szCs w:val="20"/>
                <w:color w:val="auto"/>
              </w:rPr>
            </w:pPr>
            <w:r>
              <w:rPr>
                <w:rFonts w:ascii="Arial" w:cs="Arial" w:eastAsia="Arial" w:hAnsi="Arial"/>
                <w:sz w:val="18"/>
                <w:szCs w:val="18"/>
                <w:color w:val="auto"/>
              </w:rPr>
              <w:t>17,733</w:t>
            </w:r>
          </w:p>
        </w:tc>
      </w:tr>
      <w:tr>
        <w:trPr>
          <w:trHeight w:val="243"/>
        </w:trPr>
        <w:tc>
          <w:tcPr>
            <w:tcW w:w="3980" w:type="dxa"/>
            <w:vAlign w:val="bottom"/>
          </w:tcPr>
          <w:p>
            <w:pPr>
              <w:ind w:left="260"/>
              <w:spacing w:after="0"/>
              <w:rPr>
                <w:sz w:val="20"/>
                <w:szCs w:val="20"/>
                <w:color w:val="auto"/>
              </w:rPr>
            </w:pPr>
            <w:r>
              <w:rPr>
                <w:rFonts w:ascii="Arial" w:cs="Arial" w:eastAsia="Arial" w:hAnsi="Arial"/>
                <w:sz w:val="18"/>
                <w:szCs w:val="18"/>
                <w:color w:val="auto"/>
              </w:rPr>
              <w:t>Interest expense, net</w:t>
            </w:r>
          </w:p>
        </w:tc>
        <w:tc>
          <w:tcPr>
            <w:tcW w:w="280" w:type="dxa"/>
            <w:vAlign w:val="bottom"/>
          </w:tcPr>
          <w:p>
            <w:pPr>
              <w:spacing w:after="0"/>
              <w:rPr>
                <w:sz w:val="21"/>
                <w:szCs w:val="21"/>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4,290</w:t>
            </w:r>
          </w:p>
        </w:tc>
        <w:tc>
          <w:tcPr>
            <w:tcW w:w="3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900" w:type="dxa"/>
            <w:vAlign w:val="bottom"/>
          </w:tcPr>
          <w:p>
            <w:pPr>
              <w:jc w:val="right"/>
              <w:ind w:right="230"/>
              <w:spacing w:after="0"/>
              <w:rPr>
                <w:sz w:val="20"/>
                <w:szCs w:val="20"/>
                <w:color w:val="auto"/>
              </w:rPr>
            </w:pPr>
            <w:r>
              <w:rPr>
                <w:rFonts w:ascii="Arial" w:cs="Arial" w:eastAsia="Arial" w:hAnsi="Arial"/>
                <w:sz w:val="18"/>
                <w:szCs w:val="18"/>
                <w:color w:val="auto"/>
              </w:rPr>
              <w:t>4,280</w:t>
            </w: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8,333</w:t>
            </w:r>
          </w:p>
        </w:tc>
        <w:tc>
          <w:tcPr>
            <w:tcW w:w="3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920" w:type="dxa"/>
            <w:vAlign w:val="bottom"/>
          </w:tcPr>
          <w:p>
            <w:pPr>
              <w:jc w:val="right"/>
              <w:ind w:right="230"/>
              <w:spacing w:after="0"/>
              <w:rPr>
                <w:sz w:val="20"/>
                <w:szCs w:val="20"/>
                <w:color w:val="auto"/>
              </w:rPr>
            </w:pPr>
            <w:r>
              <w:rPr>
                <w:rFonts w:ascii="Arial" w:cs="Arial" w:eastAsia="Arial" w:hAnsi="Arial"/>
                <w:sz w:val="18"/>
                <w:szCs w:val="18"/>
                <w:color w:val="auto"/>
              </w:rPr>
              <w:t>9,697</w:t>
            </w:r>
          </w:p>
        </w:tc>
      </w:tr>
      <w:tr>
        <w:trPr>
          <w:trHeight w:val="27"/>
        </w:trPr>
        <w:tc>
          <w:tcPr>
            <w:tcW w:w="3980" w:type="dxa"/>
            <w:vAlign w:val="bottom"/>
          </w:tcPr>
          <w:p>
            <w:pPr>
              <w:spacing w:after="0"/>
              <w:rPr>
                <w:sz w:val="2"/>
                <w:szCs w:val="2"/>
                <w:color w:val="auto"/>
              </w:rPr>
            </w:pPr>
          </w:p>
        </w:tc>
        <w:tc>
          <w:tcPr>
            <w:tcW w:w="280" w:type="dxa"/>
            <w:vAlign w:val="bottom"/>
          </w:tcPr>
          <w:p>
            <w:pPr>
              <w:spacing w:after="0"/>
              <w:rPr>
                <w:sz w:val="2"/>
                <w:szCs w:val="2"/>
                <w:color w:val="auto"/>
              </w:rPr>
            </w:pPr>
          </w:p>
        </w:tc>
        <w:tc>
          <w:tcPr>
            <w:tcW w:w="6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7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920" w:type="dxa"/>
            <w:vAlign w:val="bottom"/>
          </w:tcPr>
          <w:p>
            <w:pPr>
              <w:spacing w:after="0"/>
              <w:rPr>
                <w:sz w:val="2"/>
                <w:szCs w:val="2"/>
                <w:color w:val="auto"/>
              </w:rPr>
            </w:pPr>
          </w:p>
        </w:tc>
      </w:tr>
      <w:tr>
        <w:trPr>
          <w:trHeight w:val="270"/>
        </w:trPr>
        <w:tc>
          <w:tcPr>
            <w:tcW w:w="3980" w:type="dxa"/>
            <w:vAlign w:val="bottom"/>
            <w:shd w:val="clear" w:color="auto" w:fill="CCEEFF"/>
          </w:tcPr>
          <w:p>
            <w:pPr>
              <w:ind w:left="260"/>
              <w:spacing w:after="0" w:line="270" w:lineRule="exact"/>
              <w:rPr>
                <w:sz w:val="20"/>
                <w:szCs w:val="20"/>
                <w:color w:val="auto"/>
              </w:rPr>
            </w:pPr>
            <w:r>
              <w:rPr>
                <w:rFonts w:ascii="Arial" w:cs="Arial" w:eastAsia="Arial" w:hAnsi="Arial"/>
                <w:sz w:val="18"/>
                <w:szCs w:val="18"/>
                <w:color w:val="auto"/>
              </w:rPr>
              <w:t>Income tax expense</w:t>
            </w:r>
            <w:r>
              <w:rPr>
                <w:rFonts w:ascii="Arial" w:cs="Arial" w:eastAsia="Arial" w:hAnsi="Arial"/>
                <w:sz w:val="25"/>
                <w:szCs w:val="25"/>
                <w:color w:val="auto"/>
                <w:vertAlign w:val="superscript"/>
              </w:rPr>
              <w:t>(a)</w:t>
            </w:r>
          </w:p>
        </w:tc>
        <w:tc>
          <w:tcPr>
            <w:tcW w:w="280" w:type="dxa"/>
            <w:vAlign w:val="bottom"/>
            <w:shd w:val="clear" w:color="auto" w:fill="CCEEFF"/>
          </w:tcPr>
          <w:p>
            <w:pPr>
              <w:spacing w:after="0"/>
              <w:rPr>
                <w:sz w:val="23"/>
                <w:szCs w:val="23"/>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1,531</w:t>
            </w:r>
          </w:p>
        </w:tc>
        <w:tc>
          <w:tcPr>
            <w:tcW w:w="3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320" w:type="dxa"/>
            <w:vAlign w:val="bottom"/>
            <w:shd w:val="clear" w:color="auto" w:fill="CCEEFF"/>
          </w:tcPr>
          <w:p>
            <w:pPr>
              <w:spacing w:after="0"/>
              <w:rPr>
                <w:sz w:val="23"/>
                <w:szCs w:val="23"/>
                <w:color w:val="auto"/>
              </w:rPr>
            </w:pPr>
          </w:p>
        </w:tc>
        <w:tc>
          <w:tcPr>
            <w:tcW w:w="900" w:type="dxa"/>
            <w:vAlign w:val="bottom"/>
            <w:shd w:val="clear" w:color="auto" w:fill="CCEEFF"/>
          </w:tcPr>
          <w:p>
            <w:pPr>
              <w:jc w:val="right"/>
              <w:ind w:right="230"/>
              <w:spacing w:after="0"/>
              <w:rPr>
                <w:sz w:val="20"/>
                <w:szCs w:val="20"/>
                <w:color w:val="auto"/>
              </w:rPr>
            </w:pPr>
            <w:r>
              <w:rPr>
                <w:rFonts w:ascii="Arial" w:cs="Arial" w:eastAsia="Arial" w:hAnsi="Arial"/>
                <w:sz w:val="18"/>
                <w:szCs w:val="18"/>
                <w:color w:val="auto"/>
              </w:rPr>
              <w:t>78</w:t>
            </w:r>
          </w:p>
        </w:tc>
        <w:tc>
          <w:tcPr>
            <w:tcW w:w="120" w:type="dxa"/>
            <w:vAlign w:val="bottom"/>
            <w:shd w:val="clear" w:color="auto" w:fill="CCEEFF"/>
          </w:tcPr>
          <w:p>
            <w:pPr>
              <w:spacing w:after="0"/>
              <w:rPr>
                <w:sz w:val="23"/>
                <w:szCs w:val="23"/>
                <w:color w:val="auto"/>
              </w:rPr>
            </w:pPr>
          </w:p>
        </w:tc>
        <w:tc>
          <w:tcPr>
            <w:tcW w:w="280" w:type="dxa"/>
            <w:vAlign w:val="bottom"/>
            <w:shd w:val="clear" w:color="auto" w:fill="CCEEFF"/>
          </w:tcPr>
          <w:p>
            <w:pPr>
              <w:spacing w:after="0"/>
              <w:rPr>
                <w:sz w:val="23"/>
                <w:szCs w:val="23"/>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4,486</w:t>
            </w:r>
          </w:p>
        </w:tc>
        <w:tc>
          <w:tcPr>
            <w:tcW w:w="3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360" w:type="dxa"/>
            <w:vAlign w:val="bottom"/>
            <w:shd w:val="clear" w:color="auto" w:fill="CCEEFF"/>
          </w:tcPr>
          <w:p>
            <w:pPr>
              <w:spacing w:after="0"/>
              <w:rPr>
                <w:sz w:val="23"/>
                <w:szCs w:val="23"/>
                <w:color w:val="auto"/>
              </w:rPr>
            </w:pPr>
          </w:p>
        </w:tc>
        <w:tc>
          <w:tcPr>
            <w:tcW w:w="920" w:type="dxa"/>
            <w:vAlign w:val="bottom"/>
            <w:shd w:val="clear" w:color="auto" w:fill="CCEEFF"/>
          </w:tcPr>
          <w:p>
            <w:pPr>
              <w:jc w:val="right"/>
              <w:ind w:right="230"/>
              <w:spacing w:after="0"/>
              <w:rPr>
                <w:sz w:val="20"/>
                <w:szCs w:val="20"/>
                <w:color w:val="auto"/>
              </w:rPr>
            </w:pPr>
            <w:r>
              <w:rPr>
                <w:rFonts w:ascii="Arial" w:cs="Arial" w:eastAsia="Arial" w:hAnsi="Arial"/>
                <w:sz w:val="18"/>
                <w:szCs w:val="18"/>
                <w:color w:val="auto"/>
              </w:rPr>
              <w:t>374</w:t>
            </w:r>
          </w:p>
        </w:tc>
      </w:tr>
      <w:tr>
        <w:trPr>
          <w:trHeight w:val="243"/>
        </w:trPr>
        <w:tc>
          <w:tcPr>
            <w:tcW w:w="3980" w:type="dxa"/>
            <w:vAlign w:val="bottom"/>
          </w:tcPr>
          <w:p>
            <w:pPr>
              <w:ind w:left="260"/>
              <w:spacing w:after="0"/>
              <w:rPr>
                <w:sz w:val="20"/>
                <w:szCs w:val="20"/>
                <w:color w:val="auto"/>
              </w:rPr>
            </w:pPr>
            <w:r>
              <w:rPr>
                <w:rFonts w:ascii="Arial" w:cs="Arial" w:eastAsia="Arial" w:hAnsi="Arial"/>
                <w:sz w:val="18"/>
                <w:szCs w:val="18"/>
                <w:color w:val="auto"/>
              </w:rPr>
              <w:t>Depreciation</w:t>
            </w:r>
          </w:p>
        </w:tc>
        <w:tc>
          <w:tcPr>
            <w:tcW w:w="280" w:type="dxa"/>
            <w:vAlign w:val="bottom"/>
          </w:tcPr>
          <w:p>
            <w:pPr>
              <w:spacing w:after="0"/>
              <w:rPr>
                <w:sz w:val="21"/>
                <w:szCs w:val="21"/>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1,854</w:t>
            </w:r>
          </w:p>
        </w:tc>
        <w:tc>
          <w:tcPr>
            <w:tcW w:w="3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900" w:type="dxa"/>
            <w:vAlign w:val="bottom"/>
          </w:tcPr>
          <w:p>
            <w:pPr>
              <w:jc w:val="right"/>
              <w:ind w:right="230"/>
              <w:spacing w:after="0"/>
              <w:rPr>
                <w:sz w:val="20"/>
                <w:szCs w:val="20"/>
                <w:color w:val="auto"/>
              </w:rPr>
            </w:pPr>
            <w:r>
              <w:rPr>
                <w:rFonts w:ascii="Arial" w:cs="Arial" w:eastAsia="Arial" w:hAnsi="Arial"/>
                <w:sz w:val="18"/>
                <w:szCs w:val="18"/>
                <w:color w:val="auto"/>
              </w:rPr>
              <w:t>3,450</w:t>
            </w: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3,728</w:t>
            </w:r>
          </w:p>
        </w:tc>
        <w:tc>
          <w:tcPr>
            <w:tcW w:w="3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920" w:type="dxa"/>
            <w:vAlign w:val="bottom"/>
          </w:tcPr>
          <w:p>
            <w:pPr>
              <w:jc w:val="right"/>
              <w:ind w:right="230"/>
              <w:spacing w:after="0"/>
              <w:rPr>
                <w:sz w:val="20"/>
                <w:szCs w:val="20"/>
                <w:color w:val="auto"/>
              </w:rPr>
            </w:pPr>
            <w:r>
              <w:rPr>
                <w:rFonts w:ascii="Arial" w:cs="Arial" w:eastAsia="Arial" w:hAnsi="Arial"/>
                <w:sz w:val="18"/>
                <w:szCs w:val="18"/>
                <w:color w:val="auto"/>
              </w:rPr>
              <w:t>7,964</w:t>
            </w:r>
          </w:p>
        </w:tc>
      </w:tr>
      <w:tr>
        <w:trPr>
          <w:trHeight w:val="27"/>
        </w:trPr>
        <w:tc>
          <w:tcPr>
            <w:tcW w:w="3980" w:type="dxa"/>
            <w:vAlign w:val="bottom"/>
          </w:tcPr>
          <w:p>
            <w:pPr>
              <w:spacing w:after="0"/>
              <w:rPr>
                <w:sz w:val="2"/>
                <w:szCs w:val="2"/>
                <w:color w:val="auto"/>
              </w:rPr>
            </w:pPr>
          </w:p>
        </w:tc>
        <w:tc>
          <w:tcPr>
            <w:tcW w:w="280" w:type="dxa"/>
            <w:vAlign w:val="bottom"/>
          </w:tcPr>
          <w:p>
            <w:pPr>
              <w:spacing w:after="0"/>
              <w:rPr>
                <w:sz w:val="2"/>
                <w:szCs w:val="2"/>
                <w:color w:val="auto"/>
              </w:rPr>
            </w:pPr>
          </w:p>
        </w:tc>
        <w:tc>
          <w:tcPr>
            <w:tcW w:w="6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7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920" w:type="dxa"/>
            <w:vAlign w:val="bottom"/>
          </w:tcPr>
          <w:p>
            <w:pPr>
              <w:spacing w:after="0"/>
              <w:rPr>
                <w:sz w:val="2"/>
                <w:szCs w:val="2"/>
                <w:color w:val="auto"/>
              </w:rPr>
            </w:pPr>
          </w:p>
        </w:tc>
      </w:tr>
      <w:tr>
        <w:trPr>
          <w:trHeight w:val="270"/>
        </w:trPr>
        <w:tc>
          <w:tcPr>
            <w:tcW w:w="398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Amortization of intangible assets</w:t>
            </w:r>
          </w:p>
        </w:tc>
        <w:tc>
          <w:tcPr>
            <w:tcW w:w="280" w:type="dxa"/>
            <w:vAlign w:val="bottom"/>
            <w:tcBorders>
              <w:bottom w:val="single" w:sz="8" w:color="CCEEFF"/>
            </w:tcBorders>
            <w:shd w:val="clear" w:color="auto" w:fill="CCEEFF"/>
          </w:tcPr>
          <w:p>
            <w:pPr>
              <w:spacing w:after="0"/>
              <w:rPr>
                <w:sz w:val="23"/>
                <w:szCs w:val="23"/>
                <w:color w:val="auto"/>
              </w:rPr>
            </w:pPr>
          </w:p>
        </w:tc>
        <w:tc>
          <w:tcPr>
            <w:tcW w:w="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1,639</w:t>
            </w:r>
          </w:p>
        </w:tc>
        <w:tc>
          <w:tcPr>
            <w:tcW w:w="32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320" w:type="dxa"/>
            <w:vAlign w:val="bottom"/>
            <w:tcBorders>
              <w:bottom w:val="single" w:sz="8" w:color="CCEEFF"/>
            </w:tcBorders>
            <w:shd w:val="clear" w:color="auto" w:fill="CCEEFF"/>
          </w:tcPr>
          <w:p>
            <w:pPr>
              <w:spacing w:after="0"/>
              <w:rPr>
                <w:sz w:val="23"/>
                <w:szCs w:val="23"/>
                <w:color w:val="auto"/>
              </w:rPr>
            </w:pPr>
          </w:p>
        </w:tc>
        <w:tc>
          <w:tcPr>
            <w:tcW w:w="900" w:type="dxa"/>
            <w:vAlign w:val="bottom"/>
            <w:tcBorders>
              <w:bottom w:val="single" w:sz="8" w:color="CCEEFF"/>
            </w:tcBorders>
            <w:shd w:val="clear" w:color="auto" w:fill="CCEEFF"/>
          </w:tcPr>
          <w:p>
            <w:pPr>
              <w:jc w:val="right"/>
              <w:ind w:right="230"/>
              <w:spacing w:after="0"/>
              <w:rPr>
                <w:sz w:val="20"/>
                <w:szCs w:val="20"/>
                <w:color w:val="auto"/>
              </w:rPr>
            </w:pPr>
            <w:r>
              <w:rPr>
                <w:rFonts w:ascii="Arial" w:cs="Arial" w:eastAsia="Arial" w:hAnsi="Arial"/>
                <w:sz w:val="18"/>
                <w:szCs w:val="18"/>
                <w:color w:val="auto"/>
              </w:rPr>
              <w:t>1,661</w:t>
            </w:r>
          </w:p>
        </w:tc>
        <w:tc>
          <w:tcPr>
            <w:tcW w:w="12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7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3,361</w:t>
            </w:r>
          </w:p>
        </w:tc>
        <w:tc>
          <w:tcPr>
            <w:tcW w:w="30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360" w:type="dxa"/>
            <w:vAlign w:val="bottom"/>
            <w:tcBorders>
              <w:bottom w:val="single" w:sz="8" w:color="CCEEFF"/>
            </w:tcBorders>
            <w:shd w:val="clear" w:color="auto" w:fill="CCEEFF"/>
          </w:tcPr>
          <w:p>
            <w:pPr>
              <w:spacing w:after="0"/>
              <w:rPr>
                <w:sz w:val="23"/>
                <w:szCs w:val="23"/>
                <w:color w:val="auto"/>
              </w:rPr>
            </w:pPr>
          </w:p>
        </w:tc>
        <w:tc>
          <w:tcPr>
            <w:tcW w:w="920" w:type="dxa"/>
            <w:vAlign w:val="bottom"/>
            <w:tcBorders>
              <w:bottom w:val="single" w:sz="8" w:color="CCEEFF"/>
            </w:tcBorders>
            <w:shd w:val="clear" w:color="auto" w:fill="CCEEFF"/>
          </w:tcPr>
          <w:p>
            <w:pPr>
              <w:jc w:val="right"/>
              <w:ind w:right="230"/>
              <w:spacing w:after="0"/>
              <w:rPr>
                <w:sz w:val="20"/>
                <w:szCs w:val="20"/>
                <w:color w:val="auto"/>
              </w:rPr>
            </w:pPr>
            <w:r>
              <w:rPr>
                <w:rFonts w:ascii="Arial" w:cs="Arial" w:eastAsia="Arial" w:hAnsi="Arial"/>
                <w:sz w:val="18"/>
                <w:szCs w:val="18"/>
                <w:color w:val="auto"/>
              </w:rPr>
              <w:t>3,307</w:t>
            </w:r>
          </w:p>
        </w:tc>
      </w:tr>
      <w:tr>
        <w:trPr>
          <w:trHeight w:val="237"/>
        </w:trPr>
        <w:tc>
          <w:tcPr>
            <w:tcW w:w="3980" w:type="dxa"/>
            <w:vAlign w:val="bottom"/>
          </w:tcPr>
          <w:p>
            <w:pPr>
              <w:ind w:left="20"/>
              <w:spacing w:after="0"/>
              <w:rPr>
                <w:sz w:val="20"/>
                <w:szCs w:val="20"/>
                <w:color w:val="auto"/>
              </w:rPr>
            </w:pPr>
            <w:r>
              <w:rPr>
                <w:rFonts w:ascii="Arial" w:cs="Arial" w:eastAsia="Arial" w:hAnsi="Arial"/>
                <w:sz w:val="18"/>
                <w:szCs w:val="18"/>
                <w:color w:val="auto"/>
              </w:rPr>
              <w:t>EBITDA</w:t>
            </w:r>
          </w:p>
        </w:tc>
        <w:tc>
          <w:tcPr>
            <w:tcW w:w="280" w:type="dxa"/>
            <w:vAlign w:val="bottom"/>
            <w:tcBorders>
              <w:top w:val="single" w:sz="8" w:color="auto"/>
            </w:tcBorders>
          </w:tcPr>
          <w:p>
            <w:pPr>
              <w:spacing w:after="0"/>
              <w:rPr>
                <w:sz w:val="20"/>
                <w:szCs w:val="20"/>
                <w:color w:val="auto"/>
              </w:rPr>
            </w:pPr>
          </w:p>
        </w:tc>
        <w:tc>
          <w:tcPr>
            <w:tcW w:w="6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19,059</w:t>
            </w:r>
          </w:p>
        </w:tc>
        <w:tc>
          <w:tcPr>
            <w:tcW w:w="32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320" w:type="dxa"/>
            <w:vAlign w:val="bottom"/>
            <w:tcBorders>
              <w:top w:val="single" w:sz="8" w:color="auto"/>
            </w:tcBorders>
          </w:tcPr>
          <w:p>
            <w:pPr>
              <w:spacing w:after="0"/>
              <w:rPr>
                <w:sz w:val="20"/>
                <w:szCs w:val="20"/>
                <w:color w:val="auto"/>
              </w:rPr>
            </w:pPr>
          </w:p>
        </w:tc>
        <w:tc>
          <w:tcPr>
            <w:tcW w:w="900" w:type="dxa"/>
            <w:vAlign w:val="bottom"/>
            <w:tcBorders>
              <w:top w:val="single" w:sz="8" w:color="auto"/>
            </w:tcBorders>
          </w:tcPr>
          <w:p>
            <w:pPr>
              <w:jc w:val="right"/>
              <w:ind w:right="230"/>
              <w:spacing w:after="0"/>
              <w:rPr>
                <w:sz w:val="20"/>
                <w:szCs w:val="20"/>
                <w:color w:val="auto"/>
              </w:rPr>
            </w:pPr>
            <w:r>
              <w:rPr>
                <w:rFonts w:ascii="Arial" w:cs="Arial" w:eastAsia="Arial" w:hAnsi="Arial"/>
                <w:sz w:val="18"/>
                <w:szCs w:val="18"/>
                <w:color w:val="auto"/>
              </w:rPr>
              <w:t>23,064</w:t>
            </w:r>
          </w:p>
        </w:tc>
        <w:tc>
          <w:tcPr>
            <w:tcW w:w="120" w:type="dxa"/>
            <w:vAlign w:val="bottom"/>
          </w:tcPr>
          <w:p>
            <w:pPr>
              <w:spacing w:after="0"/>
              <w:rPr>
                <w:sz w:val="20"/>
                <w:szCs w:val="20"/>
                <w:color w:val="auto"/>
              </w:rPr>
            </w:pPr>
          </w:p>
        </w:tc>
        <w:tc>
          <w:tcPr>
            <w:tcW w:w="280" w:type="dxa"/>
            <w:vAlign w:val="bottom"/>
            <w:tcBorders>
              <w:top w:val="single" w:sz="8" w:color="auto"/>
            </w:tcBorders>
          </w:tcPr>
          <w:p>
            <w:pPr>
              <w:spacing w:after="0"/>
              <w:rPr>
                <w:sz w:val="20"/>
                <w:szCs w:val="20"/>
                <w:color w:val="auto"/>
              </w:rPr>
            </w:pPr>
          </w:p>
        </w:tc>
        <w:tc>
          <w:tcPr>
            <w:tcW w:w="7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37,864</w:t>
            </w:r>
          </w:p>
        </w:tc>
        <w:tc>
          <w:tcPr>
            <w:tcW w:w="30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360" w:type="dxa"/>
            <w:vAlign w:val="bottom"/>
            <w:tcBorders>
              <w:top w:val="single" w:sz="8" w:color="auto"/>
            </w:tcBorders>
          </w:tcPr>
          <w:p>
            <w:pPr>
              <w:spacing w:after="0"/>
              <w:rPr>
                <w:sz w:val="20"/>
                <w:szCs w:val="20"/>
                <w:color w:val="auto"/>
              </w:rPr>
            </w:pPr>
          </w:p>
        </w:tc>
        <w:tc>
          <w:tcPr>
            <w:tcW w:w="920" w:type="dxa"/>
            <w:vAlign w:val="bottom"/>
            <w:tcBorders>
              <w:top w:val="single" w:sz="8" w:color="auto"/>
            </w:tcBorders>
          </w:tcPr>
          <w:p>
            <w:pPr>
              <w:jc w:val="right"/>
              <w:ind w:right="230"/>
              <w:spacing w:after="0"/>
              <w:rPr>
                <w:sz w:val="20"/>
                <w:szCs w:val="20"/>
                <w:color w:val="auto"/>
              </w:rPr>
            </w:pPr>
            <w:r>
              <w:rPr>
                <w:rFonts w:ascii="Arial" w:cs="Arial" w:eastAsia="Arial" w:hAnsi="Arial"/>
                <w:sz w:val="18"/>
                <w:szCs w:val="18"/>
                <w:color w:val="auto"/>
              </w:rPr>
              <w:t>39,075</w:t>
            </w:r>
          </w:p>
        </w:tc>
      </w:tr>
      <w:tr>
        <w:trPr>
          <w:trHeight w:val="27"/>
        </w:trPr>
        <w:tc>
          <w:tcPr>
            <w:tcW w:w="3980" w:type="dxa"/>
            <w:vAlign w:val="bottom"/>
          </w:tcPr>
          <w:p>
            <w:pPr>
              <w:spacing w:after="0"/>
              <w:rPr>
                <w:sz w:val="2"/>
                <w:szCs w:val="2"/>
                <w:color w:val="auto"/>
              </w:rPr>
            </w:pPr>
          </w:p>
        </w:tc>
        <w:tc>
          <w:tcPr>
            <w:tcW w:w="280" w:type="dxa"/>
            <w:vAlign w:val="bottom"/>
          </w:tcPr>
          <w:p>
            <w:pPr>
              <w:spacing w:after="0"/>
              <w:rPr>
                <w:sz w:val="2"/>
                <w:szCs w:val="2"/>
                <w:color w:val="auto"/>
              </w:rPr>
            </w:pPr>
          </w:p>
        </w:tc>
        <w:tc>
          <w:tcPr>
            <w:tcW w:w="6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7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920" w:type="dxa"/>
            <w:vAlign w:val="bottom"/>
          </w:tcPr>
          <w:p>
            <w:pPr>
              <w:spacing w:after="0"/>
              <w:rPr>
                <w:sz w:val="2"/>
                <w:szCs w:val="2"/>
                <w:color w:val="auto"/>
              </w:rPr>
            </w:pPr>
          </w:p>
        </w:tc>
      </w:tr>
      <w:tr>
        <w:trPr>
          <w:trHeight w:val="250"/>
        </w:trPr>
        <w:tc>
          <w:tcPr>
            <w:tcW w:w="398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Stock and incentive plan compensation</w:t>
            </w:r>
          </w:p>
        </w:tc>
        <w:tc>
          <w:tcPr>
            <w:tcW w:w="28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2,399</w:t>
            </w:r>
          </w:p>
        </w:tc>
        <w:tc>
          <w:tcPr>
            <w:tcW w:w="3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230"/>
              <w:spacing w:after="0"/>
              <w:rPr>
                <w:sz w:val="20"/>
                <w:szCs w:val="20"/>
                <w:color w:val="auto"/>
              </w:rPr>
            </w:pPr>
            <w:r>
              <w:rPr>
                <w:rFonts w:ascii="Arial" w:cs="Arial" w:eastAsia="Arial" w:hAnsi="Arial"/>
                <w:sz w:val="18"/>
                <w:szCs w:val="18"/>
                <w:color w:val="auto"/>
              </w:rPr>
              <w:t>1,510</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4,376</w:t>
            </w:r>
          </w:p>
        </w:tc>
        <w:tc>
          <w:tcPr>
            <w:tcW w:w="3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230"/>
              <w:spacing w:after="0"/>
              <w:rPr>
                <w:sz w:val="20"/>
                <w:szCs w:val="20"/>
                <w:color w:val="auto"/>
              </w:rPr>
            </w:pPr>
            <w:r>
              <w:rPr>
                <w:rFonts w:ascii="Arial" w:cs="Arial" w:eastAsia="Arial" w:hAnsi="Arial"/>
                <w:sz w:val="18"/>
                <w:szCs w:val="18"/>
                <w:color w:val="auto"/>
              </w:rPr>
              <w:t>2,802</w:t>
            </w:r>
          </w:p>
        </w:tc>
      </w:tr>
      <w:tr>
        <w:trPr>
          <w:trHeight w:val="270"/>
        </w:trPr>
        <w:tc>
          <w:tcPr>
            <w:tcW w:w="3980" w:type="dxa"/>
            <w:vAlign w:val="bottom"/>
          </w:tcPr>
          <w:p>
            <w:pPr>
              <w:ind w:left="260"/>
              <w:spacing w:after="0" w:line="270" w:lineRule="exact"/>
              <w:rPr>
                <w:sz w:val="20"/>
                <w:szCs w:val="20"/>
                <w:color w:val="auto"/>
              </w:rPr>
            </w:pPr>
            <w:r>
              <w:rPr>
                <w:rFonts w:ascii="Arial" w:cs="Arial" w:eastAsia="Arial" w:hAnsi="Arial"/>
                <w:sz w:val="18"/>
                <w:szCs w:val="18"/>
                <w:color w:val="auto"/>
              </w:rPr>
              <w:t xml:space="preserve">Asset write-off </w:t>
            </w:r>
            <w:r>
              <w:rPr>
                <w:rFonts w:ascii="Arial" w:cs="Arial" w:eastAsia="Arial" w:hAnsi="Arial"/>
                <w:sz w:val="25"/>
                <w:szCs w:val="25"/>
                <w:color w:val="auto"/>
                <w:vertAlign w:val="superscript"/>
              </w:rPr>
              <w:t>(b)</w:t>
            </w:r>
          </w:p>
        </w:tc>
        <w:tc>
          <w:tcPr>
            <w:tcW w:w="280" w:type="dxa"/>
            <w:vAlign w:val="bottom"/>
          </w:tcPr>
          <w:p>
            <w:pPr>
              <w:spacing w:after="0"/>
              <w:rPr>
                <w:sz w:val="23"/>
                <w:szCs w:val="23"/>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774</w:t>
            </w:r>
          </w:p>
        </w:tc>
        <w:tc>
          <w:tcPr>
            <w:tcW w:w="3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900" w:type="dxa"/>
            <w:vAlign w:val="bottom"/>
          </w:tcPr>
          <w:p>
            <w:pPr>
              <w:jc w:val="right"/>
              <w:ind w:right="230"/>
              <w:spacing w:after="0"/>
              <w:rPr>
                <w:sz w:val="20"/>
                <w:szCs w:val="20"/>
                <w:color w:val="auto"/>
              </w:rPr>
            </w:pPr>
            <w:r>
              <w:rPr>
                <w:rFonts w:ascii="Arial" w:cs="Arial" w:eastAsia="Arial" w:hAnsi="Arial"/>
                <w:sz w:val="18"/>
                <w:szCs w:val="18"/>
                <w:color w:val="auto"/>
              </w:rPr>
              <w:t>961</w:t>
            </w:r>
          </w:p>
        </w:tc>
        <w:tc>
          <w:tcPr>
            <w:tcW w:w="12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2,019</w:t>
            </w:r>
          </w:p>
        </w:tc>
        <w:tc>
          <w:tcPr>
            <w:tcW w:w="3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920" w:type="dxa"/>
            <w:vAlign w:val="bottom"/>
          </w:tcPr>
          <w:p>
            <w:pPr>
              <w:jc w:val="right"/>
              <w:ind w:right="230"/>
              <w:spacing w:after="0"/>
              <w:rPr>
                <w:sz w:val="20"/>
                <w:szCs w:val="20"/>
                <w:color w:val="auto"/>
              </w:rPr>
            </w:pPr>
            <w:r>
              <w:rPr>
                <w:rFonts w:ascii="Arial" w:cs="Arial" w:eastAsia="Arial" w:hAnsi="Arial"/>
                <w:sz w:val="18"/>
                <w:szCs w:val="18"/>
                <w:color w:val="auto"/>
              </w:rPr>
              <w:t>1,273</w:t>
            </w:r>
          </w:p>
        </w:tc>
      </w:tr>
      <w:tr>
        <w:trPr>
          <w:trHeight w:val="270"/>
        </w:trPr>
        <w:tc>
          <w:tcPr>
            <w:tcW w:w="3980" w:type="dxa"/>
            <w:vAlign w:val="bottom"/>
            <w:shd w:val="clear" w:color="auto" w:fill="CCEEFF"/>
          </w:tcPr>
          <w:p>
            <w:pPr>
              <w:ind w:left="260"/>
              <w:spacing w:after="0" w:line="270" w:lineRule="exact"/>
              <w:rPr>
                <w:sz w:val="20"/>
                <w:szCs w:val="20"/>
                <w:color w:val="auto"/>
              </w:rPr>
            </w:pPr>
            <w:r>
              <w:rPr>
                <w:rFonts w:ascii="Arial" w:cs="Arial" w:eastAsia="Arial" w:hAnsi="Arial"/>
                <w:sz w:val="18"/>
                <w:szCs w:val="18"/>
                <w:color w:val="auto"/>
              </w:rPr>
              <w:t xml:space="preserve">Severance and recruiting costs </w:t>
            </w:r>
            <w:r>
              <w:rPr>
                <w:rFonts w:ascii="Arial" w:cs="Arial" w:eastAsia="Arial" w:hAnsi="Arial"/>
                <w:sz w:val="25"/>
                <w:szCs w:val="25"/>
                <w:color w:val="auto"/>
                <w:vertAlign w:val="superscript"/>
              </w:rPr>
              <w:t>(c)</w:t>
            </w:r>
          </w:p>
        </w:tc>
        <w:tc>
          <w:tcPr>
            <w:tcW w:w="280" w:type="dxa"/>
            <w:vAlign w:val="bottom"/>
            <w:shd w:val="clear" w:color="auto" w:fill="CCEEFF"/>
          </w:tcPr>
          <w:p>
            <w:pPr>
              <w:spacing w:after="0"/>
              <w:rPr>
                <w:sz w:val="23"/>
                <w:szCs w:val="23"/>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242</w:t>
            </w:r>
          </w:p>
        </w:tc>
        <w:tc>
          <w:tcPr>
            <w:tcW w:w="3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320" w:type="dxa"/>
            <w:vAlign w:val="bottom"/>
            <w:shd w:val="clear" w:color="auto" w:fill="CCEEFF"/>
          </w:tcPr>
          <w:p>
            <w:pPr>
              <w:spacing w:after="0"/>
              <w:rPr>
                <w:sz w:val="23"/>
                <w:szCs w:val="23"/>
                <w:color w:val="auto"/>
              </w:rPr>
            </w:pPr>
          </w:p>
        </w:tc>
        <w:tc>
          <w:tcPr>
            <w:tcW w:w="900" w:type="dxa"/>
            <w:vAlign w:val="bottom"/>
            <w:shd w:val="clear" w:color="auto" w:fill="CCEEFF"/>
          </w:tcPr>
          <w:p>
            <w:pPr>
              <w:jc w:val="right"/>
              <w:ind w:right="230"/>
              <w:spacing w:after="0"/>
              <w:rPr>
                <w:sz w:val="20"/>
                <w:szCs w:val="20"/>
                <w:color w:val="auto"/>
              </w:rPr>
            </w:pPr>
            <w:r>
              <w:rPr>
                <w:rFonts w:ascii="Arial" w:cs="Arial" w:eastAsia="Arial" w:hAnsi="Arial"/>
                <w:sz w:val="18"/>
                <w:szCs w:val="18"/>
                <w:color w:val="auto"/>
              </w:rPr>
              <w:t>228</w:t>
            </w:r>
          </w:p>
        </w:tc>
        <w:tc>
          <w:tcPr>
            <w:tcW w:w="120" w:type="dxa"/>
            <w:vAlign w:val="bottom"/>
            <w:shd w:val="clear" w:color="auto" w:fill="CCEEFF"/>
          </w:tcPr>
          <w:p>
            <w:pPr>
              <w:spacing w:after="0"/>
              <w:rPr>
                <w:sz w:val="23"/>
                <w:szCs w:val="23"/>
                <w:color w:val="auto"/>
              </w:rPr>
            </w:pPr>
          </w:p>
        </w:tc>
        <w:tc>
          <w:tcPr>
            <w:tcW w:w="280" w:type="dxa"/>
            <w:vAlign w:val="bottom"/>
            <w:shd w:val="clear" w:color="auto" w:fill="CCEEFF"/>
          </w:tcPr>
          <w:p>
            <w:pPr>
              <w:spacing w:after="0"/>
              <w:rPr>
                <w:sz w:val="23"/>
                <w:szCs w:val="23"/>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451</w:t>
            </w:r>
          </w:p>
        </w:tc>
        <w:tc>
          <w:tcPr>
            <w:tcW w:w="30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360" w:type="dxa"/>
            <w:vAlign w:val="bottom"/>
            <w:shd w:val="clear" w:color="auto" w:fill="CCEEFF"/>
          </w:tcPr>
          <w:p>
            <w:pPr>
              <w:spacing w:after="0"/>
              <w:rPr>
                <w:sz w:val="23"/>
                <w:szCs w:val="23"/>
                <w:color w:val="auto"/>
              </w:rPr>
            </w:pPr>
          </w:p>
        </w:tc>
        <w:tc>
          <w:tcPr>
            <w:tcW w:w="920" w:type="dxa"/>
            <w:vAlign w:val="bottom"/>
            <w:shd w:val="clear" w:color="auto" w:fill="CCEEFF"/>
          </w:tcPr>
          <w:p>
            <w:pPr>
              <w:jc w:val="right"/>
              <w:ind w:right="230"/>
              <w:spacing w:after="0"/>
              <w:rPr>
                <w:sz w:val="20"/>
                <w:szCs w:val="20"/>
                <w:color w:val="auto"/>
              </w:rPr>
            </w:pPr>
            <w:r>
              <w:rPr>
                <w:rFonts w:ascii="Arial" w:cs="Arial" w:eastAsia="Arial" w:hAnsi="Arial"/>
                <w:sz w:val="18"/>
                <w:szCs w:val="18"/>
                <w:color w:val="auto"/>
              </w:rPr>
              <w:t>367</w:t>
            </w:r>
          </w:p>
        </w:tc>
      </w:tr>
      <w:tr>
        <w:trPr>
          <w:trHeight w:val="270"/>
        </w:trPr>
        <w:tc>
          <w:tcPr>
            <w:tcW w:w="3980" w:type="dxa"/>
            <w:vAlign w:val="bottom"/>
          </w:tcPr>
          <w:p>
            <w:pPr>
              <w:ind w:left="260"/>
              <w:spacing w:after="0" w:line="270" w:lineRule="exact"/>
              <w:rPr>
                <w:sz w:val="20"/>
                <w:szCs w:val="20"/>
                <w:color w:val="auto"/>
              </w:rPr>
            </w:pPr>
            <w:r>
              <w:rPr>
                <w:rFonts w:ascii="Arial" w:cs="Arial" w:eastAsia="Arial" w:hAnsi="Arial"/>
                <w:sz w:val="18"/>
                <w:szCs w:val="18"/>
                <w:color w:val="auto"/>
              </w:rPr>
              <w:t xml:space="preserve">Offering and other costs </w:t>
            </w:r>
            <w:r>
              <w:rPr>
                <w:rFonts w:ascii="Arial" w:cs="Arial" w:eastAsia="Arial" w:hAnsi="Arial"/>
                <w:sz w:val="25"/>
                <w:szCs w:val="25"/>
                <w:color w:val="auto"/>
                <w:vertAlign w:val="superscript"/>
              </w:rPr>
              <w:t>(d)</w:t>
            </w:r>
          </w:p>
        </w:tc>
        <w:tc>
          <w:tcPr>
            <w:tcW w:w="280" w:type="dxa"/>
            <w:vAlign w:val="bottom"/>
          </w:tcPr>
          <w:p>
            <w:pPr>
              <w:spacing w:after="0"/>
              <w:rPr>
                <w:sz w:val="23"/>
                <w:szCs w:val="23"/>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900" w:type="dxa"/>
            <w:vAlign w:val="bottom"/>
          </w:tcPr>
          <w:p>
            <w:pPr>
              <w:jc w:val="right"/>
              <w:ind w:right="230"/>
              <w:spacing w:after="0"/>
              <w:rPr>
                <w:sz w:val="20"/>
                <w:szCs w:val="20"/>
                <w:color w:val="auto"/>
              </w:rPr>
            </w:pPr>
            <w:r>
              <w:rPr>
                <w:rFonts w:ascii="Arial" w:cs="Arial" w:eastAsia="Arial" w:hAnsi="Arial"/>
                <w:sz w:val="18"/>
                <w:szCs w:val="18"/>
                <w:color w:val="auto"/>
              </w:rPr>
              <w:t>351</w:t>
            </w:r>
          </w:p>
        </w:tc>
        <w:tc>
          <w:tcPr>
            <w:tcW w:w="12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920" w:type="dxa"/>
            <w:vAlign w:val="bottom"/>
          </w:tcPr>
          <w:p>
            <w:pPr>
              <w:jc w:val="right"/>
              <w:ind w:right="230"/>
              <w:spacing w:after="0"/>
              <w:rPr>
                <w:sz w:val="20"/>
                <w:szCs w:val="20"/>
                <w:color w:val="auto"/>
              </w:rPr>
            </w:pPr>
            <w:r>
              <w:rPr>
                <w:rFonts w:ascii="Arial" w:cs="Arial" w:eastAsia="Arial" w:hAnsi="Arial"/>
                <w:sz w:val="18"/>
                <w:szCs w:val="18"/>
                <w:color w:val="auto"/>
              </w:rPr>
              <w:t>529</w:t>
            </w:r>
          </w:p>
        </w:tc>
      </w:tr>
      <w:tr>
        <w:trPr>
          <w:trHeight w:val="250"/>
        </w:trPr>
        <w:tc>
          <w:tcPr>
            <w:tcW w:w="398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rPr>
              <w:t>Campus consolidation costs</w:t>
            </w:r>
          </w:p>
        </w:tc>
        <w:tc>
          <w:tcPr>
            <w:tcW w:w="28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587</w:t>
            </w:r>
          </w:p>
        </w:tc>
        <w:tc>
          <w:tcPr>
            <w:tcW w:w="3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230"/>
              <w:spacing w:after="0"/>
              <w:rPr>
                <w:sz w:val="20"/>
                <w:szCs w:val="20"/>
                <w:color w:val="auto"/>
              </w:rPr>
            </w:pPr>
            <w:r>
              <w:rPr>
                <w:rFonts w:ascii="Arial" w:cs="Arial" w:eastAsia="Arial" w:hAnsi="Arial"/>
                <w:sz w:val="18"/>
                <w:szCs w:val="18"/>
                <w:color w:val="auto"/>
              </w:rPr>
              <w:t>666</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1,070</w:t>
            </w:r>
          </w:p>
        </w:tc>
        <w:tc>
          <w:tcPr>
            <w:tcW w:w="3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230"/>
              <w:spacing w:after="0"/>
              <w:rPr>
                <w:sz w:val="20"/>
                <w:szCs w:val="20"/>
                <w:color w:val="auto"/>
              </w:rPr>
            </w:pPr>
            <w:r>
              <w:rPr>
                <w:rFonts w:ascii="Arial" w:cs="Arial" w:eastAsia="Arial" w:hAnsi="Arial"/>
                <w:sz w:val="18"/>
                <w:szCs w:val="18"/>
                <w:color w:val="auto"/>
              </w:rPr>
              <w:t>693</w:t>
            </w:r>
          </w:p>
        </w:tc>
      </w:tr>
      <w:tr>
        <w:trPr>
          <w:trHeight w:val="243"/>
        </w:trPr>
        <w:tc>
          <w:tcPr>
            <w:tcW w:w="3980" w:type="dxa"/>
            <w:vAlign w:val="bottom"/>
          </w:tcPr>
          <w:p>
            <w:pPr>
              <w:ind w:left="260"/>
              <w:spacing w:after="0"/>
              <w:rPr>
                <w:sz w:val="20"/>
                <w:szCs w:val="20"/>
                <w:color w:val="auto"/>
              </w:rPr>
            </w:pPr>
            <w:r>
              <w:rPr>
                <w:rFonts w:ascii="Arial" w:cs="Arial" w:eastAsia="Arial" w:hAnsi="Arial"/>
                <w:sz w:val="18"/>
                <w:szCs w:val="18"/>
                <w:color w:val="auto"/>
              </w:rPr>
              <w:t>Debt refinancing costs</w:t>
            </w:r>
          </w:p>
        </w:tc>
        <w:tc>
          <w:tcPr>
            <w:tcW w:w="280" w:type="dxa"/>
            <w:vAlign w:val="bottom"/>
          </w:tcPr>
          <w:p>
            <w:pPr>
              <w:spacing w:after="0"/>
              <w:rPr>
                <w:sz w:val="21"/>
                <w:szCs w:val="21"/>
                <w:color w:val="auto"/>
              </w:rPr>
            </w:pPr>
          </w:p>
        </w:tc>
        <w:tc>
          <w:tcPr>
            <w:tcW w:w="680" w:type="dxa"/>
            <w:vAlign w:val="bottom"/>
          </w:tcPr>
          <w:p>
            <w:pPr>
              <w:jc w:val="right"/>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900" w:type="dxa"/>
            <w:vAlign w:val="bottom"/>
          </w:tcPr>
          <w:p>
            <w:pPr>
              <w:jc w:val="right"/>
              <w:ind w:right="230"/>
              <w:spacing w:after="0"/>
              <w:rPr>
                <w:sz w:val="20"/>
                <w:szCs w:val="20"/>
                <w:color w:val="auto"/>
              </w:rPr>
            </w:pPr>
            <w:r>
              <w:rPr>
                <w:rFonts w:ascii="Arial" w:cs="Arial" w:eastAsia="Arial" w:hAnsi="Arial"/>
                <w:sz w:val="18"/>
                <w:szCs w:val="18"/>
                <w:color w:val="auto"/>
              </w:rPr>
              <w:t>26</w:t>
            </w: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920" w:type="dxa"/>
            <w:vAlign w:val="bottom"/>
          </w:tcPr>
          <w:p>
            <w:pPr>
              <w:jc w:val="right"/>
              <w:ind w:right="230"/>
              <w:spacing w:after="0"/>
              <w:rPr>
                <w:sz w:val="20"/>
                <w:szCs w:val="20"/>
                <w:color w:val="auto"/>
              </w:rPr>
            </w:pPr>
            <w:r>
              <w:rPr>
                <w:rFonts w:ascii="Arial" w:cs="Arial" w:eastAsia="Arial" w:hAnsi="Arial"/>
                <w:sz w:val="18"/>
                <w:szCs w:val="18"/>
                <w:color w:val="auto"/>
              </w:rPr>
              <w:t>1,721</w:t>
            </w:r>
          </w:p>
        </w:tc>
      </w:tr>
      <w:tr>
        <w:trPr>
          <w:trHeight w:val="27"/>
        </w:trPr>
        <w:tc>
          <w:tcPr>
            <w:tcW w:w="3980" w:type="dxa"/>
            <w:vAlign w:val="bottom"/>
          </w:tcPr>
          <w:p>
            <w:pPr>
              <w:spacing w:after="0"/>
              <w:rPr>
                <w:sz w:val="2"/>
                <w:szCs w:val="2"/>
                <w:color w:val="auto"/>
              </w:rPr>
            </w:pPr>
          </w:p>
        </w:tc>
        <w:tc>
          <w:tcPr>
            <w:tcW w:w="280" w:type="dxa"/>
            <w:vAlign w:val="bottom"/>
          </w:tcPr>
          <w:p>
            <w:pPr>
              <w:spacing w:after="0"/>
              <w:rPr>
                <w:sz w:val="2"/>
                <w:szCs w:val="2"/>
                <w:color w:val="auto"/>
              </w:rPr>
            </w:pPr>
          </w:p>
        </w:tc>
        <w:tc>
          <w:tcPr>
            <w:tcW w:w="68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7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360" w:type="dxa"/>
            <w:vAlign w:val="bottom"/>
          </w:tcPr>
          <w:p>
            <w:pPr>
              <w:spacing w:after="0"/>
              <w:rPr>
                <w:sz w:val="2"/>
                <w:szCs w:val="2"/>
                <w:color w:val="auto"/>
              </w:rPr>
            </w:pPr>
          </w:p>
        </w:tc>
        <w:tc>
          <w:tcPr>
            <w:tcW w:w="920" w:type="dxa"/>
            <w:vAlign w:val="bottom"/>
          </w:tcPr>
          <w:p>
            <w:pPr>
              <w:spacing w:after="0"/>
              <w:rPr>
                <w:sz w:val="2"/>
                <w:szCs w:val="2"/>
                <w:color w:val="auto"/>
              </w:rPr>
            </w:pPr>
          </w:p>
        </w:tc>
      </w:tr>
      <w:tr>
        <w:trPr>
          <w:trHeight w:val="250"/>
        </w:trPr>
        <w:tc>
          <w:tcPr>
            <w:tcW w:w="3980" w:type="dxa"/>
            <w:vAlign w:val="bottom"/>
            <w:tcBorders>
              <w:bottom w:val="single" w:sz="8" w:color="CCEEFF"/>
            </w:tcBorders>
            <w:shd w:val="clear" w:color="auto" w:fill="CCEEFF"/>
          </w:tcPr>
          <w:p>
            <w:pPr>
              <w:ind w:left="260"/>
              <w:spacing w:after="0"/>
              <w:rPr>
                <w:sz w:val="20"/>
                <w:szCs w:val="20"/>
                <w:color w:val="auto"/>
              </w:rPr>
            </w:pPr>
            <w:r>
              <w:rPr>
                <w:rFonts w:ascii="Arial" w:cs="Arial" w:eastAsia="Arial" w:hAnsi="Arial"/>
                <w:sz w:val="18"/>
                <w:szCs w:val="18"/>
                <w:color w:val="auto"/>
                <w:w w:val="94"/>
              </w:rPr>
              <w:t>Extinguishment of debt and debt retirement costs</w:t>
            </w:r>
          </w:p>
        </w:tc>
        <w:tc>
          <w:tcPr>
            <w:tcW w:w="28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32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w:t>
            </w:r>
          </w:p>
        </w:tc>
        <w:tc>
          <w:tcPr>
            <w:tcW w:w="280" w:type="dxa"/>
            <w:vAlign w:val="bottom"/>
            <w:tcBorders>
              <w:bottom w:val="single" w:sz="8" w:color="CCEEFF"/>
            </w:tcBorders>
            <w:shd w:val="clear" w:color="auto" w:fill="CCEEFF"/>
          </w:tcPr>
          <w:p>
            <w:pPr>
              <w:spacing w:after="0"/>
              <w:rPr>
                <w:sz w:val="21"/>
                <w:szCs w:val="21"/>
                <w:color w:val="auto"/>
              </w:rPr>
            </w:pPr>
          </w:p>
        </w:tc>
        <w:tc>
          <w:tcPr>
            <w:tcW w:w="7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3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60" w:type="dxa"/>
            <w:vAlign w:val="bottom"/>
            <w:tcBorders>
              <w:bottom w:val="single" w:sz="8" w:color="CCEEFF"/>
            </w:tcBorders>
            <w:shd w:val="clear" w:color="auto" w:fill="CCEEFF"/>
          </w:tcPr>
          <w:p>
            <w:pPr>
              <w:spacing w:after="0"/>
              <w:rPr>
                <w:sz w:val="21"/>
                <w:szCs w:val="21"/>
                <w:color w:val="auto"/>
              </w:rPr>
            </w:pPr>
          </w:p>
        </w:tc>
        <w:tc>
          <w:tcPr>
            <w:tcW w:w="920" w:type="dxa"/>
            <w:vAlign w:val="bottom"/>
            <w:tcBorders>
              <w:bottom w:val="single" w:sz="8" w:color="CCEEFF"/>
            </w:tcBorders>
            <w:shd w:val="clear" w:color="auto" w:fill="CCEEFF"/>
          </w:tcPr>
          <w:p>
            <w:pPr>
              <w:jc w:val="right"/>
              <w:ind w:right="230"/>
              <w:spacing w:after="0"/>
              <w:rPr>
                <w:sz w:val="20"/>
                <w:szCs w:val="20"/>
                <w:color w:val="auto"/>
              </w:rPr>
            </w:pPr>
            <w:r>
              <w:rPr>
                <w:rFonts w:ascii="Arial" w:cs="Arial" w:eastAsia="Arial" w:hAnsi="Arial"/>
                <w:sz w:val="18"/>
                <w:szCs w:val="18"/>
                <w:color w:val="auto"/>
              </w:rPr>
              <w:t>2,161</w:t>
            </w:r>
          </w:p>
        </w:tc>
      </w:tr>
      <w:tr>
        <w:trPr>
          <w:trHeight w:val="270"/>
        </w:trPr>
        <w:tc>
          <w:tcPr>
            <w:tcW w:w="3980" w:type="dxa"/>
            <w:vAlign w:val="bottom"/>
            <w:tcBorders>
              <w:bottom w:val="single" w:sz="8" w:color="CCEEFF"/>
            </w:tcBorders>
          </w:tcPr>
          <w:p>
            <w:pPr>
              <w:ind w:left="260"/>
              <w:spacing w:after="0" w:line="270" w:lineRule="exact"/>
              <w:rPr>
                <w:sz w:val="20"/>
                <w:szCs w:val="20"/>
                <w:color w:val="auto"/>
              </w:rPr>
            </w:pPr>
            <w:r>
              <w:rPr>
                <w:rFonts w:ascii="Arial" w:cs="Arial" w:eastAsia="Arial" w:hAnsi="Arial"/>
                <w:sz w:val="18"/>
                <w:szCs w:val="18"/>
                <w:color w:val="auto"/>
              </w:rPr>
              <w:t xml:space="preserve">New manufacturer costs </w:t>
            </w:r>
            <w:r>
              <w:rPr>
                <w:rFonts w:ascii="Arial" w:cs="Arial" w:eastAsia="Arial" w:hAnsi="Arial"/>
                <w:sz w:val="25"/>
                <w:szCs w:val="25"/>
                <w:color w:val="auto"/>
                <w:vertAlign w:val="superscript"/>
              </w:rPr>
              <w:t>(e)</w:t>
            </w:r>
          </w:p>
        </w:tc>
        <w:tc>
          <w:tcPr>
            <w:tcW w:w="280" w:type="dxa"/>
            <w:vAlign w:val="bottom"/>
            <w:tcBorders>
              <w:bottom w:val="single" w:sz="8" w:color="auto"/>
            </w:tcBorders>
          </w:tcPr>
          <w:p>
            <w:pPr>
              <w:spacing w:after="0"/>
              <w:rPr>
                <w:sz w:val="23"/>
                <w:szCs w:val="23"/>
                <w:color w:val="auto"/>
              </w:rPr>
            </w:pP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599</w:t>
            </w:r>
          </w:p>
        </w:tc>
        <w:tc>
          <w:tcPr>
            <w:tcW w:w="320" w:type="dxa"/>
            <w:vAlign w:val="bottom"/>
            <w:tcBorders>
              <w:bottom w:val="single" w:sz="8" w:color="auto"/>
            </w:tcBorders>
          </w:tcPr>
          <w:p>
            <w:pPr>
              <w:spacing w:after="0"/>
              <w:rPr>
                <w:sz w:val="23"/>
                <w:szCs w:val="23"/>
                <w:color w:val="auto"/>
              </w:rPr>
            </w:pPr>
          </w:p>
        </w:tc>
        <w:tc>
          <w:tcPr>
            <w:tcW w:w="100" w:type="dxa"/>
            <w:vAlign w:val="bottom"/>
            <w:tcBorders>
              <w:bottom w:val="single" w:sz="8" w:color="CCEEFF"/>
            </w:tcBorders>
          </w:tcPr>
          <w:p>
            <w:pPr>
              <w:spacing w:after="0"/>
              <w:rPr>
                <w:sz w:val="23"/>
                <w:szCs w:val="23"/>
                <w:color w:val="auto"/>
              </w:rPr>
            </w:pPr>
          </w:p>
        </w:tc>
        <w:tc>
          <w:tcPr>
            <w:tcW w:w="320" w:type="dxa"/>
            <w:vAlign w:val="bottom"/>
            <w:tcBorders>
              <w:bottom w:val="single" w:sz="8" w:color="auto"/>
            </w:tcBorders>
          </w:tcPr>
          <w:p>
            <w:pPr>
              <w:spacing w:after="0"/>
              <w:rPr>
                <w:sz w:val="23"/>
                <w:szCs w:val="23"/>
                <w:color w:val="auto"/>
              </w:rPr>
            </w:pPr>
          </w:p>
        </w:tc>
        <w:tc>
          <w:tcPr>
            <w:tcW w:w="900" w:type="dxa"/>
            <w:vAlign w:val="bottom"/>
            <w:tcBorders>
              <w:bottom w:val="single" w:sz="8" w:color="auto"/>
            </w:tcBorders>
          </w:tcPr>
          <w:p>
            <w:pPr>
              <w:jc w:val="right"/>
              <w:ind w:right="230"/>
              <w:spacing w:after="0"/>
              <w:rPr>
                <w:sz w:val="20"/>
                <w:szCs w:val="20"/>
                <w:color w:val="auto"/>
              </w:rPr>
            </w:pPr>
            <w:r>
              <w:rPr>
                <w:rFonts w:ascii="Arial" w:cs="Arial" w:eastAsia="Arial" w:hAnsi="Arial"/>
                <w:sz w:val="18"/>
                <w:szCs w:val="18"/>
                <w:color w:val="auto"/>
              </w:rPr>
              <w:t>1,141</w:t>
            </w:r>
          </w:p>
        </w:tc>
        <w:tc>
          <w:tcPr>
            <w:tcW w:w="120" w:type="dxa"/>
            <w:vAlign w:val="bottom"/>
            <w:tcBorders>
              <w:bottom w:val="single" w:sz="8" w:color="CCEEFF"/>
            </w:tcBorders>
          </w:tcPr>
          <w:p>
            <w:pPr>
              <w:spacing w:after="0"/>
              <w:rPr>
                <w:sz w:val="23"/>
                <w:szCs w:val="23"/>
                <w:color w:val="auto"/>
              </w:rPr>
            </w:pPr>
          </w:p>
        </w:tc>
        <w:tc>
          <w:tcPr>
            <w:tcW w:w="280" w:type="dxa"/>
            <w:vAlign w:val="bottom"/>
            <w:tcBorders>
              <w:bottom w:val="single" w:sz="8" w:color="auto"/>
            </w:tcBorders>
          </w:tcPr>
          <w:p>
            <w:pPr>
              <w:spacing w:after="0"/>
              <w:rPr>
                <w:sz w:val="23"/>
                <w:szCs w:val="23"/>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967</w:t>
            </w:r>
          </w:p>
        </w:tc>
        <w:tc>
          <w:tcPr>
            <w:tcW w:w="300" w:type="dxa"/>
            <w:vAlign w:val="bottom"/>
            <w:tcBorders>
              <w:bottom w:val="single" w:sz="8" w:color="auto"/>
            </w:tcBorders>
          </w:tcPr>
          <w:p>
            <w:pPr>
              <w:spacing w:after="0"/>
              <w:rPr>
                <w:sz w:val="23"/>
                <w:szCs w:val="23"/>
                <w:color w:val="auto"/>
              </w:rPr>
            </w:pPr>
          </w:p>
        </w:tc>
        <w:tc>
          <w:tcPr>
            <w:tcW w:w="100" w:type="dxa"/>
            <w:vAlign w:val="bottom"/>
            <w:tcBorders>
              <w:bottom w:val="single" w:sz="8" w:color="CCEEFF"/>
            </w:tcBorders>
          </w:tcPr>
          <w:p>
            <w:pPr>
              <w:spacing w:after="0"/>
              <w:rPr>
                <w:sz w:val="23"/>
                <w:szCs w:val="23"/>
                <w:color w:val="auto"/>
              </w:rPr>
            </w:pPr>
          </w:p>
        </w:tc>
        <w:tc>
          <w:tcPr>
            <w:tcW w:w="360" w:type="dxa"/>
            <w:vAlign w:val="bottom"/>
            <w:tcBorders>
              <w:bottom w:val="single" w:sz="8" w:color="auto"/>
            </w:tcBorders>
          </w:tcPr>
          <w:p>
            <w:pPr>
              <w:spacing w:after="0"/>
              <w:rPr>
                <w:sz w:val="23"/>
                <w:szCs w:val="23"/>
                <w:color w:val="auto"/>
              </w:rPr>
            </w:pPr>
          </w:p>
        </w:tc>
        <w:tc>
          <w:tcPr>
            <w:tcW w:w="920" w:type="dxa"/>
            <w:vAlign w:val="bottom"/>
            <w:tcBorders>
              <w:bottom w:val="single" w:sz="8" w:color="auto"/>
            </w:tcBorders>
          </w:tcPr>
          <w:p>
            <w:pPr>
              <w:jc w:val="right"/>
              <w:ind w:right="230"/>
              <w:spacing w:after="0"/>
              <w:rPr>
                <w:sz w:val="20"/>
                <w:szCs w:val="20"/>
                <w:color w:val="auto"/>
              </w:rPr>
            </w:pPr>
            <w:r>
              <w:rPr>
                <w:rFonts w:ascii="Arial" w:cs="Arial" w:eastAsia="Arial" w:hAnsi="Arial"/>
                <w:sz w:val="18"/>
                <w:szCs w:val="18"/>
                <w:color w:val="auto"/>
              </w:rPr>
              <w:t>1,977</w:t>
            </w:r>
          </w:p>
        </w:tc>
      </w:tr>
      <w:tr>
        <w:trPr>
          <w:trHeight w:val="257"/>
        </w:trPr>
        <w:tc>
          <w:tcPr>
            <w:tcW w:w="3980" w:type="dxa"/>
            <w:vAlign w:val="bottom"/>
            <w:shd w:val="clear" w:color="auto" w:fill="CCEEFF"/>
          </w:tcPr>
          <w:p>
            <w:pPr>
              <w:ind w:left="20"/>
              <w:spacing w:after="0"/>
              <w:rPr>
                <w:sz w:val="20"/>
                <w:szCs w:val="20"/>
                <w:color w:val="auto"/>
              </w:rPr>
            </w:pPr>
            <w:r>
              <w:rPr>
                <w:rFonts w:ascii="Arial" w:cs="Arial" w:eastAsia="Arial" w:hAnsi="Arial"/>
                <w:sz w:val="18"/>
                <w:szCs w:val="18"/>
                <w:color w:val="auto"/>
              </w:rPr>
              <w:t>Adjusted EBITDA</w:t>
            </w:r>
          </w:p>
        </w:tc>
        <w:tc>
          <w:tcPr>
            <w:tcW w:w="28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23,660</w:t>
            </w:r>
          </w:p>
        </w:tc>
        <w:tc>
          <w:tcPr>
            <w:tcW w:w="740" w:type="dxa"/>
            <w:vAlign w:val="bottom"/>
            <w:gridSpan w:val="3"/>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900" w:type="dxa"/>
            <w:vAlign w:val="bottom"/>
            <w:shd w:val="clear" w:color="auto" w:fill="CCEEFF"/>
          </w:tcPr>
          <w:p>
            <w:pPr>
              <w:jc w:val="right"/>
              <w:ind w:right="230"/>
              <w:spacing w:after="0"/>
              <w:rPr>
                <w:sz w:val="20"/>
                <w:szCs w:val="20"/>
                <w:color w:val="auto"/>
              </w:rPr>
            </w:pPr>
            <w:r>
              <w:rPr>
                <w:rFonts w:ascii="Arial" w:cs="Arial" w:eastAsia="Arial" w:hAnsi="Arial"/>
                <w:sz w:val="18"/>
                <w:szCs w:val="18"/>
                <w:color w:val="auto"/>
              </w:rPr>
              <w:t>27,947</w:t>
            </w:r>
          </w:p>
        </w:tc>
        <w:tc>
          <w:tcPr>
            <w:tcW w:w="120" w:type="dxa"/>
            <w:vAlign w:val="bottom"/>
            <w:shd w:val="clear" w:color="auto" w:fill="CCEEFF"/>
          </w:tcPr>
          <w:p>
            <w:pPr>
              <w:spacing w:after="0"/>
              <w:rPr>
                <w:sz w:val="22"/>
                <w:szCs w:val="22"/>
                <w:color w:val="auto"/>
              </w:rPr>
            </w:pPr>
          </w:p>
        </w:tc>
        <w:tc>
          <w:tcPr>
            <w:tcW w:w="28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46,747</w:t>
            </w:r>
          </w:p>
        </w:tc>
        <w:tc>
          <w:tcPr>
            <w:tcW w:w="760" w:type="dxa"/>
            <w:vAlign w:val="bottom"/>
            <w:gridSpan w:val="3"/>
            <w:shd w:val="clear" w:color="auto" w:fill="CCEEFF"/>
          </w:tcPr>
          <w:p>
            <w:pPr>
              <w:jc w:val="right"/>
              <w:ind w:right="240"/>
              <w:spacing w:after="0"/>
              <w:rPr>
                <w:sz w:val="20"/>
                <w:szCs w:val="20"/>
                <w:color w:val="auto"/>
              </w:rPr>
            </w:pPr>
            <w:r>
              <w:rPr>
                <w:rFonts w:ascii="Arial" w:cs="Arial" w:eastAsia="Arial" w:hAnsi="Arial"/>
                <w:sz w:val="18"/>
                <w:szCs w:val="18"/>
                <w:color w:val="auto"/>
              </w:rPr>
              <w:t>$</w:t>
            </w:r>
          </w:p>
        </w:tc>
        <w:tc>
          <w:tcPr>
            <w:tcW w:w="920" w:type="dxa"/>
            <w:vAlign w:val="bottom"/>
            <w:shd w:val="clear" w:color="auto" w:fill="CCEEFF"/>
          </w:tcPr>
          <w:p>
            <w:pPr>
              <w:jc w:val="right"/>
              <w:ind w:right="230"/>
              <w:spacing w:after="0"/>
              <w:rPr>
                <w:sz w:val="20"/>
                <w:szCs w:val="20"/>
                <w:color w:val="auto"/>
              </w:rPr>
            </w:pPr>
            <w:r>
              <w:rPr>
                <w:rFonts w:ascii="Arial" w:cs="Arial" w:eastAsia="Arial" w:hAnsi="Arial"/>
                <w:sz w:val="18"/>
                <w:szCs w:val="18"/>
                <w:color w:val="auto"/>
              </w:rPr>
              <w:t>50,598</w:t>
            </w:r>
          </w:p>
        </w:tc>
      </w:tr>
      <w:tr>
        <w:trPr>
          <w:trHeight w:val="20"/>
        </w:trPr>
        <w:tc>
          <w:tcPr>
            <w:tcW w:w="398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gridSpan w:val="2"/>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gridSpan w:val="2"/>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r>
      <w:tr>
        <w:trPr>
          <w:trHeight w:val="251"/>
        </w:trPr>
        <w:tc>
          <w:tcPr>
            <w:tcW w:w="3980" w:type="dxa"/>
            <w:vAlign w:val="bottom"/>
          </w:tcPr>
          <w:p>
            <w:pPr>
              <w:ind w:left="20"/>
              <w:spacing w:after="0"/>
              <w:rPr>
                <w:sz w:val="20"/>
                <w:szCs w:val="20"/>
                <w:color w:val="auto"/>
              </w:rPr>
            </w:pPr>
            <w:r>
              <w:rPr>
                <w:rFonts w:ascii="Arial" w:cs="Arial" w:eastAsia="Arial" w:hAnsi="Arial"/>
                <w:sz w:val="18"/>
                <w:szCs w:val="18"/>
                <w:color w:val="auto"/>
              </w:rPr>
              <w:t>Adjusted EBITDA, as a percentage of revenues</w:t>
            </w:r>
          </w:p>
        </w:tc>
        <w:tc>
          <w:tcPr>
            <w:tcW w:w="280" w:type="dxa"/>
            <w:vAlign w:val="bottom"/>
            <w:tcBorders>
              <w:bottom w:val="single" w:sz="8" w:color="auto"/>
            </w:tcBorders>
          </w:tcPr>
          <w:p>
            <w:pPr>
              <w:spacing w:after="0"/>
              <w:rPr>
                <w:sz w:val="21"/>
                <w:szCs w:val="21"/>
                <w:color w:val="auto"/>
              </w:rPr>
            </w:pPr>
          </w:p>
        </w:tc>
        <w:tc>
          <w:tcPr>
            <w:tcW w:w="1000" w:type="dxa"/>
            <w:vAlign w:val="bottom"/>
            <w:tcBorders>
              <w:bottom w:val="single" w:sz="8" w:color="auto"/>
            </w:tcBorders>
            <w:gridSpan w:val="2"/>
          </w:tcPr>
          <w:p>
            <w:pPr>
              <w:jc w:val="right"/>
              <w:ind w:right="90"/>
              <w:spacing w:after="0"/>
              <w:rPr>
                <w:sz w:val="20"/>
                <w:szCs w:val="20"/>
                <w:color w:val="auto"/>
              </w:rPr>
            </w:pPr>
            <w:r>
              <w:rPr>
                <w:rFonts w:ascii="Arial" w:cs="Arial" w:eastAsia="Arial" w:hAnsi="Arial"/>
                <w:sz w:val="18"/>
                <w:szCs w:val="18"/>
                <w:color w:val="auto"/>
              </w:rPr>
              <w:t>27.6%</w:t>
            </w:r>
          </w:p>
        </w:tc>
        <w:tc>
          <w:tcPr>
            <w:tcW w:w="100" w:type="dxa"/>
            <w:vAlign w:val="bottom"/>
          </w:tcPr>
          <w:p>
            <w:pPr>
              <w:spacing w:after="0"/>
              <w:rPr>
                <w:sz w:val="21"/>
                <w:szCs w:val="21"/>
                <w:color w:val="auto"/>
              </w:rPr>
            </w:pPr>
          </w:p>
        </w:tc>
        <w:tc>
          <w:tcPr>
            <w:tcW w:w="320" w:type="dxa"/>
            <w:vAlign w:val="bottom"/>
            <w:tcBorders>
              <w:bottom w:val="single" w:sz="8" w:color="auto"/>
            </w:tcBorders>
          </w:tcPr>
          <w:p>
            <w:pPr>
              <w:spacing w:after="0"/>
              <w:rPr>
                <w:sz w:val="21"/>
                <w:szCs w:val="21"/>
                <w:color w:val="auto"/>
              </w:rPr>
            </w:pPr>
          </w:p>
        </w:tc>
        <w:tc>
          <w:tcPr>
            <w:tcW w:w="900" w:type="dxa"/>
            <w:vAlign w:val="bottom"/>
            <w:tcBorders>
              <w:bottom w:val="single" w:sz="8" w:color="auto"/>
            </w:tcBorders>
          </w:tcPr>
          <w:p>
            <w:pPr>
              <w:jc w:val="right"/>
              <w:ind w:right="90"/>
              <w:spacing w:after="0"/>
              <w:rPr>
                <w:sz w:val="20"/>
                <w:szCs w:val="20"/>
                <w:color w:val="auto"/>
              </w:rPr>
            </w:pPr>
            <w:r>
              <w:rPr>
                <w:rFonts w:ascii="Arial" w:cs="Arial" w:eastAsia="Arial" w:hAnsi="Arial"/>
                <w:sz w:val="18"/>
                <w:szCs w:val="18"/>
                <w:color w:val="auto"/>
              </w:rPr>
              <w:t>31.5%</w:t>
            </w:r>
          </w:p>
        </w:tc>
        <w:tc>
          <w:tcPr>
            <w:tcW w:w="120" w:type="dxa"/>
            <w:vAlign w:val="bottom"/>
          </w:tcPr>
          <w:p>
            <w:pPr>
              <w:spacing w:after="0"/>
              <w:rPr>
                <w:sz w:val="21"/>
                <w:szCs w:val="21"/>
                <w:color w:val="auto"/>
              </w:rPr>
            </w:pPr>
          </w:p>
        </w:tc>
        <w:tc>
          <w:tcPr>
            <w:tcW w:w="280" w:type="dxa"/>
            <w:vAlign w:val="bottom"/>
            <w:tcBorders>
              <w:bottom w:val="single" w:sz="8" w:color="auto"/>
            </w:tcBorders>
          </w:tcPr>
          <w:p>
            <w:pPr>
              <w:spacing w:after="0"/>
              <w:rPr>
                <w:sz w:val="21"/>
                <w:szCs w:val="21"/>
                <w:color w:val="auto"/>
              </w:rPr>
            </w:pPr>
          </w:p>
        </w:tc>
        <w:tc>
          <w:tcPr>
            <w:tcW w:w="1000" w:type="dxa"/>
            <w:vAlign w:val="bottom"/>
            <w:tcBorders>
              <w:bottom w:val="single" w:sz="8" w:color="auto"/>
            </w:tcBorders>
            <w:gridSpan w:val="2"/>
          </w:tcPr>
          <w:p>
            <w:pPr>
              <w:jc w:val="right"/>
              <w:ind w:right="90"/>
              <w:spacing w:after="0"/>
              <w:rPr>
                <w:sz w:val="20"/>
                <w:szCs w:val="20"/>
                <w:color w:val="auto"/>
              </w:rPr>
            </w:pPr>
            <w:r>
              <w:rPr>
                <w:rFonts w:ascii="Arial" w:cs="Arial" w:eastAsia="Arial" w:hAnsi="Arial"/>
                <w:sz w:val="18"/>
                <w:szCs w:val="18"/>
                <w:color w:val="auto"/>
              </w:rPr>
              <w:t>27.8%</w:t>
            </w:r>
          </w:p>
        </w:tc>
        <w:tc>
          <w:tcPr>
            <w:tcW w:w="100" w:type="dxa"/>
            <w:vAlign w:val="bottom"/>
          </w:tcPr>
          <w:p>
            <w:pPr>
              <w:spacing w:after="0"/>
              <w:rPr>
                <w:sz w:val="21"/>
                <w:szCs w:val="21"/>
                <w:color w:val="auto"/>
              </w:rPr>
            </w:pPr>
          </w:p>
        </w:tc>
        <w:tc>
          <w:tcPr>
            <w:tcW w:w="360" w:type="dxa"/>
            <w:vAlign w:val="bottom"/>
            <w:tcBorders>
              <w:bottom w:val="single" w:sz="8" w:color="auto"/>
            </w:tcBorders>
          </w:tcPr>
          <w:p>
            <w:pPr>
              <w:spacing w:after="0"/>
              <w:rPr>
                <w:sz w:val="21"/>
                <w:szCs w:val="21"/>
                <w:color w:val="auto"/>
              </w:rPr>
            </w:pPr>
          </w:p>
        </w:tc>
        <w:tc>
          <w:tcPr>
            <w:tcW w:w="920" w:type="dxa"/>
            <w:vAlign w:val="bottom"/>
            <w:tcBorders>
              <w:bottom w:val="single" w:sz="8" w:color="auto"/>
            </w:tcBorders>
          </w:tcPr>
          <w:p>
            <w:pPr>
              <w:jc w:val="right"/>
              <w:ind w:right="90"/>
              <w:spacing w:after="0"/>
              <w:rPr>
                <w:sz w:val="20"/>
                <w:szCs w:val="20"/>
                <w:color w:val="auto"/>
              </w:rPr>
            </w:pPr>
            <w:r>
              <w:rPr>
                <w:rFonts w:ascii="Arial" w:cs="Arial" w:eastAsia="Arial" w:hAnsi="Arial"/>
                <w:sz w:val="18"/>
                <w:szCs w:val="18"/>
                <w:color w:val="auto"/>
              </w:rPr>
              <w:t>29.7%</w:t>
            </w:r>
          </w:p>
        </w:tc>
      </w:tr>
      <w:tr>
        <w:trPr>
          <w:trHeight w:val="20"/>
        </w:trPr>
        <w:tc>
          <w:tcPr>
            <w:tcW w:w="398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r>
    </w:tbl>
    <w:p>
      <w:pPr>
        <w:spacing w:after="0" w:line="94" w:lineRule="exact"/>
        <w:rPr>
          <w:sz w:val="20"/>
          <w:szCs w:val="20"/>
          <w:color w:val="auto"/>
        </w:rPr>
      </w:pPr>
    </w:p>
    <w:p>
      <w:pPr>
        <w:ind w:left="644" w:hanging="644"/>
        <w:spacing w:after="0"/>
        <w:tabs>
          <w:tab w:leader="none" w:pos="644" w:val="left"/>
        </w:tabs>
        <w:numPr>
          <w:ilvl w:val="0"/>
          <w:numId w:val="5"/>
        </w:numPr>
        <w:rPr>
          <w:rFonts w:ascii="Arial" w:cs="Arial" w:eastAsia="Arial" w:hAnsi="Arial"/>
          <w:sz w:val="18"/>
          <w:szCs w:val="18"/>
          <w:color w:val="auto"/>
        </w:rPr>
      </w:pPr>
      <w:r>
        <w:rPr>
          <w:rFonts w:ascii="Arial" w:cs="Arial" w:eastAsia="Arial" w:hAnsi="Arial"/>
          <w:sz w:val="18"/>
          <w:szCs w:val="18"/>
          <w:color w:val="auto"/>
        </w:rPr>
        <w:t>Represents income tax expense, less tax indemnification income associated with BMS.</w:t>
      </w:r>
    </w:p>
    <w:p>
      <w:pPr>
        <w:spacing w:after="0" w:line="225" w:lineRule="exact"/>
        <w:rPr>
          <w:rFonts w:ascii="Arial" w:cs="Arial" w:eastAsia="Arial" w:hAnsi="Arial"/>
          <w:sz w:val="18"/>
          <w:szCs w:val="18"/>
          <w:color w:val="auto"/>
        </w:rPr>
      </w:pPr>
    </w:p>
    <w:p>
      <w:pPr>
        <w:ind w:left="644" w:hanging="644"/>
        <w:spacing w:after="0"/>
        <w:tabs>
          <w:tab w:leader="none" w:pos="644" w:val="left"/>
        </w:tabs>
        <w:numPr>
          <w:ilvl w:val="0"/>
          <w:numId w:val="5"/>
        </w:numPr>
        <w:rPr>
          <w:rFonts w:ascii="Arial" w:cs="Arial" w:eastAsia="Arial" w:hAnsi="Arial"/>
          <w:sz w:val="18"/>
          <w:szCs w:val="18"/>
          <w:color w:val="auto"/>
        </w:rPr>
      </w:pPr>
      <w:r>
        <w:rPr>
          <w:rFonts w:ascii="Arial" w:cs="Arial" w:eastAsia="Arial" w:hAnsi="Arial"/>
          <w:sz w:val="18"/>
          <w:szCs w:val="18"/>
          <w:color w:val="auto"/>
        </w:rPr>
        <w:t>Represents non-cash losses incurred associated with inventory and other write-offs of long-lived assets.</w:t>
      </w:r>
    </w:p>
    <w:p>
      <w:pPr>
        <w:spacing w:after="0" w:line="225" w:lineRule="exact"/>
        <w:rPr>
          <w:rFonts w:ascii="Arial" w:cs="Arial" w:eastAsia="Arial" w:hAnsi="Arial"/>
          <w:sz w:val="18"/>
          <w:szCs w:val="18"/>
          <w:color w:val="auto"/>
        </w:rPr>
      </w:pPr>
    </w:p>
    <w:p>
      <w:pPr>
        <w:ind w:left="644" w:hanging="644"/>
        <w:spacing w:after="0"/>
        <w:tabs>
          <w:tab w:leader="none" w:pos="644" w:val="left"/>
        </w:tabs>
        <w:numPr>
          <w:ilvl w:val="0"/>
          <w:numId w:val="5"/>
        </w:numPr>
        <w:rPr>
          <w:rFonts w:ascii="Arial" w:cs="Arial" w:eastAsia="Arial" w:hAnsi="Arial"/>
          <w:sz w:val="18"/>
          <w:szCs w:val="18"/>
          <w:color w:val="auto"/>
        </w:rPr>
      </w:pPr>
      <w:r>
        <w:rPr>
          <w:rFonts w:ascii="Arial" w:cs="Arial" w:eastAsia="Arial" w:hAnsi="Arial"/>
          <w:sz w:val="18"/>
          <w:szCs w:val="18"/>
          <w:color w:val="auto"/>
        </w:rPr>
        <w:t>The amounts consist of severance and recruitment costs related to employees, executives and directors.</w:t>
      </w:r>
    </w:p>
    <w:p>
      <w:pPr>
        <w:spacing w:after="0" w:line="225" w:lineRule="exact"/>
        <w:rPr>
          <w:rFonts w:ascii="Arial" w:cs="Arial" w:eastAsia="Arial" w:hAnsi="Arial"/>
          <w:sz w:val="18"/>
          <w:szCs w:val="18"/>
          <w:color w:val="auto"/>
        </w:rPr>
      </w:pPr>
    </w:p>
    <w:p>
      <w:pPr>
        <w:ind w:left="644" w:right="140" w:hanging="644"/>
        <w:spacing w:after="0" w:line="277" w:lineRule="auto"/>
        <w:tabs>
          <w:tab w:leader="none" w:pos="644" w:val="left"/>
        </w:tabs>
        <w:numPr>
          <w:ilvl w:val="0"/>
          <w:numId w:val="5"/>
        </w:numPr>
        <w:rPr>
          <w:rFonts w:ascii="Arial" w:cs="Arial" w:eastAsia="Arial" w:hAnsi="Arial"/>
          <w:sz w:val="18"/>
          <w:szCs w:val="18"/>
          <w:color w:val="auto"/>
        </w:rPr>
      </w:pPr>
      <w:r>
        <w:rPr>
          <w:rFonts w:ascii="Arial" w:cs="Arial" w:eastAsia="Arial" w:hAnsi="Arial"/>
          <w:sz w:val="18"/>
          <w:szCs w:val="18"/>
          <w:color w:val="auto"/>
        </w:rPr>
        <w:t>Represents offering costs incurred on behalf of certain shareholders pursuant to a registration rights agreement and other non-recurring costs.</w:t>
      </w:r>
    </w:p>
    <w:p>
      <w:pPr>
        <w:spacing w:after="0" w:line="170" w:lineRule="exact"/>
        <w:rPr>
          <w:rFonts w:ascii="Arial" w:cs="Arial" w:eastAsia="Arial" w:hAnsi="Arial"/>
          <w:sz w:val="18"/>
          <w:szCs w:val="18"/>
          <w:color w:val="auto"/>
        </w:rPr>
      </w:pPr>
    </w:p>
    <w:p>
      <w:pPr>
        <w:ind w:left="644" w:hanging="644"/>
        <w:spacing w:after="0" w:line="277" w:lineRule="auto"/>
        <w:tabs>
          <w:tab w:leader="none" w:pos="644" w:val="left"/>
        </w:tabs>
        <w:numPr>
          <w:ilvl w:val="0"/>
          <w:numId w:val="5"/>
        </w:numPr>
        <w:rPr>
          <w:rFonts w:ascii="Arial" w:cs="Arial" w:eastAsia="Arial" w:hAnsi="Arial"/>
          <w:sz w:val="18"/>
          <w:szCs w:val="18"/>
          <w:color w:val="auto"/>
        </w:rPr>
      </w:pPr>
      <w:r>
        <w:rPr>
          <w:rFonts w:ascii="Arial" w:cs="Arial" w:eastAsia="Arial" w:hAnsi="Arial"/>
          <w:sz w:val="18"/>
          <w:szCs w:val="18"/>
          <w:color w:val="auto"/>
        </w:rPr>
        <w:t>Represents internal and external costs associated with establishing new manufacturing sources for our commercial and clinical candidate products.</w:t>
      </w:r>
    </w:p>
    <w:p>
      <w:pPr>
        <w:spacing w:after="0" w:line="200" w:lineRule="exact"/>
        <w:rPr>
          <w:sz w:val="20"/>
          <w:szCs w:val="20"/>
          <w:color w:val="auto"/>
        </w:rPr>
      </w:pPr>
    </w:p>
    <w:p>
      <w:pPr>
        <w:spacing w:after="0" w:line="322" w:lineRule="exact"/>
        <w:rPr>
          <w:sz w:val="20"/>
          <w:szCs w:val="20"/>
          <w:color w:val="auto"/>
        </w:rPr>
      </w:pPr>
    </w:p>
    <w:p>
      <w:pPr>
        <w:jc w:val="center"/>
        <w:ind w:right="376"/>
        <w:spacing w:after="0"/>
        <w:rPr>
          <w:sz w:val="20"/>
          <w:szCs w:val="20"/>
          <w:color w:val="auto"/>
        </w:rPr>
      </w:pPr>
      <w:r>
        <w:rPr>
          <w:rFonts w:ascii="Arial" w:cs="Arial" w:eastAsia="Arial" w:hAnsi="Arial"/>
          <w:sz w:val="18"/>
          <w:szCs w:val="18"/>
          <w:color w:val="auto"/>
        </w:rPr>
        <w:t>Page 8 of 10</w:t>
      </w:r>
    </w:p>
    <w:p>
      <w:pPr>
        <w:sectPr>
          <w:pgSz w:w="11900" w:h="16838" w:orient="portrait"/>
          <w:cols w:equalWidth="0" w:num="1">
            <w:col w:w="10504"/>
          </w:cols>
          <w:pgMar w:left="896" w:top="850" w:right="499" w:bottom="1440" w:gutter="0" w:footer="0" w:header="0"/>
        </w:sectPr>
      </w:pPr>
    </w:p>
    <w:bookmarkStart w:id="12" w:name="page13"/>
    <w:bookmarkEnd w:id="12"/>
    <w:p>
      <w:pPr>
        <w:ind w:left="4160"/>
        <w:spacing w:after="0"/>
        <w:rPr>
          <w:sz w:val="20"/>
          <w:szCs w:val="20"/>
          <w:color w:val="auto"/>
        </w:rPr>
      </w:pPr>
      <w:r>
        <w:rPr>
          <w:rFonts w:ascii="Arial" w:cs="Arial" w:eastAsia="Arial" w:hAnsi="Arial"/>
          <w:sz w:val="18"/>
          <w:szCs w:val="18"/>
          <w:b w:val="1"/>
          <w:bCs w:val="1"/>
          <w:color w:val="auto"/>
        </w:rPr>
        <w:t>Lantheus Holdings, Inc.</w:t>
      </w:r>
    </w:p>
    <w:p>
      <w:pPr>
        <w:spacing w:after="0" w:line="117" w:lineRule="exact"/>
        <w:rPr>
          <w:sz w:val="20"/>
          <w:szCs w:val="20"/>
          <w:color w:val="auto"/>
        </w:rPr>
      </w:pPr>
    </w:p>
    <w:p>
      <w:pPr>
        <w:ind w:left="3800"/>
        <w:spacing w:after="0"/>
        <w:rPr>
          <w:sz w:val="20"/>
          <w:szCs w:val="20"/>
          <w:color w:val="auto"/>
        </w:rPr>
      </w:pPr>
      <w:r>
        <w:rPr>
          <w:rFonts w:ascii="Arial" w:cs="Arial" w:eastAsia="Arial" w:hAnsi="Arial"/>
          <w:sz w:val="18"/>
          <w:szCs w:val="18"/>
          <w:b w:val="1"/>
          <w:bCs w:val="1"/>
          <w:color w:val="auto"/>
        </w:rPr>
        <w:t>Reconciliation of Free Cash Flow</w:t>
      </w:r>
    </w:p>
    <w:p>
      <w:pPr>
        <w:spacing w:after="0" w:line="6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(in thousands – unaudited)</w:t>
      </w:r>
    </w:p>
    <w:p>
      <w:pPr>
        <w:spacing w:after="0" w:line="200" w:lineRule="exact"/>
        <w:rPr>
          <w:sz w:val="20"/>
          <w:szCs w:val="20"/>
          <w:color w:val="auto"/>
        </w:rPr>
      </w:pPr>
    </w:p>
    <w:p>
      <w:pPr>
        <w:spacing w:after="0" w:line="399"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5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580" w:type="dxa"/>
            <w:vAlign w:val="bottom"/>
            <w:gridSpan w:val="5"/>
          </w:tcPr>
          <w:p>
            <w:pPr>
              <w:ind w:left="260"/>
              <w:spacing w:after="0"/>
              <w:rPr>
                <w:sz w:val="20"/>
                <w:szCs w:val="20"/>
                <w:color w:val="auto"/>
              </w:rPr>
            </w:pPr>
            <w:r>
              <w:rPr>
                <w:rFonts w:ascii="Arial" w:cs="Arial" w:eastAsia="Arial" w:hAnsi="Arial"/>
                <w:sz w:val="18"/>
                <w:szCs w:val="18"/>
                <w:b w:val="1"/>
                <w:bCs w:val="1"/>
                <w:color w:val="auto"/>
              </w:rPr>
              <w:t>Three Months Ended</w:t>
            </w:r>
          </w:p>
        </w:tc>
        <w:tc>
          <w:tcPr>
            <w:tcW w:w="280" w:type="dxa"/>
            <w:vAlign w:val="bottom"/>
          </w:tcPr>
          <w:p>
            <w:pPr>
              <w:spacing w:after="0"/>
              <w:rPr>
                <w:sz w:val="18"/>
                <w:szCs w:val="18"/>
                <w:color w:val="auto"/>
              </w:rPr>
            </w:pPr>
          </w:p>
        </w:tc>
        <w:tc>
          <w:tcPr>
            <w:tcW w:w="2460" w:type="dxa"/>
            <w:vAlign w:val="bottom"/>
            <w:gridSpan w:val="4"/>
          </w:tcPr>
          <w:p>
            <w:pPr>
              <w:jc w:val="right"/>
              <w:ind w:right="590"/>
              <w:spacing w:after="0"/>
              <w:rPr>
                <w:sz w:val="20"/>
                <w:szCs w:val="20"/>
                <w:color w:val="auto"/>
              </w:rPr>
            </w:pPr>
            <w:r>
              <w:rPr>
                <w:rFonts w:ascii="Arial" w:cs="Arial" w:eastAsia="Arial" w:hAnsi="Arial"/>
                <w:sz w:val="18"/>
                <w:szCs w:val="18"/>
                <w:b w:val="1"/>
                <w:bCs w:val="1"/>
                <w:color w:val="auto"/>
              </w:rPr>
              <w:t>Six Months Ended</w:t>
            </w:r>
          </w:p>
        </w:tc>
      </w:tr>
      <w:tr>
        <w:trPr>
          <w:trHeight w:val="234"/>
        </w:trPr>
        <w:tc>
          <w:tcPr>
            <w:tcW w:w="45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520" w:type="dxa"/>
            <w:vAlign w:val="bottom"/>
            <w:gridSpan w:val="3"/>
          </w:tcPr>
          <w:p>
            <w:pPr>
              <w:jc w:val="right"/>
              <w:ind w:right="10"/>
              <w:spacing w:after="0"/>
              <w:rPr>
                <w:sz w:val="20"/>
                <w:szCs w:val="20"/>
                <w:color w:val="auto"/>
              </w:rPr>
            </w:pPr>
            <w:r>
              <w:rPr>
                <w:rFonts w:ascii="Arial" w:cs="Arial" w:eastAsia="Arial" w:hAnsi="Arial"/>
                <w:sz w:val="18"/>
                <w:szCs w:val="18"/>
                <w:b w:val="1"/>
                <w:bCs w:val="1"/>
                <w:color w:val="auto"/>
              </w:rPr>
              <w:t>June 30,</w:t>
            </w:r>
          </w:p>
        </w:tc>
        <w:tc>
          <w:tcPr>
            <w:tcW w:w="9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520" w:type="dxa"/>
            <w:vAlign w:val="bottom"/>
            <w:gridSpan w:val="3"/>
          </w:tcPr>
          <w:p>
            <w:pPr>
              <w:jc w:val="right"/>
              <w:ind w:right="10"/>
              <w:spacing w:after="0"/>
              <w:rPr>
                <w:sz w:val="20"/>
                <w:szCs w:val="20"/>
                <w:color w:val="auto"/>
              </w:rPr>
            </w:pPr>
            <w:r>
              <w:rPr>
                <w:rFonts w:ascii="Arial" w:cs="Arial" w:eastAsia="Arial" w:hAnsi="Arial"/>
                <w:sz w:val="18"/>
                <w:szCs w:val="18"/>
                <w:b w:val="1"/>
                <w:bCs w:val="1"/>
                <w:color w:val="auto"/>
              </w:rPr>
              <w:t>June 30,</w:t>
            </w:r>
          </w:p>
        </w:tc>
        <w:tc>
          <w:tcPr>
            <w:tcW w:w="940" w:type="dxa"/>
            <w:vAlign w:val="bottom"/>
          </w:tcPr>
          <w:p>
            <w:pPr>
              <w:spacing w:after="0"/>
              <w:rPr>
                <w:sz w:val="20"/>
                <w:szCs w:val="20"/>
                <w:color w:val="auto"/>
              </w:rPr>
            </w:pPr>
          </w:p>
        </w:tc>
      </w:tr>
      <w:tr>
        <w:trPr>
          <w:trHeight w:val="27"/>
        </w:trPr>
        <w:tc>
          <w:tcPr>
            <w:tcW w:w="452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r>
      <w:tr>
        <w:trPr>
          <w:trHeight w:val="237"/>
        </w:trPr>
        <w:tc>
          <w:tcPr>
            <w:tcW w:w="45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040" w:type="dxa"/>
            <w:vAlign w:val="bottom"/>
          </w:tcPr>
          <w:p>
            <w:pPr>
              <w:jc w:val="right"/>
              <w:ind w:right="410"/>
              <w:spacing w:after="0"/>
              <w:rPr>
                <w:sz w:val="20"/>
                <w:szCs w:val="20"/>
                <w:color w:val="auto"/>
              </w:rPr>
            </w:pPr>
            <w:r>
              <w:rPr>
                <w:rFonts w:ascii="Arial" w:cs="Arial" w:eastAsia="Arial" w:hAnsi="Arial"/>
                <w:sz w:val="18"/>
                <w:szCs w:val="18"/>
                <w:b w:val="1"/>
                <w:bCs w:val="1"/>
                <w:color w:val="auto"/>
              </w:rPr>
              <w:t>2018</w:t>
            </w:r>
          </w:p>
        </w:tc>
        <w:tc>
          <w:tcPr>
            <w:tcW w:w="10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940" w:type="dxa"/>
            <w:vAlign w:val="bottom"/>
          </w:tcPr>
          <w:p>
            <w:pPr>
              <w:jc w:val="right"/>
              <w:ind w:right="390"/>
              <w:spacing w:after="0"/>
              <w:rPr>
                <w:sz w:val="20"/>
                <w:szCs w:val="20"/>
                <w:color w:val="auto"/>
              </w:rPr>
            </w:pPr>
            <w:r>
              <w:rPr>
                <w:rFonts w:ascii="Arial" w:cs="Arial" w:eastAsia="Arial" w:hAnsi="Arial"/>
                <w:sz w:val="18"/>
                <w:szCs w:val="18"/>
                <w:b w:val="1"/>
                <w:bCs w:val="1"/>
                <w:color w:val="auto"/>
              </w:rPr>
              <w:t>2017</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40" w:type="dxa"/>
            <w:vAlign w:val="bottom"/>
          </w:tcPr>
          <w:p>
            <w:pPr>
              <w:jc w:val="right"/>
              <w:ind w:right="390"/>
              <w:spacing w:after="0"/>
              <w:rPr>
                <w:sz w:val="20"/>
                <w:szCs w:val="20"/>
                <w:color w:val="auto"/>
              </w:rPr>
            </w:pPr>
            <w:r>
              <w:rPr>
                <w:rFonts w:ascii="Arial" w:cs="Arial" w:eastAsia="Arial" w:hAnsi="Arial"/>
                <w:sz w:val="18"/>
                <w:szCs w:val="18"/>
                <w:b w:val="1"/>
                <w:bCs w:val="1"/>
                <w:color w:val="auto"/>
              </w:rPr>
              <w:t>2018</w:t>
            </w:r>
          </w:p>
        </w:tc>
        <w:tc>
          <w:tcPr>
            <w:tcW w:w="10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940" w:type="dxa"/>
            <w:vAlign w:val="bottom"/>
          </w:tcPr>
          <w:p>
            <w:pPr>
              <w:jc w:val="right"/>
              <w:ind w:right="390"/>
              <w:spacing w:after="0"/>
              <w:rPr>
                <w:sz w:val="20"/>
                <w:szCs w:val="20"/>
                <w:color w:val="auto"/>
              </w:rPr>
            </w:pPr>
            <w:r>
              <w:rPr>
                <w:rFonts w:ascii="Arial" w:cs="Arial" w:eastAsia="Arial" w:hAnsi="Arial"/>
                <w:sz w:val="18"/>
                <w:szCs w:val="18"/>
                <w:b w:val="1"/>
                <w:bCs w:val="1"/>
                <w:color w:val="auto"/>
              </w:rPr>
              <w:t>2017</w:t>
            </w:r>
          </w:p>
        </w:tc>
      </w:tr>
      <w:tr>
        <w:trPr>
          <w:trHeight w:val="27"/>
        </w:trPr>
        <w:tc>
          <w:tcPr>
            <w:tcW w:w="45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r>
      <w:tr>
        <w:trPr>
          <w:trHeight w:val="244"/>
        </w:trPr>
        <w:tc>
          <w:tcPr>
            <w:tcW w:w="45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Net cash provided by operating activities</w:t>
            </w: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20,276</w:t>
            </w:r>
          </w:p>
        </w:tc>
        <w:tc>
          <w:tcPr>
            <w:tcW w:w="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9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20,567</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10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19,610</w:t>
            </w:r>
          </w:p>
        </w:tc>
        <w:tc>
          <w:tcPr>
            <w:tcW w:w="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26,091</w:t>
            </w:r>
          </w:p>
        </w:tc>
      </w:tr>
      <w:tr>
        <w:trPr>
          <w:trHeight w:val="243"/>
        </w:trPr>
        <w:tc>
          <w:tcPr>
            <w:tcW w:w="4520" w:type="dxa"/>
            <w:vAlign w:val="bottom"/>
          </w:tcPr>
          <w:p>
            <w:pPr>
              <w:ind w:left="20"/>
              <w:spacing w:after="0"/>
              <w:rPr>
                <w:sz w:val="20"/>
                <w:szCs w:val="20"/>
                <w:color w:val="auto"/>
              </w:rPr>
            </w:pPr>
            <w:r>
              <w:rPr>
                <w:rFonts w:ascii="Arial" w:cs="Arial" w:eastAsia="Arial" w:hAnsi="Arial"/>
                <w:sz w:val="18"/>
                <w:szCs w:val="18"/>
                <w:color w:val="auto"/>
              </w:rPr>
              <w:t>Capital expenditures</w:t>
            </w:r>
          </w:p>
        </w:tc>
        <w:tc>
          <w:tcPr>
            <w:tcW w:w="30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(5,626)</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(3,402)</w:t>
            </w: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(7,761)</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(8,301)</w:t>
            </w:r>
          </w:p>
        </w:tc>
      </w:tr>
      <w:tr>
        <w:trPr>
          <w:trHeight w:val="27"/>
        </w:trPr>
        <w:tc>
          <w:tcPr>
            <w:tcW w:w="452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r>
      <w:tr>
        <w:trPr>
          <w:trHeight w:val="257"/>
        </w:trPr>
        <w:tc>
          <w:tcPr>
            <w:tcW w:w="452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Free cash flow</w:t>
            </w:r>
          </w:p>
        </w:tc>
        <w:tc>
          <w:tcPr>
            <w:tcW w:w="30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14,650</w:t>
            </w:r>
          </w:p>
        </w:tc>
        <w:tc>
          <w:tcPr>
            <w:tcW w:w="100" w:type="dxa"/>
            <w:vAlign w:val="bottom"/>
            <w:tcBorders>
              <w:bottom w:val="single" w:sz="8" w:color="CCEEFF"/>
            </w:tcBorders>
            <w:shd w:val="clear" w:color="auto" w:fill="CCEEFF"/>
          </w:tcPr>
          <w:p>
            <w:pPr>
              <w:spacing w:after="0"/>
              <w:rPr>
                <w:sz w:val="22"/>
                <w:szCs w:val="22"/>
                <w:color w:val="auto"/>
              </w:rPr>
            </w:pPr>
          </w:p>
        </w:tc>
        <w:tc>
          <w:tcPr>
            <w:tcW w:w="380" w:type="dxa"/>
            <w:vAlign w:val="bottom"/>
            <w:tcBorders>
              <w:bottom w:val="single" w:sz="8" w:color="auto"/>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9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17,165</w:t>
            </w:r>
          </w:p>
        </w:tc>
        <w:tc>
          <w:tcPr>
            <w:tcW w:w="12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10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11,849</w:t>
            </w:r>
          </w:p>
        </w:tc>
        <w:tc>
          <w:tcPr>
            <w:tcW w:w="100" w:type="dxa"/>
            <w:vAlign w:val="bottom"/>
            <w:tcBorders>
              <w:bottom w:val="single" w:sz="8" w:color="CCEEFF"/>
            </w:tcBorders>
            <w:shd w:val="clear" w:color="auto" w:fill="CCEEFF"/>
          </w:tcPr>
          <w:p>
            <w:pPr>
              <w:spacing w:after="0"/>
              <w:rPr>
                <w:sz w:val="22"/>
                <w:szCs w:val="22"/>
                <w:color w:val="auto"/>
              </w:rPr>
            </w:pPr>
          </w:p>
        </w:tc>
        <w:tc>
          <w:tcPr>
            <w:tcW w:w="380" w:type="dxa"/>
            <w:vAlign w:val="bottom"/>
            <w:tcBorders>
              <w:bottom w:val="single" w:sz="8" w:color="auto"/>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17,790</w:t>
            </w:r>
          </w:p>
        </w:tc>
      </w:tr>
      <w:tr>
        <w:trPr>
          <w:trHeight w:val="20"/>
        </w:trPr>
        <w:tc>
          <w:tcPr>
            <w:tcW w:w="45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4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Page 9 of 10</w:t>
      </w:r>
    </w:p>
    <w:p>
      <w:pPr>
        <w:sectPr>
          <w:pgSz w:w="11900" w:h="16838" w:orient="portrait"/>
          <w:cols w:equalWidth="0" w:num="1">
            <w:col w:w="10140"/>
          </w:cols>
          <w:pgMar w:left="880" w:top="850" w:right="879" w:bottom="1440" w:gutter="0" w:footer="0" w:header="0"/>
        </w:sectPr>
      </w:pPr>
    </w:p>
    <w:bookmarkStart w:id="13" w:name="page14"/>
    <w:bookmarkEnd w:id="13"/>
    <w:p>
      <w:pPr>
        <w:ind w:left="4000"/>
        <w:spacing w:after="0"/>
        <w:rPr>
          <w:sz w:val="20"/>
          <w:szCs w:val="20"/>
          <w:color w:val="auto"/>
        </w:rPr>
      </w:pPr>
      <w:r>
        <w:rPr>
          <w:rFonts w:ascii="Arial" w:cs="Arial" w:eastAsia="Arial" w:hAnsi="Arial"/>
          <w:sz w:val="18"/>
          <w:szCs w:val="18"/>
          <w:b w:val="1"/>
          <w:bCs w:val="1"/>
          <w:color w:val="auto"/>
        </w:rPr>
        <w:t>Lantheus Holdings, Inc.</w:t>
      </w:r>
    </w:p>
    <w:p>
      <w:pPr>
        <w:spacing w:after="0" w:line="117" w:lineRule="exact"/>
        <w:rPr>
          <w:sz w:val="20"/>
          <w:szCs w:val="20"/>
          <w:color w:val="auto"/>
        </w:rPr>
      </w:pPr>
    </w:p>
    <w:p>
      <w:pPr>
        <w:ind w:left="3360"/>
        <w:spacing w:after="0"/>
        <w:rPr>
          <w:sz w:val="20"/>
          <w:szCs w:val="20"/>
          <w:color w:val="auto"/>
        </w:rPr>
      </w:pPr>
      <w:r>
        <w:rPr>
          <w:rFonts w:ascii="Arial" w:cs="Arial" w:eastAsia="Arial" w:hAnsi="Arial"/>
          <w:sz w:val="18"/>
          <w:szCs w:val="18"/>
          <w:b w:val="1"/>
          <w:bCs w:val="1"/>
          <w:color w:val="auto"/>
        </w:rPr>
        <w:t>Condensed Consolidated Balance Sheets</w:t>
      </w:r>
    </w:p>
    <w:p>
      <w:pPr>
        <w:spacing w:after="0" w:line="6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(in thousands – unaudited)</w:t>
      </w:r>
    </w:p>
    <w:p>
      <w:pPr>
        <w:spacing w:after="0" w:line="200" w:lineRule="exact"/>
        <w:rPr>
          <w:sz w:val="20"/>
          <w:szCs w:val="20"/>
          <w:color w:val="auto"/>
        </w:rPr>
      </w:pPr>
    </w:p>
    <w:p>
      <w:pPr>
        <w:spacing w:after="0" w:line="399"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67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340" w:type="dxa"/>
            <w:vAlign w:val="bottom"/>
            <w:gridSpan w:val="2"/>
          </w:tcPr>
          <w:p>
            <w:pPr>
              <w:ind w:left="140"/>
              <w:spacing w:after="0"/>
              <w:rPr>
                <w:sz w:val="20"/>
                <w:szCs w:val="20"/>
                <w:color w:val="auto"/>
              </w:rPr>
            </w:pPr>
            <w:r>
              <w:rPr>
                <w:rFonts w:ascii="Arial" w:cs="Arial" w:eastAsia="Arial" w:hAnsi="Arial"/>
                <w:sz w:val="18"/>
                <w:szCs w:val="18"/>
                <w:b w:val="1"/>
                <w:bCs w:val="1"/>
                <w:color w:val="auto"/>
              </w:rPr>
              <w:t>June 30,</w:t>
            </w:r>
          </w:p>
        </w:tc>
        <w:tc>
          <w:tcPr>
            <w:tcW w:w="160" w:type="dxa"/>
            <w:vAlign w:val="bottom"/>
          </w:tcPr>
          <w:p>
            <w:pPr>
              <w:spacing w:after="0"/>
              <w:rPr>
                <w:sz w:val="18"/>
                <w:szCs w:val="18"/>
                <w:color w:val="auto"/>
              </w:rPr>
            </w:pPr>
          </w:p>
        </w:tc>
        <w:tc>
          <w:tcPr>
            <w:tcW w:w="1320" w:type="dxa"/>
            <w:vAlign w:val="bottom"/>
          </w:tcPr>
          <w:p>
            <w:pPr>
              <w:jc w:val="right"/>
              <w:ind w:right="150"/>
              <w:spacing w:after="0"/>
              <w:rPr>
                <w:sz w:val="20"/>
                <w:szCs w:val="20"/>
                <w:color w:val="auto"/>
              </w:rPr>
            </w:pPr>
            <w:r>
              <w:rPr>
                <w:rFonts w:ascii="Arial" w:cs="Arial" w:eastAsia="Arial" w:hAnsi="Arial"/>
                <w:sz w:val="18"/>
                <w:szCs w:val="18"/>
                <w:b w:val="1"/>
                <w:bCs w:val="1"/>
                <w:color w:val="auto"/>
                <w:w w:val="90"/>
              </w:rPr>
              <w:t>December 31,</w:t>
            </w:r>
          </w:p>
        </w:tc>
        <w:tc>
          <w:tcPr>
            <w:tcW w:w="0" w:type="dxa"/>
            <w:vAlign w:val="bottom"/>
          </w:tcPr>
          <w:p>
            <w:pPr>
              <w:spacing w:after="0"/>
              <w:rPr>
                <w:sz w:val="1"/>
                <w:szCs w:val="1"/>
                <w:color w:val="auto"/>
              </w:rPr>
            </w:pPr>
          </w:p>
        </w:tc>
      </w:tr>
      <w:tr>
        <w:trPr>
          <w:trHeight w:val="234"/>
        </w:trPr>
        <w:tc>
          <w:tcPr>
            <w:tcW w:w="67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220" w:type="dxa"/>
            <w:vAlign w:val="bottom"/>
          </w:tcPr>
          <w:p>
            <w:pPr>
              <w:jc w:val="right"/>
              <w:ind w:right="470"/>
              <w:spacing w:after="0"/>
              <w:rPr>
                <w:sz w:val="20"/>
                <w:szCs w:val="20"/>
                <w:color w:val="auto"/>
              </w:rPr>
            </w:pPr>
            <w:r>
              <w:rPr>
                <w:rFonts w:ascii="Arial" w:cs="Arial" w:eastAsia="Arial" w:hAnsi="Arial"/>
                <w:sz w:val="18"/>
                <w:szCs w:val="18"/>
                <w:b w:val="1"/>
                <w:bCs w:val="1"/>
                <w:color w:val="auto"/>
              </w:rPr>
              <w:t>2018</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320" w:type="dxa"/>
            <w:vAlign w:val="bottom"/>
          </w:tcPr>
          <w:p>
            <w:pPr>
              <w:jc w:val="right"/>
              <w:ind w:right="470"/>
              <w:spacing w:after="0"/>
              <w:rPr>
                <w:sz w:val="20"/>
                <w:szCs w:val="20"/>
                <w:color w:val="auto"/>
              </w:rPr>
            </w:pPr>
            <w:r>
              <w:rPr>
                <w:rFonts w:ascii="Arial" w:cs="Arial" w:eastAsia="Arial" w:hAnsi="Arial"/>
                <w:sz w:val="18"/>
                <w:szCs w:val="18"/>
                <w:b w:val="1"/>
                <w:bCs w:val="1"/>
                <w:color w:val="auto"/>
              </w:rPr>
              <w:t>2017</w:t>
            </w:r>
          </w:p>
        </w:tc>
        <w:tc>
          <w:tcPr>
            <w:tcW w:w="0" w:type="dxa"/>
            <w:vAlign w:val="bottom"/>
          </w:tcPr>
          <w:p>
            <w:pPr>
              <w:spacing w:after="0"/>
              <w:rPr>
                <w:sz w:val="1"/>
                <w:szCs w:val="1"/>
                <w:color w:val="auto"/>
              </w:rPr>
            </w:pPr>
          </w:p>
        </w:tc>
      </w:tr>
      <w:tr>
        <w:trPr>
          <w:trHeight w:val="27"/>
        </w:trPr>
        <w:tc>
          <w:tcPr>
            <w:tcW w:w="674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Assets</w:t>
            </w: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740" w:type="dxa"/>
            <w:vAlign w:val="bottom"/>
          </w:tcPr>
          <w:p>
            <w:pPr>
              <w:ind w:left="40"/>
              <w:spacing w:after="0"/>
              <w:rPr>
                <w:sz w:val="20"/>
                <w:szCs w:val="20"/>
                <w:color w:val="auto"/>
              </w:rPr>
            </w:pPr>
            <w:r>
              <w:rPr>
                <w:rFonts w:ascii="Arial" w:cs="Arial" w:eastAsia="Arial" w:hAnsi="Arial"/>
                <w:sz w:val="18"/>
                <w:szCs w:val="18"/>
                <w:b w:val="1"/>
                <w:bCs w:val="1"/>
                <w:color w:val="auto"/>
              </w:rPr>
              <w:t>Current assets</w:t>
            </w:r>
          </w:p>
        </w:tc>
        <w:tc>
          <w:tcPr>
            <w:tcW w:w="260" w:type="dxa"/>
            <w:vAlign w:val="bottom"/>
          </w:tcPr>
          <w:p>
            <w:pPr>
              <w:spacing w:after="0"/>
              <w:rPr>
                <w:sz w:val="21"/>
                <w:szCs w:val="21"/>
                <w:color w:val="auto"/>
              </w:rPr>
            </w:pPr>
          </w:p>
        </w:tc>
        <w:tc>
          <w:tcPr>
            <w:tcW w:w="12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67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Cash and cash equivalents</w:t>
            </w: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86,464</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76,290</w:t>
            </w:r>
          </w:p>
        </w:tc>
        <w:tc>
          <w:tcPr>
            <w:tcW w:w="0" w:type="dxa"/>
            <w:vAlign w:val="bottom"/>
          </w:tcPr>
          <w:p>
            <w:pPr>
              <w:spacing w:after="0"/>
              <w:rPr>
                <w:sz w:val="1"/>
                <w:szCs w:val="1"/>
                <w:color w:val="auto"/>
              </w:rPr>
            </w:pPr>
          </w:p>
        </w:tc>
      </w:tr>
      <w:tr>
        <w:trPr>
          <w:trHeight w:val="243"/>
        </w:trPr>
        <w:tc>
          <w:tcPr>
            <w:tcW w:w="6740" w:type="dxa"/>
            <w:vAlign w:val="bottom"/>
          </w:tcPr>
          <w:p>
            <w:pPr>
              <w:ind w:left="280"/>
              <w:spacing w:after="0"/>
              <w:rPr>
                <w:sz w:val="20"/>
                <w:szCs w:val="20"/>
                <w:color w:val="auto"/>
              </w:rPr>
            </w:pPr>
            <w:r>
              <w:rPr>
                <w:rFonts w:ascii="Arial" w:cs="Arial" w:eastAsia="Arial" w:hAnsi="Arial"/>
                <w:sz w:val="18"/>
                <w:szCs w:val="18"/>
                <w:color w:val="auto"/>
              </w:rPr>
              <w:t>Accounts receivable, net</w:t>
            </w:r>
          </w:p>
        </w:tc>
        <w:tc>
          <w:tcPr>
            <w:tcW w:w="26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44,192</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tcPr>
          <w:p>
            <w:pPr>
              <w:jc w:val="right"/>
              <w:ind w:right="10"/>
              <w:spacing w:after="0"/>
              <w:rPr>
                <w:sz w:val="20"/>
                <w:szCs w:val="20"/>
                <w:color w:val="auto"/>
              </w:rPr>
            </w:pPr>
            <w:r>
              <w:rPr>
                <w:rFonts w:ascii="Arial" w:cs="Arial" w:eastAsia="Arial" w:hAnsi="Arial"/>
                <w:sz w:val="18"/>
                <w:szCs w:val="18"/>
                <w:color w:val="auto"/>
              </w:rPr>
              <w:t>40,259</w:t>
            </w:r>
          </w:p>
        </w:tc>
        <w:tc>
          <w:tcPr>
            <w:tcW w:w="0" w:type="dxa"/>
            <w:vAlign w:val="bottom"/>
          </w:tcPr>
          <w:p>
            <w:pPr>
              <w:spacing w:after="0"/>
              <w:rPr>
                <w:sz w:val="1"/>
                <w:szCs w:val="1"/>
                <w:color w:val="auto"/>
              </w:rPr>
            </w:pPr>
          </w:p>
        </w:tc>
      </w:tr>
      <w:tr>
        <w:trPr>
          <w:trHeight w:val="27"/>
        </w:trPr>
        <w:tc>
          <w:tcPr>
            <w:tcW w:w="67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Inventory</w:t>
            </w: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31,474</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26,080</w:t>
            </w:r>
          </w:p>
        </w:tc>
        <w:tc>
          <w:tcPr>
            <w:tcW w:w="0" w:type="dxa"/>
            <w:vAlign w:val="bottom"/>
          </w:tcPr>
          <w:p>
            <w:pPr>
              <w:spacing w:after="0"/>
              <w:rPr>
                <w:sz w:val="1"/>
                <w:szCs w:val="1"/>
                <w:color w:val="auto"/>
              </w:rPr>
            </w:pPr>
          </w:p>
        </w:tc>
      </w:tr>
      <w:tr>
        <w:trPr>
          <w:trHeight w:val="243"/>
        </w:trPr>
        <w:tc>
          <w:tcPr>
            <w:tcW w:w="6740" w:type="dxa"/>
            <w:vAlign w:val="bottom"/>
          </w:tcPr>
          <w:p>
            <w:pPr>
              <w:ind w:left="280"/>
              <w:spacing w:after="0"/>
              <w:rPr>
                <w:sz w:val="20"/>
                <w:szCs w:val="20"/>
                <w:color w:val="auto"/>
              </w:rPr>
            </w:pPr>
            <w:r>
              <w:rPr>
                <w:rFonts w:ascii="Arial" w:cs="Arial" w:eastAsia="Arial" w:hAnsi="Arial"/>
                <w:sz w:val="18"/>
                <w:szCs w:val="18"/>
                <w:color w:val="auto"/>
              </w:rPr>
              <w:t>Other current assets</w:t>
            </w:r>
          </w:p>
        </w:tc>
        <w:tc>
          <w:tcPr>
            <w:tcW w:w="26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4,925</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tcPr>
          <w:p>
            <w:pPr>
              <w:jc w:val="right"/>
              <w:ind w:right="10"/>
              <w:spacing w:after="0"/>
              <w:rPr>
                <w:sz w:val="20"/>
                <w:szCs w:val="20"/>
                <w:color w:val="auto"/>
              </w:rPr>
            </w:pPr>
            <w:r>
              <w:rPr>
                <w:rFonts w:ascii="Arial" w:cs="Arial" w:eastAsia="Arial" w:hAnsi="Arial"/>
                <w:sz w:val="18"/>
                <w:szCs w:val="18"/>
                <w:color w:val="auto"/>
              </w:rPr>
              <w:t>5,221</w:t>
            </w:r>
          </w:p>
        </w:tc>
        <w:tc>
          <w:tcPr>
            <w:tcW w:w="0" w:type="dxa"/>
            <w:vAlign w:val="bottom"/>
          </w:tcPr>
          <w:p>
            <w:pPr>
              <w:spacing w:after="0"/>
              <w:rPr>
                <w:sz w:val="1"/>
                <w:szCs w:val="1"/>
                <w:color w:val="auto"/>
              </w:rPr>
            </w:pPr>
          </w:p>
        </w:tc>
      </w:tr>
      <w:tr>
        <w:trPr>
          <w:trHeight w:val="27"/>
        </w:trPr>
        <w:tc>
          <w:tcPr>
            <w:tcW w:w="674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674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b w:val="1"/>
                <w:bCs w:val="1"/>
                <w:color w:val="auto"/>
              </w:rPr>
              <w:t>Total current assets</w:t>
            </w: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167,055</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147,850</w:t>
            </w:r>
          </w:p>
        </w:tc>
        <w:tc>
          <w:tcPr>
            <w:tcW w:w="0" w:type="dxa"/>
            <w:vAlign w:val="bottom"/>
          </w:tcPr>
          <w:p>
            <w:pPr>
              <w:spacing w:after="0"/>
              <w:rPr>
                <w:sz w:val="1"/>
                <w:szCs w:val="1"/>
                <w:color w:val="auto"/>
              </w:rPr>
            </w:pPr>
          </w:p>
        </w:tc>
      </w:tr>
      <w:tr>
        <w:trPr>
          <w:trHeight w:val="243"/>
        </w:trPr>
        <w:tc>
          <w:tcPr>
            <w:tcW w:w="6740" w:type="dxa"/>
            <w:vAlign w:val="bottom"/>
          </w:tcPr>
          <w:p>
            <w:pPr>
              <w:ind w:left="40"/>
              <w:spacing w:after="0"/>
              <w:rPr>
                <w:sz w:val="20"/>
                <w:szCs w:val="20"/>
                <w:color w:val="auto"/>
              </w:rPr>
            </w:pPr>
            <w:r>
              <w:rPr>
                <w:rFonts w:ascii="Arial" w:cs="Arial" w:eastAsia="Arial" w:hAnsi="Arial"/>
                <w:sz w:val="18"/>
                <w:szCs w:val="18"/>
                <w:color w:val="auto"/>
              </w:rPr>
              <w:t>Property, plant &amp; equipment, net</w:t>
            </w:r>
          </w:p>
        </w:tc>
        <w:tc>
          <w:tcPr>
            <w:tcW w:w="26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96,817</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tcPr>
          <w:p>
            <w:pPr>
              <w:jc w:val="right"/>
              <w:ind w:right="10"/>
              <w:spacing w:after="0"/>
              <w:rPr>
                <w:sz w:val="20"/>
                <w:szCs w:val="20"/>
                <w:color w:val="auto"/>
              </w:rPr>
            </w:pPr>
            <w:r>
              <w:rPr>
                <w:rFonts w:ascii="Arial" w:cs="Arial" w:eastAsia="Arial" w:hAnsi="Arial"/>
                <w:sz w:val="18"/>
                <w:szCs w:val="18"/>
                <w:color w:val="auto"/>
              </w:rPr>
              <w:t>92,999</w:t>
            </w:r>
          </w:p>
        </w:tc>
        <w:tc>
          <w:tcPr>
            <w:tcW w:w="0" w:type="dxa"/>
            <w:vAlign w:val="bottom"/>
          </w:tcPr>
          <w:p>
            <w:pPr>
              <w:spacing w:after="0"/>
              <w:rPr>
                <w:sz w:val="1"/>
                <w:szCs w:val="1"/>
                <w:color w:val="auto"/>
              </w:rPr>
            </w:pPr>
          </w:p>
        </w:tc>
      </w:tr>
      <w:tr>
        <w:trPr>
          <w:trHeight w:val="27"/>
        </w:trPr>
        <w:tc>
          <w:tcPr>
            <w:tcW w:w="67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Intangibles, net</w:t>
            </w: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10,409</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11,798</w:t>
            </w:r>
          </w:p>
        </w:tc>
        <w:tc>
          <w:tcPr>
            <w:tcW w:w="0" w:type="dxa"/>
            <w:vAlign w:val="bottom"/>
          </w:tcPr>
          <w:p>
            <w:pPr>
              <w:spacing w:after="0"/>
              <w:rPr>
                <w:sz w:val="1"/>
                <w:szCs w:val="1"/>
                <w:color w:val="auto"/>
              </w:rPr>
            </w:pPr>
          </w:p>
        </w:tc>
      </w:tr>
      <w:tr>
        <w:trPr>
          <w:trHeight w:val="243"/>
        </w:trPr>
        <w:tc>
          <w:tcPr>
            <w:tcW w:w="6740" w:type="dxa"/>
            <w:vAlign w:val="bottom"/>
          </w:tcPr>
          <w:p>
            <w:pPr>
              <w:ind w:left="40"/>
              <w:spacing w:after="0"/>
              <w:rPr>
                <w:sz w:val="20"/>
                <w:szCs w:val="20"/>
                <w:color w:val="auto"/>
              </w:rPr>
            </w:pPr>
            <w:r>
              <w:rPr>
                <w:rFonts w:ascii="Arial" w:cs="Arial" w:eastAsia="Arial" w:hAnsi="Arial"/>
                <w:sz w:val="18"/>
                <w:szCs w:val="18"/>
                <w:color w:val="auto"/>
              </w:rPr>
              <w:t>Goodwill</w:t>
            </w:r>
          </w:p>
        </w:tc>
        <w:tc>
          <w:tcPr>
            <w:tcW w:w="26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15,714</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tcPr>
          <w:p>
            <w:pPr>
              <w:jc w:val="right"/>
              <w:ind w:right="10"/>
              <w:spacing w:after="0"/>
              <w:rPr>
                <w:sz w:val="20"/>
                <w:szCs w:val="20"/>
                <w:color w:val="auto"/>
              </w:rPr>
            </w:pPr>
            <w:r>
              <w:rPr>
                <w:rFonts w:ascii="Arial" w:cs="Arial" w:eastAsia="Arial" w:hAnsi="Arial"/>
                <w:sz w:val="18"/>
                <w:szCs w:val="18"/>
                <w:color w:val="auto"/>
              </w:rPr>
              <w:t>15,714</w:t>
            </w:r>
          </w:p>
        </w:tc>
        <w:tc>
          <w:tcPr>
            <w:tcW w:w="0" w:type="dxa"/>
            <w:vAlign w:val="bottom"/>
          </w:tcPr>
          <w:p>
            <w:pPr>
              <w:spacing w:after="0"/>
              <w:rPr>
                <w:sz w:val="1"/>
                <w:szCs w:val="1"/>
                <w:color w:val="auto"/>
              </w:rPr>
            </w:pPr>
          </w:p>
        </w:tc>
      </w:tr>
      <w:tr>
        <w:trPr>
          <w:trHeight w:val="27"/>
        </w:trPr>
        <w:tc>
          <w:tcPr>
            <w:tcW w:w="67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Deferred tax assets, net</w:t>
            </w: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82,039</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87,010</w:t>
            </w:r>
          </w:p>
        </w:tc>
        <w:tc>
          <w:tcPr>
            <w:tcW w:w="0" w:type="dxa"/>
            <w:vAlign w:val="bottom"/>
          </w:tcPr>
          <w:p>
            <w:pPr>
              <w:spacing w:after="0"/>
              <w:rPr>
                <w:sz w:val="1"/>
                <w:szCs w:val="1"/>
                <w:color w:val="auto"/>
              </w:rPr>
            </w:pPr>
          </w:p>
        </w:tc>
      </w:tr>
      <w:tr>
        <w:trPr>
          <w:trHeight w:val="243"/>
        </w:trPr>
        <w:tc>
          <w:tcPr>
            <w:tcW w:w="6740" w:type="dxa"/>
            <w:vAlign w:val="bottom"/>
          </w:tcPr>
          <w:p>
            <w:pPr>
              <w:ind w:left="40"/>
              <w:spacing w:after="0"/>
              <w:rPr>
                <w:sz w:val="20"/>
                <w:szCs w:val="20"/>
                <w:color w:val="auto"/>
              </w:rPr>
            </w:pPr>
            <w:r>
              <w:rPr>
                <w:rFonts w:ascii="Arial" w:cs="Arial" w:eastAsia="Arial" w:hAnsi="Arial"/>
                <w:sz w:val="18"/>
                <w:szCs w:val="18"/>
                <w:color w:val="auto"/>
              </w:rPr>
              <w:t>Other long-term assets</w:t>
            </w:r>
          </w:p>
        </w:tc>
        <w:tc>
          <w:tcPr>
            <w:tcW w:w="26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29,769</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tcPr>
          <w:p>
            <w:pPr>
              <w:jc w:val="right"/>
              <w:ind w:right="10"/>
              <w:spacing w:after="0"/>
              <w:rPr>
                <w:sz w:val="20"/>
                <w:szCs w:val="20"/>
                <w:color w:val="auto"/>
              </w:rPr>
            </w:pPr>
            <w:r>
              <w:rPr>
                <w:rFonts w:ascii="Arial" w:cs="Arial" w:eastAsia="Arial" w:hAnsi="Arial"/>
                <w:sz w:val="18"/>
                <w:szCs w:val="18"/>
                <w:color w:val="auto"/>
              </w:rPr>
              <w:t>28,487</w:t>
            </w:r>
          </w:p>
        </w:tc>
        <w:tc>
          <w:tcPr>
            <w:tcW w:w="0" w:type="dxa"/>
            <w:vAlign w:val="bottom"/>
          </w:tcPr>
          <w:p>
            <w:pPr>
              <w:spacing w:after="0"/>
              <w:rPr>
                <w:sz w:val="1"/>
                <w:szCs w:val="1"/>
                <w:color w:val="auto"/>
              </w:rPr>
            </w:pPr>
          </w:p>
        </w:tc>
      </w:tr>
      <w:tr>
        <w:trPr>
          <w:trHeight w:val="27"/>
        </w:trPr>
        <w:tc>
          <w:tcPr>
            <w:tcW w:w="674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6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b w:val="1"/>
                <w:bCs w:val="1"/>
                <w:color w:val="auto"/>
              </w:rPr>
              <w:t>Total assets</w:t>
            </w: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401,803</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383,858</w:t>
            </w:r>
          </w:p>
        </w:tc>
        <w:tc>
          <w:tcPr>
            <w:tcW w:w="0" w:type="dxa"/>
            <w:vAlign w:val="bottom"/>
          </w:tcPr>
          <w:p>
            <w:pPr>
              <w:spacing w:after="0"/>
              <w:rPr>
                <w:sz w:val="1"/>
                <w:szCs w:val="1"/>
                <w:color w:val="auto"/>
              </w:rPr>
            </w:pPr>
          </w:p>
        </w:tc>
      </w:tr>
      <w:tr>
        <w:trPr>
          <w:trHeight w:val="20"/>
        </w:trPr>
        <w:tc>
          <w:tcPr>
            <w:tcW w:w="6740" w:type="dxa"/>
            <w:vAlign w:val="bottom"/>
            <w:tcBorders>
              <w:top w:val="single" w:sz="8" w:color="CCEEFF"/>
              <w:bottom w:val="single" w:sz="8" w:color="CCEEFF"/>
            </w:tcBorders>
            <w:vMerge w:val="restart"/>
          </w:tcPr>
          <w:p>
            <w:pPr>
              <w:ind w:left="40"/>
              <w:spacing w:after="0"/>
              <w:rPr>
                <w:sz w:val="20"/>
                <w:szCs w:val="20"/>
                <w:color w:val="auto"/>
              </w:rPr>
            </w:pPr>
            <w:r>
              <w:rPr>
                <w:rFonts w:ascii="Arial" w:cs="Arial" w:eastAsia="Arial" w:hAnsi="Arial"/>
                <w:sz w:val="18"/>
                <w:szCs w:val="18"/>
                <w:b w:val="1"/>
                <w:bCs w:val="1"/>
                <w:color w:val="auto"/>
              </w:rPr>
              <w:t>Liabilities and stockholders’ equity</w:t>
            </w:r>
          </w:p>
        </w:tc>
        <w:tc>
          <w:tcPr>
            <w:tcW w:w="26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6740" w:type="dxa"/>
            <w:vAlign w:val="bottom"/>
            <w:vMerge w:val="continue"/>
          </w:tcPr>
          <w:p>
            <w:pPr>
              <w:spacing w:after="0"/>
              <w:rPr>
                <w:sz w:val="17"/>
                <w:szCs w:val="17"/>
                <w:color w:val="auto"/>
              </w:rPr>
            </w:pPr>
          </w:p>
        </w:tc>
        <w:tc>
          <w:tcPr>
            <w:tcW w:w="26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3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54"/>
        </w:trPr>
        <w:tc>
          <w:tcPr>
            <w:tcW w:w="6740" w:type="dxa"/>
            <w:vAlign w:val="bottom"/>
          </w:tcPr>
          <w:p>
            <w:pPr>
              <w:spacing w:after="0"/>
              <w:rPr>
                <w:sz w:val="4"/>
                <w:szCs w:val="4"/>
                <w:color w:val="auto"/>
              </w:rPr>
            </w:pPr>
          </w:p>
        </w:tc>
        <w:tc>
          <w:tcPr>
            <w:tcW w:w="260" w:type="dxa"/>
            <w:vAlign w:val="bottom"/>
          </w:tcPr>
          <w:p>
            <w:pPr>
              <w:spacing w:after="0"/>
              <w:rPr>
                <w:sz w:val="4"/>
                <w:szCs w:val="4"/>
                <w:color w:val="auto"/>
              </w:rPr>
            </w:pPr>
          </w:p>
        </w:tc>
        <w:tc>
          <w:tcPr>
            <w:tcW w:w="122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13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0"/>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Current liabilities</w:t>
            </w: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6740" w:type="dxa"/>
            <w:vAlign w:val="bottom"/>
          </w:tcPr>
          <w:p>
            <w:pPr>
              <w:ind w:left="280"/>
              <w:spacing w:after="0"/>
              <w:rPr>
                <w:sz w:val="20"/>
                <w:szCs w:val="20"/>
                <w:color w:val="auto"/>
              </w:rPr>
            </w:pPr>
            <w:r>
              <w:rPr>
                <w:rFonts w:ascii="Arial" w:cs="Arial" w:eastAsia="Arial" w:hAnsi="Arial"/>
                <w:sz w:val="18"/>
                <w:szCs w:val="18"/>
                <w:color w:val="auto"/>
              </w:rPr>
              <w:t>Current portion of long-term debt</w:t>
            </w: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Pr>
          <w:p>
            <w:pPr>
              <w:jc w:val="right"/>
              <w:spacing w:after="0"/>
              <w:rPr>
                <w:sz w:val="20"/>
                <w:szCs w:val="20"/>
                <w:color w:val="auto"/>
              </w:rPr>
            </w:pPr>
            <w:r>
              <w:rPr>
                <w:rFonts w:ascii="Arial" w:cs="Arial" w:eastAsia="Arial" w:hAnsi="Arial"/>
                <w:sz w:val="18"/>
                <w:szCs w:val="18"/>
                <w:color w:val="auto"/>
              </w:rPr>
              <w:t>2,750</w:t>
            </w:r>
          </w:p>
        </w:tc>
        <w:tc>
          <w:tcPr>
            <w:tcW w:w="120" w:type="dxa"/>
            <w:vAlign w:val="bottom"/>
          </w:tcPr>
          <w:p>
            <w:pPr>
              <w:spacing w:after="0"/>
              <w:rPr>
                <w:sz w:val="21"/>
                <w:szCs w:val="21"/>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99"/>
              </w:rPr>
              <w:t>$</w:t>
            </w:r>
          </w:p>
        </w:tc>
        <w:tc>
          <w:tcPr>
            <w:tcW w:w="1320" w:type="dxa"/>
            <w:vAlign w:val="bottom"/>
          </w:tcPr>
          <w:p>
            <w:pPr>
              <w:jc w:val="right"/>
              <w:ind w:right="10"/>
              <w:spacing w:after="0"/>
              <w:rPr>
                <w:sz w:val="20"/>
                <w:szCs w:val="20"/>
                <w:color w:val="auto"/>
              </w:rPr>
            </w:pPr>
            <w:r>
              <w:rPr>
                <w:rFonts w:ascii="Arial" w:cs="Arial" w:eastAsia="Arial" w:hAnsi="Arial"/>
                <w:sz w:val="18"/>
                <w:szCs w:val="18"/>
                <w:color w:val="auto"/>
              </w:rPr>
              <w:t>2,750</w:t>
            </w:r>
          </w:p>
        </w:tc>
        <w:tc>
          <w:tcPr>
            <w:tcW w:w="0" w:type="dxa"/>
            <w:vAlign w:val="bottom"/>
          </w:tcPr>
          <w:p>
            <w:pPr>
              <w:spacing w:after="0"/>
              <w:rPr>
                <w:sz w:val="1"/>
                <w:szCs w:val="1"/>
                <w:color w:val="auto"/>
              </w:rPr>
            </w:pPr>
          </w:p>
        </w:tc>
      </w:tr>
      <w:tr>
        <w:trPr>
          <w:trHeight w:val="27"/>
        </w:trPr>
        <w:tc>
          <w:tcPr>
            <w:tcW w:w="67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Revolving line of credit</w:t>
            </w:r>
          </w:p>
        </w:tc>
        <w:tc>
          <w:tcPr>
            <w:tcW w:w="26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6740" w:type="dxa"/>
            <w:vAlign w:val="bottom"/>
          </w:tcPr>
          <w:p>
            <w:pPr>
              <w:ind w:left="280"/>
              <w:spacing w:after="0"/>
              <w:rPr>
                <w:sz w:val="20"/>
                <w:szCs w:val="20"/>
                <w:color w:val="auto"/>
              </w:rPr>
            </w:pPr>
            <w:r>
              <w:rPr>
                <w:rFonts w:ascii="Arial" w:cs="Arial" w:eastAsia="Arial" w:hAnsi="Arial"/>
                <w:sz w:val="18"/>
                <w:szCs w:val="18"/>
                <w:color w:val="auto"/>
              </w:rPr>
              <w:t>Accounts payable</w:t>
            </w:r>
          </w:p>
        </w:tc>
        <w:tc>
          <w:tcPr>
            <w:tcW w:w="26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15,313</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tcPr>
          <w:p>
            <w:pPr>
              <w:jc w:val="right"/>
              <w:ind w:right="10"/>
              <w:spacing w:after="0"/>
              <w:rPr>
                <w:sz w:val="20"/>
                <w:szCs w:val="20"/>
                <w:color w:val="auto"/>
              </w:rPr>
            </w:pPr>
            <w:r>
              <w:rPr>
                <w:rFonts w:ascii="Arial" w:cs="Arial" w:eastAsia="Arial" w:hAnsi="Arial"/>
                <w:sz w:val="18"/>
                <w:szCs w:val="18"/>
                <w:color w:val="auto"/>
              </w:rPr>
              <w:t>17,464</w:t>
            </w:r>
          </w:p>
        </w:tc>
        <w:tc>
          <w:tcPr>
            <w:tcW w:w="0" w:type="dxa"/>
            <w:vAlign w:val="bottom"/>
          </w:tcPr>
          <w:p>
            <w:pPr>
              <w:spacing w:after="0"/>
              <w:rPr>
                <w:sz w:val="1"/>
                <w:szCs w:val="1"/>
                <w:color w:val="auto"/>
              </w:rPr>
            </w:pPr>
          </w:p>
        </w:tc>
      </w:tr>
      <w:tr>
        <w:trPr>
          <w:trHeight w:val="27"/>
        </w:trPr>
        <w:tc>
          <w:tcPr>
            <w:tcW w:w="67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7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Accrued expenses and other liabilities</w:t>
            </w:r>
          </w:p>
        </w:tc>
        <w:tc>
          <w:tcPr>
            <w:tcW w:w="26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25,186</w:t>
            </w:r>
          </w:p>
        </w:tc>
        <w:tc>
          <w:tcPr>
            <w:tcW w:w="1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26,536</w:t>
            </w:r>
          </w:p>
        </w:tc>
        <w:tc>
          <w:tcPr>
            <w:tcW w:w="0" w:type="dxa"/>
            <w:vAlign w:val="bottom"/>
          </w:tcPr>
          <w:p>
            <w:pPr>
              <w:spacing w:after="0"/>
              <w:rPr>
                <w:sz w:val="1"/>
                <w:szCs w:val="1"/>
                <w:color w:val="auto"/>
              </w:rPr>
            </w:pPr>
          </w:p>
        </w:tc>
      </w:tr>
      <w:tr>
        <w:trPr>
          <w:trHeight w:val="237"/>
        </w:trPr>
        <w:tc>
          <w:tcPr>
            <w:tcW w:w="6740" w:type="dxa"/>
            <w:vAlign w:val="bottom"/>
          </w:tcPr>
          <w:p>
            <w:pPr>
              <w:ind w:left="500"/>
              <w:spacing w:after="0"/>
              <w:rPr>
                <w:sz w:val="20"/>
                <w:szCs w:val="20"/>
                <w:color w:val="auto"/>
              </w:rPr>
            </w:pPr>
            <w:r>
              <w:rPr>
                <w:rFonts w:ascii="Arial" w:cs="Arial" w:eastAsia="Arial" w:hAnsi="Arial"/>
                <w:sz w:val="18"/>
                <w:szCs w:val="18"/>
                <w:b w:val="1"/>
                <w:bCs w:val="1"/>
                <w:color w:val="auto"/>
              </w:rPr>
              <w:t>Total current liabilities</w:t>
            </w:r>
          </w:p>
        </w:tc>
        <w:tc>
          <w:tcPr>
            <w:tcW w:w="260" w:type="dxa"/>
            <w:vAlign w:val="bottom"/>
            <w:tcBorders>
              <w:top w:val="single" w:sz="8" w:color="auto"/>
            </w:tcBorders>
          </w:tcPr>
          <w:p>
            <w:pPr>
              <w:spacing w:after="0"/>
              <w:rPr>
                <w:sz w:val="20"/>
                <w:szCs w:val="20"/>
                <w:color w:val="auto"/>
              </w:rPr>
            </w:pPr>
          </w:p>
        </w:tc>
        <w:tc>
          <w:tcPr>
            <w:tcW w:w="12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43,249</w:t>
            </w:r>
          </w:p>
        </w:tc>
        <w:tc>
          <w:tcPr>
            <w:tcW w:w="12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3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46,750</w:t>
            </w:r>
          </w:p>
        </w:tc>
        <w:tc>
          <w:tcPr>
            <w:tcW w:w="0" w:type="dxa"/>
            <w:vAlign w:val="bottom"/>
          </w:tcPr>
          <w:p>
            <w:pPr>
              <w:spacing w:after="0"/>
              <w:rPr>
                <w:sz w:val="1"/>
                <w:szCs w:val="1"/>
                <w:color w:val="auto"/>
              </w:rPr>
            </w:pPr>
          </w:p>
        </w:tc>
      </w:tr>
      <w:tr>
        <w:trPr>
          <w:trHeight w:val="27"/>
        </w:trPr>
        <w:tc>
          <w:tcPr>
            <w:tcW w:w="67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Asset retirement obligations</w:t>
            </w: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10,992</w:t>
            </w:r>
          </w:p>
        </w:tc>
        <w:tc>
          <w:tcPr>
            <w:tcW w:w="12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10,412</w:t>
            </w:r>
          </w:p>
        </w:tc>
        <w:tc>
          <w:tcPr>
            <w:tcW w:w="0" w:type="dxa"/>
            <w:vAlign w:val="bottom"/>
          </w:tcPr>
          <w:p>
            <w:pPr>
              <w:spacing w:after="0"/>
              <w:rPr>
                <w:sz w:val="1"/>
                <w:szCs w:val="1"/>
                <w:color w:val="auto"/>
              </w:rPr>
            </w:pPr>
          </w:p>
        </w:tc>
      </w:tr>
      <w:tr>
        <w:trPr>
          <w:trHeight w:val="243"/>
        </w:trPr>
        <w:tc>
          <w:tcPr>
            <w:tcW w:w="6740" w:type="dxa"/>
            <w:vAlign w:val="bottom"/>
          </w:tcPr>
          <w:p>
            <w:pPr>
              <w:ind w:left="40"/>
              <w:spacing w:after="0"/>
              <w:rPr>
                <w:sz w:val="20"/>
                <w:szCs w:val="20"/>
                <w:color w:val="auto"/>
              </w:rPr>
            </w:pPr>
            <w:r>
              <w:rPr>
                <w:rFonts w:ascii="Arial" w:cs="Arial" w:eastAsia="Arial" w:hAnsi="Arial"/>
                <w:sz w:val="18"/>
                <w:szCs w:val="18"/>
                <w:color w:val="auto"/>
              </w:rPr>
              <w:t>Long-term debt, net</w:t>
            </w:r>
          </w:p>
        </w:tc>
        <w:tc>
          <w:tcPr>
            <w:tcW w:w="26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264,551</w:t>
            </w: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320" w:type="dxa"/>
            <w:vAlign w:val="bottom"/>
          </w:tcPr>
          <w:p>
            <w:pPr>
              <w:jc w:val="right"/>
              <w:ind w:right="10"/>
              <w:spacing w:after="0"/>
              <w:rPr>
                <w:sz w:val="20"/>
                <w:szCs w:val="20"/>
                <w:color w:val="auto"/>
              </w:rPr>
            </w:pPr>
            <w:r>
              <w:rPr>
                <w:rFonts w:ascii="Arial" w:cs="Arial" w:eastAsia="Arial" w:hAnsi="Arial"/>
                <w:sz w:val="18"/>
                <w:szCs w:val="18"/>
                <w:color w:val="auto"/>
              </w:rPr>
              <w:t>265,393</w:t>
            </w:r>
          </w:p>
        </w:tc>
        <w:tc>
          <w:tcPr>
            <w:tcW w:w="0" w:type="dxa"/>
            <w:vAlign w:val="bottom"/>
          </w:tcPr>
          <w:p>
            <w:pPr>
              <w:spacing w:after="0"/>
              <w:rPr>
                <w:sz w:val="1"/>
                <w:szCs w:val="1"/>
                <w:color w:val="auto"/>
              </w:rPr>
            </w:pPr>
          </w:p>
        </w:tc>
      </w:tr>
      <w:tr>
        <w:trPr>
          <w:trHeight w:val="27"/>
        </w:trPr>
        <w:tc>
          <w:tcPr>
            <w:tcW w:w="674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 long-term liabilities</w:t>
            </w:r>
          </w:p>
        </w:tc>
        <w:tc>
          <w:tcPr>
            <w:tcW w:w="26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38,478</w:t>
            </w:r>
          </w:p>
        </w:tc>
        <w:tc>
          <w:tcPr>
            <w:tcW w:w="12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38,012</w:t>
            </w:r>
          </w:p>
        </w:tc>
        <w:tc>
          <w:tcPr>
            <w:tcW w:w="0" w:type="dxa"/>
            <w:vAlign w:val="bottom"/>
          </w:tcPr>
          <w:p>
            <w:pPr>
              <w:spacing w:after="0"/>
              <w:rPr>
                <w:sz w:val="1"/>
                <w:szCs w:val="1"/>
                <w:color w:val="auto"/>
              </w:rPr>
            </w:pPr>
          </w:p>
        </w:tc>
      </w:tr>
      <w:tr>
        <w:trPr>
          <w:trHeight w:val="237"/>
        </w:trPr>
        <w:tc>
          <w:tcPr>
            <w:tcW w:w="6740" w:type="dxa"/>
            <w:vAlign w:val="bottom"/>
          </w:tcPr>
          <w:p>
            <w:pPr>
              <w:ind w:left="280"/>
              <w:spacing w:after="0"/>
              <w:rPr>
                <w:sz w:val="20"/>
                <w:szCs w:val="20"/>
                <w:color w:val="auto"/>
              </w:rPr>
            </w:pPr>
            <w:r>
              <w:rPr>
                <w:rFonts w:ascii="Arial" w:cs="Arial" w:eastAsia="Arial" w:hAnsi="Arial"/>
                <w:sz w:val="18"/>
                <w:szCs w:val="18"/>
                <w:b w:val="1"/>
                <w:bCs w:val="1"/>
                <w:color w:val="auto"/>
              </w:rPr>
              <w:t>Total liabilities</w:t>
            </w:r>
          </w:p>
        </w:tc>
        <w:tc>
          <w:tcPr>
            <w:tcW w:w="260" w:type="dxa"/>
            <w:vAlign w:val="bottom"/>
            <w:tcBorders>
              <w:top w:val="single" w:sz="8" w:color="auto"/>
            </w:tcBorders>
          </w:tcPr>
          <w:p>
            <w:pPr>
              <w:spacing w:after="0"/>
              <w:rPr>
                <w:sz w:val="20"/>
                <w:szCs w:val="20"/>
                <w:color w:val="auto"/>
              </w:rPr>
            </w:pPr>
          </w:p>
        </w:tc>
        <w:tc>
          <w:tcPr>
            <w:tcW w:w="12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357,270</w:t>
            </w:r>
          </w:p>
        </w:tc>
        <w:tc>
          <w:tcPr>
            <w:tcW w:w="120" w:type="dxa"/>
            <w:vAlign w:val="bottom"/>
          </w:tcPr>
          <w:p>
            <w:pPr>
              <w:spacing w:after="0"/>
              <w:rPr>
                <w:sz w:val="20"/>
                <w:szCs w:val="20"/>
                <w:color w:val="auto"/>
              </w:rPr>
            </w:pPr>
          </w:p>
        </w:tc>
        <w:tc>
          <w:tcPr>
            <w:tcW w:w="160" w:type="dxa"/>
            <w:vAlign w:val="bottom"/>
            <w:tcBorders>
              <w:top w:val="single" w:sz="8" w:color="auto"/>
            </w:tcBorders>
          </w:tcPr>
          <w:p>
            <w:pPr>
              <w:spacing w:after="0"/>
              <w:rPr>
                <w:sz w:val="20"/>
                <w:szCs w:val="20"/>
                <w:color w:val="auto"/>
              </w:rPr>
            </w:pPr>
          </w:p>
        </w:tc>
        <w:tc>
          <w:tcPr>
            <w:tcW w:w="13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360,567</w:t>
            </w:r>
          </w:p>
        </w:tc>
        <w:tc>
          <w:tcPr>
            <w:tcW w:w="0" w:type="dxa"/>
            <w:vAlign w:val="bottom"/>
          </w:tcPr>
          <w:p>
            <w:pPr>
              <w:spacing w:after="0"/>
              <w:rPr>
                <w:sz w:val="1"/>
                <w:szCs w:val="1"/>
                <w:color w:val="auto"/>
              </w:rPr>
            </w:pPr>
          </w:p>
        </w:tc>
      </w:tr>
      <w:tr>
        <w:trPr>
          <w:trHeight w:val="27"/>
        </w:trPr>
        <w:tc>
          <w:tcPr>
            <w:tcW w:w="674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67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Total stockholders’ equity</w:t>
            </w:r>
          </w:p>
        </w:tc>
        <w:tc>
          <w:tcPr>
            <w:tcW w:w="260" w:type="dxa"/>
            <w:vAlign w:val="bottom"/>
            <w:tcBorders>
              <w:bottom w:val="single" w:sz="8" w:color="CCEEFF"/>
            </w:tcBorders>
            <w:shd w:val="clear" w:color="auto" w:fill="CCEEFF"/>
          </w:tcPr>
          <w:p>
            <w:pPr>
              <w:spacing w:after="0"/>
              <w:rPr>
                <w:sz w:val="22"/>
                <w:szCs w:val="22"/>
                <w:color w:val="auto"/>
              </w:rPr>
            </w:pPr>
          </w:p>
        </w:tc>
        <w:tc>
          <w:tcPr>
            <w:tcW w:w="1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44,533</w:t>
            </w:r>
          </w:p>
        </w:tc>
        <w:tc>
          <w:tcPr>
            <w:tcW w:w="120" w:type="dxa"/>
            <w:vAlign w:val="bottom"/>
            <w:tcBorders>
              <w:bottom w:val="single" w:sz="8" w:color="CCEEFF"/>
            </w:tcBorders>
            <w:shd w:val="clear" w:color="auto" w:fill="CCEEFF"/>
          </w:tcPr>
          <w:p>
            <w:pPr>
              <w:spacing w:after="0"/>
              <w:rPr>
                <w:sz w:val="22"/>
                <w:szCs w:val="22"/>
                <w:color w:val="auto"/>
              </w:rPr>
            </w:pPr>
          </w:p>
        </w:tc>
        <w:tc>
          <w:tcPr>
            <w:tcW w:w="160" w:type="dxa"/>
            <w:vAlign w:val="bottom"/>
            <w:tcBorders>
              <w:bottom w:val="single" w:sz="8" w:color="CCEEFF"/>
            </w:tcBorders>
            <w:shd w:val="clear" w:color="auto" w:fill="CCEEFF"/>
          </w:tcPr>
          <w:p>
            <w:pPr>
              <w:spacing w:after="0"/>
              <w:rPr>
                <w:sz w:val="22"/>
                <w:szCs w:val="22"/>
                <w:color w:val="auto"/>
              </w:rPr>
            </w:pPr>
          </w:p>
        </w:tc>
        <w:tc>
          <w:tcPr>
            <w:tcW w:w="13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23,291</w:t>
            </w:r>
          </w:p>
        </w:tc>
        <w:tc>
          <w:tcPr>
            <w:tcW w:w="0" w:type="dxa"/>
            <w:vAlign w:val="bottom"/>
          </w:tcPr>
          <w:p>
            <w:pPr>
              <w:spacing w:after="0"/>
              <w:rPr>
                <w:sz w:val="1"/>
                <w:szCs w:val="1"/>
                <w:color w:val="auto"/>
              </w:rPr>
            </w:pPr>
          </w:p>
        </w:tc>
      </w:tr>
      <w:tr>
        <w:trPr>
          <w:trHeight w:val="237"/>
        </w:trPr>
        <w:tc>
          <w:tcPr>
            <w:tcW w:w="6740" w:type="dxa"/>
            <w:vAlign w:val="bottom"/>
          </w:tcPr>
          <w:p>
            <w:pPr>
              <w:ind w:left="280"/>
              <w:spacing w:after="0"/>
              <w:rPr>
                <w:sz w:val="20"/>
                <w:szCs w:val="20"/>
                <w:color w:val="auto"/>
              </w:rPr>
            </w:pPr>
            <w:r>
              <w:rPr>
                <w:rFonts w:ascii="Arial" w:cs="Arial" w:eastAsia="Arial" w:hAnsi="Arial"/>
                <w:sz w:val="18"/>
                <w:szCs w:val="18"/>
                <w:b w:val="1"/>
                <w:bCs w:val="1"/>
                <w:color w:val="auto"/>
              </w:rPr>
              <w:t>Total liabilities and stockholders’ equity</w:t>
            </w:r>
          </w:p>
        </w:tc>
        <w:tc>
          <w:tcPr>
            <w:tcW w:w="260" w:type="dxa"/>
            <w:vAlign w:val="bottom"/>
            <w:tcBorders>
              <w:top w:val="single" w:sz="8" w:color="auto"/>
            </w:tcBorders>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401,803</w:t>
            </w:r>
          </w:p>
        </w:tc>
        <w:tc>
          <w:tcPr>
            <w:tcW w:w="120" w:type="dxa"/>
            <w:vAlign w:val="bottom"/>
          </w:tcPr>
          <w:p>
            <w:pPr>
              <w:spacing w:after="0"/>
              <w:rPr>
                <w:sz w:val="20"/>
                <w:szCs w:val="20"/>
                <w:color w:val="auto"/>
              </w:rPr>
            </w:pP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383,858</w:t>
            </w:r>
          </w:p>
        </w:tc>
        <w:tc>
          <w:tcPr>
            <w:tcW w:w="0" w:type="dxa"/>
            <w:vAlign w:val="bottom"/>
          </w:tcPr>
          <w:p>
            <w:pPr>
              <w:spacing w:after="0"/>
              <w:rPr>
                <w:sz w:val="1"/>
                <w:szCs w:val="1"/>
                <w:color w:val="auto"/>
              </w:rPr>
            </w:pPr>
          </w:p>
        </w:tc>
      </w:tr>
      <w:tr>
        <w:trPr>
          <w:trHeight w:val="27"/>
        </w:trPr>
        <w:tc>
          <w:tcPr>
            <w:tcW w:w="674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674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w:t>
      </w:r>
    </w:p>
    <w:p>
      <w:pPr>
        <w:spacing w:after="0" w:line="200" w:lineRule="exact"/>
        <w:rPr>
          <w:sz w:val="20"/>
          <w:szCs w:val="20"/>
          <w:color w:val="auto"/>
        </w:rPr>
      </w:pPr>
    </w:p>
    <w:p>
      <w:pPr>
        <w:spacing w:after="0" w:line="26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Page 10 of 10</w:t>
      </w:r>
    </w:p>
    <w:sectPr>
      <w:pgSz w:w="11900" w:h="16838" w:orient="portrait"/>
      <w:cols w:equalWidth="0" w:num="1">
        <w:col w:w="9820"/>
      </w:cols>
      <w:pgMar w:left="1040" w:top="850" w:right="10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19495CFF"/>
    <w:multiLevelType w:val="hybridMultilevel"/>
    <w:lvl w:ilvl="0">
      <w:lvlJc w:val="left"/>
      <w:lvlText w:val="☐"/>
      <w:numFmt w:val="bullet"/>
      <w:start w:val="1"/>
    </w:lvl>
  </w:abstractNum>
  <w:abstractNum w:abstractNumId="1">
    <w:nsid w:val="2AE8944A"/>
    <w:multiLevelType w:val="hybridMultilevel"/>
    <w:lvl w:ilvl="0">
      <w:lvlJc w:val="left"/>
      <w:lvlText w:val="*"/>
      <w:numFmt w:val="bullet"/>
      <w:start w:val="1"/>
    </w:lvl>
  </w:abstractNum>
  <w:abstractNum w:abstractNumId="2">
    <w:nsid w:val="625558EC"/>
    <w:multiLevelType w:val="hybridMultilevel"/>
    <w:lvl w:ilvl="0">
      <w:lvlJc w:val="left"/>
      <w:lvlText w:val="*"/>
      <w:numFmt w:val="bullet"/>
      <w:start w:val="1"/>
    </w:lvl>
  </w:abstractNum>
  <w:abstractNum w:abstractNumId="3">
    <w:nsid w:val="238E1F29"/>
    <w:multiLevelType w:val="hybridMultilevel"/>
    <w:lvl w:ilvl="0">
      <w:lvlJc w:val="left"/>
      <w:lvlText w:val="(%1)"/>
      <w:numFmt w:val="lowerLetter"/>
      <w:start w:val="1"/>
    </w:lvl>
  </w:abstractNum>
  <w:abstractNum w:abstractNumId="4">
    <w:nsid w:val="46E87CCD"/>
    <w:multiLevelType w:val="hybridMultilevel"/>
    <w:lvl w:ilvl="0">
      <w:lvlJc w:val="left"/>
      <w:lvlText w:val="(%1)"/>
      <w:numFmt w:val="lowerLetter"/>
      <w:start w:val="1"/>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jpe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2019-12-28T21:12:36Z</dcterms:created>
  <dcterms:modified xsi:type="dcterms:W3CDTF">2019-12-28T21:12:36Z</dcterms:modified>
</cp:coreProperties>
</file>